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bridge-export bleek alleen te kunnen importeren, niet exporteren, zonder een publiek bereikbare lokale broker -- Emil koos daarop queues + REST Delivery Points (RDP's): demo-apps blijven ongewijzigd DIRECT publiceren, 3 queues vangen dit automatisch op (Solace "message promotion"), 3 RDP's sturen elke queue native door naar de bijbehorende cloud-broker. Oude bridge-configuratie opgeruimd. Eerste testrun (28/09) faalde op de rest-consumers door een verkeerde authenticationScheme-waarde ("basic" i.p.v. "http-basic") -- gefixt, en de herhaalde run draait nu volledig schoon (0 WARN). Nog te bevestigen in Broker Manager: queues vullen zich, en de 3 RDP's tonen "Up".</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REST Delivery Points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HA</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HA</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Sovereign HA (GA verwacht; interim gereed: GCP europe-west1)</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w:t>
            </w:r>
          </w:p>
        </w:tc>
        <w:tc>
          <w:tcPr>
            <w:tcW w:type="dxa" w:w="1526"/>
            <w:shd w:fill="D9D9D9" w:val="clear"/>
            <w:tcMar>
              <w:top w:type="dxa" w:w="80"/>
              <w:left w:type="dxa" w:w="100"/>
              <w:bottom w:type="dxa" w:w="80"/>
              <w:right w:type="dxa" w:w="100"/>
            </w:tcMar>
          </w:tcPr>
          <w:p>
            <w:r>
              <w:rPr>
                <w:b/>
                <w:bCs/>
              </w:rPr>
              <w:t xml:space="preserve">RDP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Day-ahead energieprijs, weerdata</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Geaggregeerde netbelasting</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Meterstand + klant-ID</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Queues + REST Delivery Points met topic-scoped subscriptions in plaats van DMR/#noexport -- functioneel voldoende voor deze demo, architecturaal een ander mechanisme (zie sectie 7). Message VPN Bridges waren de eerst geprobeerde route, maar bleken alleen te kunnen importeren van een remote broker, niet exporteren, zonder een publiek bereikbare lokale broker.</w:t>
      </w:r>
    </w:p>
    <w:p>
      <w:pPr>
        <w:pStyle w:val="ListParagraph"/>
        <w:numPr>
          <w:ilvl w:val="0"/>
          <w:numId w:val="2"/>
        </w:numPr>
        <w:spacing w:after="80"/>
      </w:pPr>
      <w:r>
        <w:t xml:space="preserve">Eigen client-username per dataklasse met een ACL-profiel dat publiceren tot één topic-subtree beperkt (“governed sharing” aan de bron); voor de REST Delivery Points naar de cloud-brokers geldt hetzelfde -- dezelfde, dedicated username per service (hergebruikt van de bridge-opzet), niet de standaard solace-cloud-client (die de “Try Me!”-tab gebruikt).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uitgangspunt is dat STACKIT komende week algemeen beschikbaar (GA) is in Solace Cloud, met dezelfde self-service deployment als AWS/Azure/GCP. Tot het zover is, mimicken we het sovereign-knooppunt met een Solace Cloud HA-broker op GCP europe-west1 (België) -- zelfde topics, ACL's en bridge-naam, alleen het fysieke eindpunt wisselt bij de overstap.</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shd w:fill="FFF9C4" w:val="clear"/>
            <w:tcMar>
              <w:top w:type="dxa" w:w="80"/>
              <w:left w:type="dxa" w:w="100"/>
              <w:bottom w:type="dxa" w:w="80"/>
              <w:right w:type="dxa" w:w="100"/>
            </w:tcMar>
          </w:tcPr>
          <w:p>
            <w:r>
              <w:rPr>
                <w:b w:val="false"/>
                <w:bCs w:val="false"/>
              </w:rPr>
              <w:t xml:space="preserve">1</w:t>
            </w:r>
          </w:p>
        </w:tc>
        <w:tc>
          <w:tcPr>
            <w:tcW w:type="dxa" w:w="2600"/>
            <w:shd w:fill="FFF9C4" w:val="clear"/>
            <w:tcMar>
              <w:top w:type="dxa" w:w="80"/>
              <w:left w:type="dxa" w:w="100"/>
              <w:bottom w:type="dxa" w:w="80"/>
              <w:right w:type="dxa" w:w="100"/>
            </w:tcMar>
          </w:tcPr>
          <w:p>
            <w:r>
              <w:rPr>
                <w:b w:val="false"/>
                <w:bCs w:val="false"/>
              </w:rPr>
              <w:t xml:space="preserve">STACKIT-beschikbaarheid</w:t>
            </w:r>
          </w:p>
        </w:tc>
        <w:tc>
          <w:tcPr>
            <w:tcW w:type="dxa" w:w="3400"/>
            <w:shd w:fill="FFF9C4" w:val="clear"/>
            <w:tcMar>
              <w:top w:type="dxa" w:w="80"/>
              <w:left w:type="dxa" w:w="100"/>
              <w:bottom w:type="dxa" w:w="80"/>
              <w:right w:type="dxa" w:w="100"/>
            </w:tcMar>
          </w:tcPr>
          <w:p>
            <w:r>
              <w:rPr>
                <w:b w:val="false"/>
                <w:bCs w:val="false"/>
              </w:rPr>
              <w:t xml:space="preserve">✅ Interim-broker op GCP europe-west1 aangemaakt; vóór repetitie/DADD checken of STACKIT al GA is</w:t>
            </w:r>
          </w:p>
        </w:tc>
        <w:tc>
          <w:tcPr>
            <w:tcW w:type="dxa" w:w="2326"/>
            <w:shd w:fill="FFF9C4" w:val="clear"/>
            <w:tcMar>
              <w:top w:type="dxa" w:w="80"/>
              <w:left w:type="dxa" w:w="100"/>
              <w:bottom w:type="dxa" w:w="80"/>
              <w:right w:type="dxa" w:w="100"/>
            </w:tcMar>
          </w:tcPr>
          <w:p>
            <w:r>
              <w:rPr>
                <w:b w:val="false"/>
                <w:bCs w:val="false"/>
              </w:rPr>
              <w:t xml:space="preserve">Interim: gereed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Alle 3 gereed: AWS, Azure, STACKIT/GCP-interim</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RDP-export</w:t>
            </w:r>
          </w:p>
        </w:tc>
        <w:tc>
          <w:tcPr>
            <w:tcW w:type="dxa" w:w="3400"/>
            <w:tcMar>
              <w:top w:type="dxa" w:w="80"/>
              <w:left w:type="dxa" w:w="100"/>
              <w:bottom w:type="dxa" w:w="80"/>
              <w:right w:type="dxa" w:w="100"/>
            </w:tcMar>
          </w:tcPr>
          <w:p>
            <w:r>
              <w:rPr>
                <w:b w:val="false"/>
                <w:bCs w:val="false"/>
              </w:rPr>
              <w:t xml:space="preserve">🔧 Script draait volledig schoon (0 WARN) na de authenticationScheme-fix. Broker Manager-check nodig: queues vullen zich, 3 RDP's tonen "Up"</w:t>
            </w:r>
          </w:p>
        </w:tc>
        <w:tc>
          <w:tcPr>
            <w:tcW w:type="dxa" w:w="2326"/>
            <w:tcMar>
              <w:top w:type="dxa" w:w="80"/>
              <w:left w:type="dxa" w:w="100"/>
              <w:bottom w:type="dxa" w:w="80"/>
              <w:right w:type="dxa" w:w="100"/>
            </w:tcMar>
          </w:tcPr>
          <w:p>
            <w:r>
              <w:rPr>
                <w:b w:val="false"/>
                <w:bCs w:val="false"/>
              </w:rPr>
              <w:t xml:space="preserve">Verificatie nu</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Alle 3 tools end-to-end testen</w:t>
            </w:r>
          </w:p>
        </w:tc>
        <w:tc>
          <w:tcPr>
            <w:tcW w:type="dxa" w:w="2326"/>
            <w:tcMar>
              <w:top w:type="dxa" w:w="80"/>
              <w:left w:type="dxa" w:w="100"/>
              <w:bottom w:type="dxa" w:w="80"/>
              <w:right w:type="dxa" w:w="100"/>
            </w:tcMar>
          </w:tcPr>
          <w:p>
            <w:r>
              <w:rPr>
                <w:b w:val="false"/>
                <w:bCs w:val="false"/>
              </w:rPr>
              <w:t xml:space="preserve">Meerdere keren vóór DADD</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(1) stm publiceert publieke data → verschijnt alleen op AWS; (2) het Python-script publiceert niet-persoonlijke EU-data → verschijnt alleen op Azure; (3) SDKPerf publiceert PII → verschijnt uitsluitend op STACKIT, expliciet niet op de andere twee.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STACKIT GA-timing is een restrisico, geen kernonzekerheid meer: mocht de planning schuiven, draait de demo door op de GCP-europe-west1-interim-broker -- controleer dit kort vóór de repetitie/DADD.</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queues/RDP's -- bewust buiten scope voor deze eerste versie.</w:t>
      </w:r>
    </w:p>
    <w:p>
      <w:pPr>
        <w:pStyle w:val="ListParagraph"/>
        <w:numPr>
          <w:ilvl w:val="0"/>
          <w:numId w:val="2"/>
        </w:numPr>
        <w:spacing w:after="80"/>
      </w:pPr>
      <w:r>
        <w:t xml:space="preserve">De RDP-attribuutnamen zijn gecrosscheckt tegen een werkende Go SEMP-client (Solace's eigen CLI-documentatie geeft geen REST-attribuutnamen), maar het REST-host/poort per cloud-service (aanname: 9443) moet Emil nog bevestigen op de Connect-tab -- eerste concrete vervolgstap.</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REST-host/poort per cloud-service bevestigen op de Connect-tab (en REST-messaging aanzetten waar nog uit) en configure-rdp-export.sh draaien.</w:t>
      </w:r>
    </w:p>
    <w:p>
      <w:pPr>
        <w:pStyle w:val="ListParagraph"/>
        <w:numPr>
          <w:ilvl w:val="0"/>
          <w:numId w:val="2"/>
        </w:numPr>
        <w:spacing w:after="80"/>
      </w:pPr>
      <w:r>
        <w:t xml:space="preserve">Controleren dat de 3 queues gevuld raken en de 3 REST Delivery Points "Up" komen in Broker Manager.</w:t>
      </w:r>
    </w:p>
    <w:p>
      <w:pPr>
        <w:pStyle w:val="ListParagraph"/>
        <w:numPr>
          <w:ilvl w:val="0"/>
          <w:numId w:val="2"/>
        </w:numPr>
        <w:spacing w:after="80"/>
      </w:pPr>
      <w:r>
        <w:t xml:space="preserve">Eerste end-to-end testronde: publiceren met stm/python/sdkperf en per cloud-broker controleren dat het bericht op dezelfde topic aankomt, en nergens anders.</w:t>
      </w:r>
    </w:p>
    <w:p>
      <w:pPr>
        <w:pStyle w:val="ListParagraph"/>
        <w:numPr>
          <w:ilvl w:val="0"/>
          <w:numId w:val="2"/>
        </w:numPr>
        <w:spacing w:after="80"/>
      </w:pPr>
      <w:r>
        <w:t xml:space="preserve">Daarna draaiboek en fallback-opname voorbereiden.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2026-09-28T08:37:21.069Z</dcterms:created>
  <dcterms:modified xsi:type="dcterms:W3CDTF">2026-09-28T08:37:21.069Z</dcterms:modified>
</cp:coreProperties>
</file>

<file path=docProps/custom.xml><?xml version="1.0" encoding="utf-8"?>
<Properties xmlns="http://schemas.openxmlformats.org/officeDocument/2006/custom-properties" xmlns:vt="http://schemas.openxmlformats.org/officeDocument/2006/docPropsVTypes"/>
</file>