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597A7" w14:textId="1C4A88AB" w:rsidR="00D22514" w:rsidRDefault="00925041">
      <w:pPr>
        <w:rPr>
          <w:rFonts w:ascii="Times New Roman" w:hAnsi="Times New Roman" w:cs="Times New Roman"/>
          <w:sz w:val="24"/>
          <w:szCs w:val="24"/>
        </w:rPr>
      </w:pPr>
      <w:r w:rsidRPr="00925041">
        <w:rPr>
          <w:rFonts w:ascii="Times New Roman" w:hAnsi="Times New Roman" w:cs="Times New Roman"/>
          <w:b/>
          <w:bCs/>
          <w:sz w:val="24"/>
          <w:szCs w:val="24"/>
        </w:rPr>
        <w:t>ABSTRACT</w:t>
      </w:r>
    </w:p>
    <w:p w14:paraId="7269C290" w14:textId="5E5A023A" w:rsidR="00925041" w:rsidRDefault="00925041">
      <w:pPr>
        <w:rPr>
          <w:rFonts w:ascii="Times New Roman" w:hAnsi="Times New Roman" w:cs="Times New Roman"/>
          <w:sz w:val="24"/>
          <w:szCs w:val="24"/>
        </w:rPr>
      </w:pPr>
    </w:p>
    <w:p w14:paraId="3E1444E9" w14:textId="09F1609B" w:rsidR="00925041" w:rsidRDefault="00392C4E">
      <w:pPr>
        <w:rPr>
          <w:rFonts w:ascii="Times New Roman" w:hAnsi="Times New Roman" w:cs="Times New Roman"/>
          <w:sz w:val="24"/>
          <w:szCs w:val="24"/>
        </w:rPr>
      </w:pPr>
      <w:r w:rsidRPr="00392C4E">
        <w:rPr>
          <w:rFonts w:ascii="Times New Roman" w:hAnsi="Times New Roman" w:cs="Times New Roman"/>
          <w:sz w:val="24"/>
          <w:szCs w:val="24"/>
        </w:rPr>
        <w:t xml:space="preserve">We show, both theoretically and empirically, that an endowment effect for information arises from the expectation of getting information. Furthermore, we show that this endowment effect matters to welfare analysis of information </w:t>
      </w:r>
      <w:proofErr w:type="gramStart"/>
      <w:r w:rsidRPr="00392C4E">
        <w:rPr>
          <w:rFonts w:ascii="Times New Roman" w:hAnsi="Times New Roman" w:cs="Times New Roman"/>
          <w:sz w:val="24"/>
          <w:szCs w:val="24"/>
        </w:rPr>
        <w:t>policies, and</w:t>
      </w:r>
      <w:proofErr w:type="gramEnd"/>
      <w:r w:rsidRPr="00392C4E">
        <w:rPr>
          <w:rFonts w:ascii="Times New Roman" w:hAnsi="Times New Roman" w:cs="Times New Roman"/>
          <w:sz w:val="24"/>
          <w:szCs w:val="24"/>
        </w:rPr>
        <w:t xml:space="preserve"> can be put to advantage in situations where widespread dissemination of information (e.g., about health or environmental risks) is socially desirable.</w:t>
      </w:r>
    </w:p>
    <w:p w14:paraId="0175ACD2" w14:textId="1A739C27" w:rsidR="00925041" w:rsidRDefault="00925041" w:rsidP="00392C4E">
      <w:pPr>
        <w:jc w:val="center"/>
        <w:rPr>
          <w:rFonts w:ascii="Times New Roman" w:hAnsi="Times New Roman" w:cs="Times New Roman"/>
          <w:sz w:val="24"/>
          <w:szCs w:val="24"/>
        </w:rPr>
      </w:pPr>
    </w:p>
    <w:p w14:paraId="603A4FEC" w14:textId="3818E837" w:rsidR="00925041" w:rsidRDefault="00925041">
      <w:pPr>
        <w:rPr>
          <w:rFonts w:ascii="Times New Roman" w:hAnsi="Times New Roman" w:cs="Times New Roman"/>
          <w:sz w:val="24"/>
          <w:szCs w:val="24"/>
        </w:rPr>
      </w:pPr>
    </w:p>
    <w:p w14:paraId="2E914F1D" w14:textId="1794C9CE" w:rsidR="00925041" w:rsidRDefault="00925041">
      <w:pPr>
        <w:rPr>
          <w:rFonts w:ascii="Times New Roman" w:hAnsi="Times New Roman" w:cs="Times New Roman"/>
          <w:sz w:val="24"/>
          <w:szCs w:val="24"/>
        </w:rPr>
      </w:pPr>
    </w:p>
    <w:p w14:paraId="420E9524" w14:textId="447C4D7C" w:rsidR="00925041" w:rsidRDefault="00925041">
      <w:pPr>
        <w:rPr>
          <w:rFonts w:ascii="Times New Roman" w:hAnsi="Times New Roman" w:cs="Times New Roman"/>
          <w:sz w:val="24"/>
          <w:szCs w:val="24"/>
        </w:rPr>
      </w:pPr>
    </w:p>
    <w:p w14:paraId="6FB56BDB" w14:textId="1DF79A49" w:rsidR="00925041" w:rsidRDefault="00925041">
      <w:pPr>
        <w:rPr>
          <w:rFonts w:ascii="Times New Roman" w:hAnsi="Times New Roman" w:cs="Times New Roman"/>
          <w:sz w:val="24"/>
          <w:szCs w:val="24"/>
        </w:rPr>
      </w:pPr>
    </w:p>
    <w:p w14:paraId="3EE6A162" w14:textId="30CA15A7" w:rsidR="00925041" w:rsidRDefault="00925041">
      <w:pPr>
        <w:rPr>
          <w:rFonts w:ascii="Times New Roman" w:hAnsi="Times New Roman" w:cs="Times New Roman"/>
          <w:sz w:val="24"/>
          <w:szCs w:val="24"/>
        </w:rPr>
      </w:pPr>
    </w:p>
    <w:p w14:paraId="53AD7478" w14:textId="405A0067" w:rsidR="00925041" w:rsidRDefault="00925041">
      <w:pPr>
        <w:rPr>
          <w:rFonts w:ascii="Times New Roman" w:hAnsi="Times New Roman" w:cs="Times New Roman"/>
          <w:sz w:val="24"/>
          <w:szCs w:val="24"/>
        </w:rPr>
      </w:pPr>
    </w:p>
    <w:p w14:paraId="57CE3CF8" w14:textId="1E05CFDC" w:rsidR="00925041" w:rsidRDefault="00925041">
      <w:pPr>
        <w:rPr>
          <w:rFonts w:ascii="Times New Roman" w:hAnsi="Times New Roman" w:cs="Times New Roman"/>
          <w:sz w:val="24"/>
          <w:szCs w:val="24"/>
        </w:rPr>
      </w:pPr>
      <w:r>
        <w:rPr>
          <w:rFonts w:ascii="Times New Roman" w:hAnsi="Times New Roman" w:cs="Times New Roman"/>
          <w:sz w:val="24"/>
          <w:szCs w:val="24"/>
        </w:rPr>
        <w:br w:type="page"/>
      </w:r>
    </w:p>
    <w:p w14:paraId="6003F5A0" w14:textId="0F055017" w:rsidR="00925041" w:rsidRDefault="00925041">
      <w:pPr>
        <w:rPr>
          <w:rFonts w:ascii="Times New Roman" w:hAnsi="Times New Roman" w:cs="Times New Roman"/>
          <w:sz w:val="24"/>
          <w:szCs w:val="24"/>
        </w:rPr>
      </w:pPr>
      <w:r>
        <w:rPr>
          <w:rFonts w:ascii="Times New Roman" w:hAnsi="Times New Roman" w:cs="Times New Roman"/>
          <w:b/>
          <w:bCs/>
          <w:sz w:val="24"/>
          <w:szCs w:val="24"/>
        </w:rPr>
        <w:lastRenderedPageBreak/>
        <w:t>INTRO</w:t>
      </w:r>
    </w:p>
    <w:p w14:paraId="00F0B939" w14:textId="560054CB" w:rsidR="00392C4E" w:rsidRPr="00835A8D" w:rsidRDefault="00392C4E" w:rsidP="00955CE1">
      <w:pPr>
        <w:spacing w:line="480" w:lineRule="auto"/>
        <w:ind w:firstLine="720"/>
        <w:rPr>
          <w:rFonts w:ascii="Times New Roman" w:hAnsi="Times New Roman" w:cs="Times New Roman"/>
          <w:color w:val="FF0000"/>
          <w:sz w:val="24"/>
          <w:szCs w:val="24"/>
          <w:highlight w:val="yellow"/>
        </w:rPr>
      </w:pPr>
      <w:r w:rsidRPr="00835A8D">
        <w:rPr>
          <w:rFonts w:ascii="Times New Roman" w:hAnsi="Times New Roman" w:cs="Times New Roman"/>
          <w:sz w:val="24"/>
          <w:szCs w:val="24"/>
          <w:highlight w:val="yellow"/>
        </w:rPr>
        <w:t>Our findings have important implications for welfare analysis of information policies</w:t>
      </w:r>
      <w:r w:rsidR="00BB0B50" w:rsidRPr="00835A8D">
        <w:rPr>
          <w:rFonts w:ascii="Times New Roman" w:hAnsi="Times New Roman" w:cs="Times New Roman"/>
          <w:sz w:val="24"/>
          <w:szCs w:val="24"/>
          <w:highlight w:val="yellow"/>
        </w:rPr>
        <w:t xml:space="preserve"> that mandate, encourage, or restrict the delivery of various kinds of information. These policies are ubiquitous\footnote{</w:t>
      </w:r>
      <w:r w:rsidR="00BB0B50" w:rsidRPr="00835A8D">
        <w:rPr>
          <w:highlight w:val="yellow"/>
        </w:rPr>
        <w:t xml:space="preserve"> </w:t>
      </w:r>
      <w:r w:rsidR="00BB0B50" w:rsidRPr="00835A8D">
        <w:rPr>
          <w:rFonts w:ascii="Times New Roman" w:hAnsi="Times New Roman" w:cs="Times New Roman"/>
          <w:sz w:val="24"/>
          <w:szCs w:val="24"/>
          <w:highlight w:val="yellow"/>
        </w:rPr>
        <w:t>or example, the Right-to-know acts and Eco-label programs (e.g., USDA organic and Energy Start), in environmental regulation; GMO, nutritional, and calorie labeling, in agricultural and food regulation; graphic warnings on cigarette packaging, disclosure of medical risks and side effects, and diagnostic testing, on health regulation; SEC financial disclosure (e.g., Sarbanes-Oxley) and mortgage disclosure, on financial regulation; and ethical labels (e.g., animal cruelty and child labor), financial disclosure by politicians, and conflict-mineral content, in other areas.</w:t>
      </w:r>
      <w:r w:rsidR="00BB0B50" w:rsidRPr="00835A8D">
        <w:rPr>
          <w:rFonts w:ascii="Times New Roman" w:hAnsi="Times New Roman" w:cs="Times New Roman"/>
          <w:sz w:val="24"/>
          <w:szCs w:val="24"/>
          <w:highlight w:val="yellow"/>
        </w:rPr>
        <w:t>}, and subject to Cost</w:t>
      </w:r>
      <w:r w:rsidR="00955CE1" w:rsidRPr="00835A8D">
        <w:rPr>
          <w:rFonts w:ascii="Times New Roman" w:hAnsi="Times New Roman" w:cs="Times New Roman"/>
          <w:sz w:val="24"/>
          <w:szCs w:val="24"/>
          <w:highlight w:val="yellow"/>
        </w:rPr>
        <w:t>-</w:t>
      </w:r>
      <w:r w:rsidR="00BB0B50" w:rsidRPr="00835A8D">
        <w:rPr>
          <w:rFonts w:ascii="Times New Roman" w:hAnsi="Times New Roman" w:cs="Times New Roman"/>
          <w:sz w:val="24"/>
          <w:szCs w:val="24"/>
          <w:highlight w:val="yellow"/>
        </w:rPr>
        <w:t>Benefit Analysis (CBA) requirements.\footnote{For example, in the USA, the government requires CBA for any policy that costs</w:t>
      </w:r>
      <w:r w:rsidR="00955CE1" w:rsidRPr="00835A8D">
        <w:rPr>
          <w:rFonts w:ascii="Times New Roman" w:hAnsi="Times New Roman" w:cs="Times New Roman"/>
          <w:sz w:val="24"/>
          <w:szCs w:val="24"/>
          <w:highlight w:val="yellow"/>
        </w:rPr>
        <w:t xml:space="preserve"> over \$100 million</w:t>
      </w:r>
      <w:r w:rsidR="00BB0B50" w:rsidRPr="00835A8D">
        <w:rPr>
          <w:rFonts w:ascii="Times New Roman" w:hAnsi="Times New Roman" w:cs="Times New Roman"/>
          <w:sz w:val="24"/>
          <w:szCs w:val="24"/>
          <w:highlight w:val="yellow"/>
        </w:rPr>
        <w:t xml:space="preserve"> </w:t>
      </w:r>
      <w:r w:rsidR="00955CE1" w:rsidRPr="00835A8D">
        <w:rPr>
          <w:rFonts w:ascii="Times New Roman" w:hAnsi="Times New Roman" w:cs="Times New Roman"/>
          <w:sz w:val="24"/>
          <w:szCs w:val="24"/>
          <w:highlight w:val="yellow"/>
        </w:rPr>
        <w:t>(ADD SOURCES)</w:t>
      </w:r>
      <w:r w:rsidR="00BB0B50" w:rsidRPr="00835A8D">
        <w:rPr>
          <w:rFonts w:ascii="Times New Roman" w:hAnsi="Times New Roman" w:cs="Times New Roman"/>
          <w:sz w:val="24"/>
          <w:szCs w:val="24"/>
          <w:highlight w:val="yellow"/>
        </w:rPr>
        <w:t xml:space="preserve">} </w:t>
      </w:r>
      <w:r w:rsidRPr="00835A8D">
        <w:rPr>
          <w:rFonts w:ascii="Times New Roman" w:hAnsi="Times New Roman" w:cs="Times New Roman"/>
          <w:color w:val="FF0000"/>
          <w:sz w:val="24"/>
          <w:szCs w:val="24"/>
          <w:highlight w:val="yellow"/>
        </w:rPr>
        <w:t>Under the traditional assumption in economics that the value of information is always non-negative (Stigler, 1961), CBA is straightforward in principle: the only hurdle that needs to be checked is that estimated information benefits outweigh</w:t>
      </w:r>
      <w:r w:rsidR="00955CE1" w:rsidRPr="00835A8D">
        <w:rPr>
          <w:rFonts w:ascii="Times New Roman" w:hAnsi="Times New Roman" w:cs="Times New Roman"/>
          <w:color w:val="FF0000"/>
          <w:sz w:val="24"/>
          <w:szCs w:val="24"/>
          <w:highlight w:val="yellow"/>
        </w:rPr>
        <w:t xml:space="preserve"> (often low)</w:t>
      </w:r>
      <w:r w:rsidRPr="00835A8D">
        <w:rPr>
          <w:rFonts w:ascii="Times New Roman" w:hAnsi="Times New Roman" w:cs="Times New Roman"/>
          <w:color w:val="FF0000"/>
          <w:sz w:val="24"/>
          <w:szCs w:val="24"/>
          <w:highlight w:val="yellow"/>
        </w:rPr>
        <w:t xml:space="preserve"> implementation costs.</w:t>
      </w:r>
    </w:p>
    <w:p w14:paraId="2DFE743C" w14:textId="77777777" w:rsidR="00392C4E" w:rsidRPr="00835A8D" w:rsidRDefault="00392C4E" w:rsidP="00392C4E">
      <w:pPr>
        <w:spacing w:line="480" w:lineRule="auto"/>
        <w:rPr>
          <w:rFonts w:ascii="Times New Roman" w:hAnsi="Times New Roman" w:cs="Times New Roman"/>
          <w:color w:val="FF0000"/>
          <w:sz w:val="24"/>
          <w:szCs w:val="24"/>
          <w:highlight w:val="yellow"/>
        </w:rPr>
      </w:pPr>
      <w:r w:rsidRPr="00835A8D">
        <w:rPr>
          <w:rFonts w:ascii="Times New Roman" w:hAnsi="Times New Roman" w:cs="Times New Roman"/>
          <w:color w:val="FF0000"/>
          <w:sz w:val="24"/>
          <w:szCs w:val="24"/>
          <w:highlight w:val="yellow"/>
        </w:rPr>
        <w:tab/>
        <w:t>[Maybe add a footnote discussing CBA of the USDA’s Bioengineered Food Disclosure Standard, and the FDA’s introduction of mandatory calorie labeling in restaurants]</w:t>
      </w:r>
    </w:p>
    <w:p w14:paraId="309185C0" w14:textId="1FCC820B" w:rsidR="00392C4E" w:rsidRPr="00835A8D" w:rsidRDefault="00392C4E" w:rsidP="00392C4E">
      <w:pPr>
        <w:spacing w:line="480" w:lineRule="auto"/>
        <w:ind w:firstLine="720"/>
        <w:rPr>
          <w:rFonts w:ascii="Times New Roman" w:hAnsi="Times New Roman" w:cs="Times New Roman"/>
          <w:color w:val="FF0000"/>
          <w:sz w:val="24"/>
          <w:szCs w:val="24"/>
          <w:highlight w:val="yellow"/>
        </w:rPr>
      </w:pPr>
      <w:r w:rsidRPr="00835A8D">
        <w:rPr>
          <w:rFonts w:ascii="Times New Roman" w:hAnsi="Times New Roman" w:cs="Times New Roman"/>
          <w:color w:val="FF0000"/>
          <w:sz w:val="24"/>
          <w:szCs w:val="24"/>
          <w:highlight w:val="yellow"/>
        </w:rPr>
        <w:t>Recent research (reviewed by Golman et al., 2017) has challenged the traditional assumption, however, noting that information can evoke negative feelings such as anxiety or guilt, so that even costless information can reduce consumer welfare.</w:t>
      </w:r>
      <w:r w:rsidR="00955CE1" w:rsidRPr="00835A8D">
        <w:rPr>
          <w:rFonts w:ascii="Times New Roman" w:hAnsi="Times New Roman" w:cs="Times New Roman"/>
          <w:color w:val="FF0000"/>
          <w:sz w:val="24"/>
          <w:szCs w:val="24"/>
          <w:highlight w:val="yellow"/>
        </w:rPr>
        <w:t>\footnote{</w:t>
      </w:r>
      <w:r w:rsidR="00955CE1" w:rsidRPr="00835A8D">
        <w:rPr>
          <w:highlight w:val="yellow"/>
        </w:rPr>
        <w:t xml:space="preserve"> </w:t>
      </w:r>
      <w:r w:rsidR="00955CE1" w:rsidRPr="00835A8D">
        <w:rPr>
          <w:rFonts w:ascii="Times New Roman" w:hAnsi="Times New Roman" w:cs="Times New Roman"/>
          <w:color w:val="FF0000"/>
          <w:sz w:val="24"/>
          <w:szCs w:val="24"/>
          <w:highlight w:val="yellow"/>
        </w:rPr>
        <w:t>For example, if information evoke negative emotions or feelings (e.g., anxiety, fear, guilt, regret, annoyance, or pain), these negative emotions or feelings might lead to information avoidance (</w:t>
      </w:r>
      <w:proofErr w:type="spellStart"/>
      <w:r w:rsidR="00955CE1" w:rsidRPr="00835A8D">
        <w:rPr>
          <w:rFonts w:ascii="Times New Roman" w:hAnsi="Times New Roman" w:cs="Times New Roman"/>
          <w:color w:val="FF0000"/>
          <w:sz w:val="24"/>
          <w:szCs w:val="24"/>
          <w:highlight w:val="yellow"/>
        </w:rPr>
        <w:t>Kӧszegi</w:t>
      </w:r>
      <w:proofErr w:type="spellEnd"/>
      <w:r w:rsidR="00955CE1" w:rsidRPr="00835A8D">
        <w:rPr>
          <w:rFonts w:ascii="Times New Roman" w:hAnsi="Times New Roman" w:cs="Times New Roman"/>
          <w:color w:val="FF0000"/>
          <w:sz w:val="24"/>
          <w:szCs w:val="24"/>
          <w:highlight w:val="yellow"/>
        </w:rPr>
        <w:t xml:space="preserve">, 2003; Dana et al., 2007; Karlsson et al., 2009; Sweeny et al., 2010; Oster et al., 2013; Grossman, 2014; </w:t>
      </w:r>
      <w:proofErr w:type="spellStart"/>
      <w:r w:rsidR="00955CE1" w:rsidRPr="00835A8D">
        <w:rPr>
          <w:rFonts w:ascii="Times New Roman" w:hAnsi="Times New Roman" w:cs="Times New Roman"/>
          <w:color w:val="FF0000"/>
          <w:sz w:val="24"/>
          <w:szCs w:val="24"/>
          <w:highlight w:val="yellow"/>
        </w:rPr>
        <w:lastRenderedPageBreak/>
        <w:t>Hertwig</w:t>
      </w:r>
      <w:proofErr w:type="spellEnd"/>
      <w:r w:rsidR="00955CE1" w:rsidRPr="00835A8D">
        <w:rPr>
          <w:rFonts w:ascii="Times New Roman" w:hAnsi="Times New Roman" w:cs="Times New Roman"/>
          <w:color w:val="FF0000"/>
          <w:sz w:val="24"/>
          <w:szCs w:val="24"/>
          <w:highlight w:val="yellow"/>
        </w:rPr>
        <w:t xml:space="preserve"> and Engel, 2016; </w:t>
      </w:r>
      <w:proofErr w:type="spellStart"/>
      <w:r w:rsidR="00955CE1" w:rsidRPr="00835A8D">
        <w:rPr>
          <w:rFonts w:ascii="Times New Roman" w:hAnsi="Times New Roman" w:cs="Times New Roman"/>
          <w:color w:val="FF0000"/>
          <w:sz w:val="24"/>
          <w:szCs w:val="24"/>
          <w:highlight w:val="yellow"/>
        </w:rPr>
        <w:t>Onwezen</w:t>
      </w:r>
      <w:proofErr w:type="spellEnd"/>
      <w:r w:rsidR="00955CE1" w:rsidRPr="00835A8D">
        <w:rPr>
          <w:rFonts w:ascii="Times New Roman" w:hAnsi="Times New Roman" w:cs="Times New Roman"/>
          <w:color w:val="FF0000"/>
          <w:sz w:val="24"/>
          <w:szCs w:val="24"/>
          <w:highlight w:val="yellow"/>
        </w:rPr>
        <w:t xml:space="preserve"> and van der </w:t>
      </w:r>
      <w:proofErr w:type="spellStart"/>
      <w:r w:rsidR="00955CE1" w:rsidRPr="00835A8D">
        <w:rPr>
          <w:rFonts w:ascii="Times New Roman" w:hAnsi="Times New Roman" w:cs="Times New Roman"/>
          <w:color w:val="FF0000"/>
          <w:sz w:val="24"/>
          <w:szCs w:val="24"/>
          <w:highlight w:val="yellow"/>
        </w:rPr>
        <w:t>Weele</w:t>
      </w:r>
      <w:proofErr w:type="spellEnd"/>
      <w:r w:rsidR="00955CE1" w:rsidRPr="00835A8D">
        <w:rPr>
          <w:rFonts w:ascii="Times New Roman" w:hAnsi="Times New Roman" w:cs="Times New Roman"/>
          <w:color w:val="FF0000"/>
          <w:sz w:val="24"/>
          <w:szCs w:val="24"/>
          <w:highlight w:val="yellow"/>
        </w:rPr>
        <w:t xml:space="preserve">, 2016; Savolainen, 2016; Thunström et al., 2016; </w:t>
      </w:r>
      <w:proofErr w:type="spellStart"/>
      <w:r w:rsidR="00955CE1" w:rsidRPr="00835A8D">
        <w:rPr>
          <w:rFonts w:ascii="Times New Roman" w:hAnsi="Times New Roman" w:cs="Times New Roman"/>
          <w:color w:val="FF0000"/>
          <w:sz w:val="24"/>
          <w:szCs w:val="24"/>
          <w:highlight w:val="yellow"/>
        </w:rPr>
        <w:t>Gigerenzer</w:t>
      </w:r>
      <w:proofErr w:type="spellEnd"/>
      <w:r w:rsidR="00955CE1" w:rsidRPr="00835A8D">
        <w:rPr>
          <w:rFonts w:ascii="Times New Roman" w:hAnsi="Times New Roman" w:cs="Times New Roman"/>
          <w:color w:val="FF0000"/>
          <w:sz w:val="24"/>
          <w:szCs w:val="24"/>
          <w:highlight w:val="yellow"/>
        </w:rPr>
        <w:t xml:space="preserve"> and Garcia-</w:t>
      </w:r>
      <w:proofErr w:type="spellStart"/>
      <w:r w:rsidR="00955CE1" w:rsidRPr="00835A8D">
        <w:rPr>
          <w:rFonts w:ascii="Times New Roman" w:hAnsi="Times New Roman" w:cs="Times New Roman"/>
          <w:color w:val="FF0000"/>
          <w:sz w:val="24"/>
          <w:szCs w:val="24"/>
          <w:highlight w:val="yellow"/>
        </w:rPr>
        <w:t>Retamero</w:t>
      </w:r>
      <w:proofErr w:type="spellEnd"/>
      <w:r w:rsidR="00955CE1" w:rsidRPr="00835A8D">
        <w:rPr>
          <w:rFonts w:ascii="Times New Roman" w:hAnsi="Times New Roman" w:cs="Times New Roman"/>
          <w:color w:val="FF0000"/>
          <w:sz w:val="24"/>
          <w:szCs w:val="24"/>
          <w:highlight w:val="yellow"/>
        </w:rPr>
        <w:t xml:space="preserve">, 2017; Golman et al., 2017; Grossman and van der </w:t>
      </w:r>
      <w:proofErr w:type="spellStart"/>
      <w:r w:rsidR="00955CE1" w:rsidRPr="00835A8D">
        <w:rPr>
          <w:rFonts w:ascii="Times New Roman" w:hAnsi="Times New Roman" w:cs="Times New Roman"/>
          <w:color w:val="FF0000"/>
          <w:sz w:val="24"/>
          <w:szCs w:val="24"/>
          <w:highlight w:val="yellow"/>
        </w:rPr>
        <w:t>Weele</w:t>
      </w:r>
      <w:proofErr w:type="spellEnd"/>
      <w:r w:rsidR="00955CE1" w:rsidRPr="00835A8D">
        <w:rPr>
          <w:rFonts w:ascii="Times New Roman" w:hAnsi="Times New Roman" w:cs="Times New Roman"/>
          <w:color w:val="FF0000"/>
          <w:sz w:val="24"/>
          <w:szCs w:val="24"/>
          <w:highlight w:val="yellow"/>
        </w:rPr>
        <w:t xml:space="preserve">, 2017; </w:t>
      </w:r>
      <w:proofErr w:type="spellStart"/>
      <w:r w:rsidR="00955CE1" w:rsidRPr="00835A8D">
        <w:rPr>
          <w:rFonts w:ascii="Times New Roman" w:hAnsi="Times New Roman" w:cs="Times New Roman"/>
          <w:color w:val="FF0000"/>
          <w:sz w:val="24"/>
          <w:szCs w:val="24"/>
          <w:highlight w:val="yellow"/>
        </w:rPr>
        <w:t>Damgaard</w:t>
      </w:r>
      <w:proofErr w:type="spellEnd"/>
      <w:r w:rsidR="00955CE1" w:rsidRPr="00835A8D">
        <w:rPr>
          <w:rFonts w:ascii="Times New Roman" w:hAnsi="Times New Roman" w:cs="Times New Roman"/>
          <w:color w:val="FF0000"/>
          <w:sz w:val="24"/>
          <w:szCs w:val="24"/>
          <w:highlight w:val="yellow"/>
        </w:rPr>
        <w:t xml:space="preserve"> and </w:t>
      </w:r>
      <w:proofErr w:type="spellStart"/>
      <w:r w:rsidR="00955CE1" w:rsidRPr="00835A8D">
        <w:rPr>
          <w:rFonts w:ascii="Times New Roman" w:hAnsi="Times New Roman" w:cs="Times New Roman"/>
          <w:color w:val="FF0000"/>
          <w:sz w:val="24"/>
          <w:szCs w:val="24"/>
          <w:highlight w:val="yellow"/>
        </w:rPr>
        <w:t>Gravert</w:t>
      </w:r>
      <w:proofErr w:type="spellEnd"/>
      <w:r w:rsidR="00955CE1" w:rsidRPr="00835A8D">
        <w:rPr>
          <w:rFonts w:ascii="Times New Roman" w:hAnsi="Times New Roman" w:cs="Times New Roman"/>
          <w:color w:val="FF0000"/>
          <w:sz w:val="24"/>
          <w:szCs w:val="24"/>
          <w:highlight w:val="yellow"/>
        </w:rPr>
        <w:t xml:space="preserve">, 2018; </w:t>
      </w:r>
      <w:proofErr w:type="spellStart"/>
      <w:r w:rsidR="00955CE1" w:rsidRPr="00835A8D">
        <w:rPr>
          <w:rFonts w:ascii="Times New Roman" w:hAnsi="Times New Roman" w:cs="Times New Roman"/>
          <w:color w:val="FF0000"/>
          <w:sz w:val="24"/>
          <w:szCs w:val="24"/>
          <w:highlight w:val="yellow"/>
        </w:rPr>
        <w:t>Thunstrӧm</w:t>
      </w:r>
      <w:proofErr w:type="spellEnd"/>
      <w:r w:rsidR="00955CE1" w:rsidRPr="00835A8D">
        <w:rPr>
          <w:rFonts w:ascii="Times New Roman" w:hAnsi="Times New Roman" w:cs="Times New Roman"/>
          <w:color w:val="FF0000"/>
          <w:sz w:val="24"/>
          <w:szCs w:val="24"/>
          <w:highlight w:val="yellow"/>
        </w:rPr>
        <w:t xml:space="preserve"> and Jones </w:t>
      </w:r>
      <w:proofErr w:type="spellStart"/>
      <w:r w:rsidR="00955CE1" w:rsidRPr="00835A8D">
        <w:rPr>
          <w:rFonts w:ascii="Times New Roman" w:hAnsi="Times New Roman" w:cs="Times New Roman"/>
          <w:color w:val="FF0000"/>
          <w:sz w:val="24"/>
          <w:szCs w:val="24"/>
          <w:highlight w:val="yellow"/>
        </w:rPr>
        <w:t>Ritten</w:t>
      </w:r>
      <w:proofErr w:type="spellEnd"/>
      <w:r w:rsidR="00955CE1" w:rsidRPr="00835A8D">
        <w:rPr>
          <w:rFonts w:ascii="Times New Roman" w:hAnsi="Times New Roman" w:cs="Times New Roman"/>
          <w:color w:val="FF0000"/>
          <w:sz w:val="24"/>
          <w:szCs w:val="24"/>
          <w:highlight w:val="yellow"/>
        </w:rPr>
        <w:t>, 2018; Woolley and Risen, 2018; Sunstein, 2019). The implication is that the welfare effects of information policies – even ignoring the cost of implementation – might range from negative to positive (</w:t>
      </w:r>
      <w:proofErr w:type="spellStart"/>
      <w:r w:rsidR="00955CE1" w:rsidRPr="00835A8D">
        <w:rPr>
          <w:rFonts w:ascii="Times New Roman" w:hAnsi="Times New Roman" w:cs="Times New Roman"/>
          <w:color w:val="FF0000"/>
          <w:sz w:val="24"/>
          <w:szCs w:val="24"/>
          <w:highlight w:val="yellow"/>
        </w:rPr>
        <w:t>Damgaard</w:t>
      </w:r>
      <w:proofErr w:type="spellEnd"/>
      <w:r w:rsidR="00955CE1" w:rsidRPr="00835A8D">
        <w:rPr>
          <w:rFonts w:ascii="Times New Roman" w:hAnsi="Times New Roman" w:cs="Times New Roman"/>
          <w:color w:val="FF0000"/>
          <w:sz w:val="24"/>
          <w:szCs w:val="24"/>
          <w:highlight w:val="yellow"/>
        </w:rPr>
        <w:t xml:space="preserve"> and </w:t>
      </w:r>
      <w:proofErr w:type="spellStart"/>
      <w:r w:rsidR="00955CE1" w:rsidRPr="00835A8D">
        <w:rPr>
          <w:rFonts w:ascii="Times New Roman" w:hAnsi="Times New Roman" w:cs="Times New Roman"/>
          <w:color w:val="FF0000"/>
          <w:sz w:val="24"/>
          <w:szCs w:val="24"/>
          <w:highlight w:val="yellow"/>
        </w:rPr>
        <w:t>Gavert</w:t>
      </w:r>
      <w:proofErr w:type="spellEnd"/>
      <w:r w:rsidR="00955CE1" w:rsidRPr="00835A8D">
        <w:rPr>
          <w:rFonts w:ascii="Times New Roman" w:hAnsi="Times New Roman" w:cs="Times New Roman"/>
          <w:color w:val="FF0000"/>
          <w:sz w:val="24"/>
          <w:szCs w:val="24"/>
          <w:highlight w:val="yellow"/>
        </w:rPr>
        <w:t>, 2018; Allcott and Kessler, 2019; Butera et al., 2019; Rafiq, 2019; Thunström, 2019)</w:t>
      </w:r>
      <w:r w:rsidR="00955CE1" w:rsidRPr="00835A8D">
        <w:rPr>
          <w:rFonts w:ascii="Times New Roman" w:hAnsi="Times New Roman" w:cs="Times New Roman"/>
          <w:color w:val="FF0000"/>
          <w:sz w:val="24"/>
          <w:szCs w:val="24"/>
          <w:highlight w:val="yellow"/>
        </w:rPr>
        <w:t>.}</w:t>
      </w:r>
      <w:r w:rsidRPr="00835A8D">
        <w:rPr>
          <w:rFonts w:ascii="Times New Roman" w:hAnsi="Times New Roman" w:cs="Times New Roman"/>
          <w:color w:val="FF0000"/>
          <w:sz w:val="24"/>
          <w:szCs w:val="24"/>
          <w:highlight w:val="yellow"/>
        </w:rPr>
        <w:t xml:space="preserve"> This complicates welfare analysis, especially if there is heterogeneity in negative feelings (cite Sunstein’s popcorn paper), or in the ability to respond to information (cite Roberts 2018).</w:t>
      </w:r>
    </w:p>
    <w:p w14:paraId="374EDB5F" w14:textId="6C1BB6DC" w:rsidR="00392C4E" w:rsidRPr="00835A8D" w:rsidRDefault="00392C4E" w:rsidP="00392C4E">
      <w:pPr>
        <w:spacing w:line="480" w:lineRule="auto"/>
        <w:rPr>
          <w:rFonts w:ascii="Times New Roman" w:hAnsi="Times New Roman" w:cs="Times New Roman"/>
          <w:sz w:val="24"/>
          <w:szCs w:val="24"/>
          <w:highlight w:val="yellow"/>
        </w:rPr>
      </w:pPr>
      <w:r w:rsidRPr="00835A8D">
        <w:rPr>
          <w:rFonts w:ascii="Times New Roman" w:hAnsi="Times New Roman" w:cs="Times New Roman"/>
          <w:sz w:val="24"/>
          <w:szCs w:val="24"/>
          <w:highlight w:val="yellow"/>
        </w:rPr>
        <w:tab/>
        <w:t>Our findings point to further complications. Most immediately, our findings suggest that the outcome of welfare analysis may depend on timing. Consider, for example, a cost-benefit analysis of a policy that requires cafes to provide calorie information on their menus. In the presence of experience effects like those identified in our experiment, this analysis would be more likely to conclude in favor of the policy if conducted after the policy’s introduction, when people have come to expect the information. More generally, the existence of an endowment effect for information implies that the role of the referent</w:t>
      </w:r>
      <w:r w:rsidRPr="00835A8D">
        <w:rPr>
          <w:rFonts w:ascii="Times New Roman" w:hAnsi="Times New Roman" w:cs="Times New Roman"/>
          <w:color w:val="FF0000"/>
          <w:sz w:val="24"/>
          <w:szCs w:val="24"/>
          <w:highlight w:val="yellow"/>
        </w:rPr>
        <w:t>, including potential heterogeneity of referents across consumers,</w:t>
      </w:r>
      <w:r w:rsidR="00E57EDA" w:rsidRPr="00835A8D">
        <w:rPr>
          <w:rFonts w:ascii="Times New Roman" w:hAnsi="Times New Roman" w:cs="Times New Roman"/>
          <w:color w:val="FF0000"/>
          <w:sz w:val="24"/>
          <w:szCs w:val="24"/>
          <w:highlight w:val="yellow"/>
        </w:rPr>
        <w:t xml:space="preserve"> </w:t>
      </w:r>
      <w:r w:rsidRPr="00835A8D">
        <w:rPr>
          <w:rFonts w:ascii="Times New Roman" w:hAnsi="Times New Roman" w:cs="Times New Roman"/>
          <w:sz w:val="24"/>
          <w:szCs w:val="24"/>
          <w:highlight w:val="yellow"/>
        </w:rPr>
        <w:t xml:space="preserve">ought to be explicitly acknowledged and accounted for in welfare analysis. </w:t>
      </w:r>
    </w:p>
    <w:p w14:paraId="67428D12" w14:textId="77777777" w:rsidR="00392C4E" w:rsidRDefault="00392C4E" w:rsidP="00392C4E">
      <w:pPr>
        <w:spacing w:line="480" w:lineRule="auto"/>
        <w:ind w:firstLine="720"/>
        <w:rPr>
          <w:rFonts w:ascii="Times New Roman" w:hAnsi="Times New Roman" w:cs="Times New Roman"/>
          <w:sz w:val="24"/>
          <w:szCs w:val="24"/>
        </w:rPr>
      </w:pPr>
      <w:r w:rsidRPr="00835A8D">
        <w:rPr>
          <w:rFonts w:ascii="Times New Roman" w:hAnsi="Times New Roman" w:cs="Times New Roman"/>
          <w:sz w:val="24"/>
          <w:szCs w:val="24"/>
          <w:highlight w:val="yellow"/>
        </w:rPr>
        <w:t>We return to discussion of welfare implications in the concluding section, after first introducing our theoretical analysis and empirical evidence in the next two sections.</w:t>
      </w:r>
    </w:p>
    <w:p w14:paraId="591A17DB" w14:textId="59121C93" w:rsidR="00925041" w:rsidRDefault="00925041">
      <w:pPr>
        <w:rPr>
          <w:rFonts w:ascii="Times New Roman" w:hAnsi="Times New Roman" w:cs="Times New Roman"/>
          <w:sz w:val="24"/>
          <w:szCs w:val="24"/>
        </w:rPr>
      </w:pPr>
    </w:p>
    <w:p w14:paraId="26DF2273" w14:textId="59395098" w:rsidR="00925041" w:rsidRDefault="00925041">
      <w:pPr>
        <w:rPr>
          <w:rFonts w:ascii="Times New Roman" w:hAnsi="Times New Roman" w:cs="Times New Roman"/>
          <w:sz w:val="24"/>
          <w:szCs w:val="24"/>
        </w:rPr>
      </w:pPr>
    </w:p>
    <w:p w14:paraId="06D5C79D" w14:textId="52579731" w:rsidR="00925041" w:rsidRDefault="00925041">
      <w:pPr>
        <w:rPr>
          <w:rFonts w:ascii="Times New Roman" w:hAnsi="Times New Roman" w:cs="Times New Roman"/>
          <w:sz w:val="24"/>
          <w:szCs w:val="24"/>
        </w:rPr>
      </w:pPr>
    </w:p>
    <w:p w14:paraId="055025BF" w14:textId="6EC4B5EC" w:rsidR="00925041" w:rsidRDefault="00925041">
      <w:pPr>
        <w:rPr>
          <w:rFonts w:ascii="Times New Roman" w:hAnsi="Times New Roman" w:cs="Times New Roman"/>
          <w:sz w:val="24"/>
          <w:szCs w:val="24"/>
        </w:rPr>
      </w:pPr>
      <w:r>
        <w:rPr>
          <w:rFonts w:ascii="Times New Roman" w:hAnsi="Times New Roman" w:cs="Times New Roman"/>
          <w:sz w:val="24"/>
          <w:szCs w:val="24"/>
        </w:rPr>
        <w:br w:type="page"/>
      </w:r>
    </w:p>
    <w:p w14:paraId="0B841F04" w14:textId="6D021599" w:rsidR="00925041" w:rsidRDefault="00925041">
      <w:pPr>
        <w:rPr>
          <w:rFonts w:ascii="Times New Roman" w:hAnsi="Times New Roman" w:cs="Times New Roman"/>
          <w:b/>
          <w:bCs/>
          <w:sz w:val="24"/>
          <w:szCs w:val="24"/>
        </w:rPr>
      </w:pPr>
      <w:r w:rsidRPr="00925041">
        <w:rPr>
          <w:rFonts w:ascii="Times New Roman" w:hAnsi="Times New Roman" w:cs="Times New Roman"/>
          <w:b/>
          <w:bCs/>
          <w:sz w:val="24"/>
          <w:szCs w:val="24"/>
        </w:rPr>
        <w:lastRenderedPageBreak/>
        <w:t>CONCLUSION</w:t>
      </w:r>
    </w:p>
    <w:p w14:paraId="04037790" w14:textId="08BFB376" w:rsidR="00835A8D" w:rsidRDefault="00835A8D">
      <w:pPr>
        <w:rPr>
          <w:rFonts w:ascii="Times New Roman" w:hAnsi="Times New Roman" w:cs="Times New Roman"/>
          <w:sz w:val="24"/>
          <w:szCs w:val="24"/>
        </w:rPr>
      </w:pPr>
      <w:r>
        <w:rPr>
          <w:rFonts w:ascii="Times New Roman" w:hAnsi="Times New Roman" w:cs="Times New Roman"/>
          <w:sz w:val="24"/>
          <w:szCs w:val="24"/>
        </w:rPr>
        <w:t xml:space="preserve">In this paper we introduce the endowment effect for information using two complementary approaches. First, we show that two leading </w:t>
      </w:r>
      <w:r w:rsidRPr="00B13171">
        <w:rPr>
          <w:rFonts w:ascii="Times New Roman" w:hAnsi="Times New Roman" w:cs="Times New Roman"/>
          <w:sz w:val="24"/>
          <w:szCs w:val="24"/>
        </w:rPr>
        <w:t xml:space="preserve">theories of expectations-based reference-dependent preferences </w:t>
      </w:r>
      <w:r>
        <w:rPr>
          <w:rFonts w:ascii="Times New Roman" w:hAnsi="Times New Roman" w:cs="Times New Roman"/>
          <w:sz w:val="24"/>
          <w:szCs w:val="24"/>
        </w:rPr>
        <w:t xml:space="preserve">(i.e., the Disappointment Aversion and the </w:t>
      </w:r>
      <w:r w:rsidRPr="002606B2">
        <w:rPr>
          <w:rFonts w:ascii="Times New Roman" w:hAnsi="Times New Roman" w:cs="Times New Roman"/>
          <w:sz w:val="24"/>
          <w:szCs w:val="24"/>
        </w:rPr>
        <w:t>Kőszegi and Rabin approach</w:t>
      </w:r>
      <w:r>
        <w:rPr>
          <w:rFonts w:ascii="Times New Roman" w:hAnsi="Times New Roman" w:cs="Times New Roman"/>
          <w:sz w:val="24"/>
          <w:szCs w:val="24"/>
        </w:rPr>
        <w:t xml:space="preserve">) </w:t>
      </w:r>
      <w:r w:rsidRPr="00B13171">
        <w:rPr>
          <w:rFonts w:ascii="Times New Roman" w:hAnsi="Times New Roman" w:cs="Times New Roman"/>
          <w:sz w:val="24"/>
          <w:szCs w:val="24"/>
        </w:rPr>
        <w:t>predict an endowment effect for instrumental information</w:t>
      </w:r>
      <w:r>
        <w:rPr>
          <w:rFonts w:ascii="Times New Roman" w:hAnsi="Times New Roman" w:cs="Times New Roman"/>
          <w:sz w:val="24"/>
          <w:szCs w:val="24"/>
        </w:rPr>
        <w:t xml:space="preserve">, but only the </w:t>
      </w:r>
      <w:r w:rsidRPr="002606B2">
        <w:rPr>
          <w:rFonts w:ascii="Times New Roman" w:hAnsi="Times New Roman" w:cs="Times New Roman"/>
          <w:sz w:val="24"/>
          <w:szCs w:val="24"/>
        </w:rPr>
        <w:t>Kőszegi and Rabin approach</w:t>
      </w:r>
      <w:r>
        <w:rPr>
          <w:rFonts w:ascii="Times New Roman" w:hAnsi="Times New Roman" w:cs="Times New Roman"/>
          <w:sz w:val="24"/>
          <w:szCs w:val="24"/>
        </w:rPr>
        <w:t xml:space="preserve"> predicts this effect when information is not instrumental. Second, we find the endowment effect in a laboratory experiment in which we manipulate the expectations to get information.</w:t>
      </w:r>
    </w:p>
    <w:p w14:paraId="3D54588F" w14:textId="67D6439C" w:rsidR="00835A8D" w:rsidRDefault="00835A8D">
      <w:pPr>
        <w:rPr>
          <w:rFonts w:ascii="Times New Roman" w:hAnsi="Times New Roman" w:cs="Times New Roman"/>
          <w:sz w:val="24"/>
          <w:szCs w:val="24"/>
        </w:rPr>
      </w:pPr>
    </w:p>
    <w:p w14:paraId="3F4EA225" w14:textId="06702493" w:rsidR="00835A8D" w:rsidRDefault="00835A8D" w:rsidP="00835A8D">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 xml:space="preserve">However, we note that our experimental results are contingent on the </w:t>
      </w:r>
      <w:r w:rsidRPr="008223DA">
        <w:rPr>
          <w:rFonts w:ascii="Times New Roman" w:hAnsi="Times New Roman" w:cs="Times New Roman"/>
          <w:sz w:val="24"/>
          <w:szCs w:val="24"/>
        </w:rPr>
        <w:t>unverified manipulation of expectation</w:t>
      </w:r>
      <w:r>
        <w:rPr>
          <w:rFonts w:ascii="Times New Roman" w:hAnsi="Times New Roman" w:cs="Times New Roman"/>
          <w:sz w:val="24"/>
          <w:szCs w:val="24"/>
        </w:rPr>
        <w:t>s (i.e., probabilistic beliefs)</w:t>
      </w:r>
      <w:r w:rsidRPr="008223DA">
        <w:rPr>
          <w:rFonts w:ascii="Times New Roman" w:hAnsi="Times New Roman" w:cs="Times New Roman"/>
          <w:sz w:val="24"/>
          <w:szCs w:val="24"/>
        </w:rPr>
        <w:t>. First, we assume that making eleven choices using menus with or without calorie information changes the probabilistic belief to expect to receive information. Second, given the probabilistic belief previously assumed to have been manipulated, we assume that presenting a menu with or without covered calorie</w:t>
      </w:r>
      <w:r>
        <w:rPr>
          <w:rFonts w:ascii="Times New Roman" w:hAnsi="Times New Roman" w:cs="Times New Roman"/>
          <w:sz w:val="24"/>
          <w:szCs w:val="24"/>
        </w:rPr>
        <w:t xml:space="preserve">, </w:t>
      </w:r>
      <w:r w:rsidRPr="008223DA">
        <w:rPr>
          <w:rFonts w:ascii="Times New Roman" w:hAnsi="Times New Roman" w:cs="Times New Roman"/>
          <w:sz w:val="24"/>
          <w:szCs w:val="24"/>
        </w:rPr>
        <w:t>along with other</w:t>
      </w:r>
      <w:r>
        <w:rPr>
          <w:rFonts w:ascii="Times New Roman" w:hAnsi="Times New Roman" w:cs="Times New Roman"/>
          <w:sz w:val="24"/>
          <w:szCs w:val="24"/>
        </w:rPr>
        <w:t xml:space="preserve"> framing</w:t>
      </w:r>
      <w:r w:rsidRPr="008223DA">
        <w:rPr>
          <w:rFonts w:ascii="Times New Roman" w:hAnsi="Times New Roman" w:cs="Times New Roman"/>
          <w:sz w:val="24"/>
          <w:szCs w:val="24"/>
        </w:rPr>
        <w:t xml:space="preserve"> differences</w:t>
      </w:r>
      <w:r>
        <w:rPr>
          <w:rFonts w:ascii="Times New Roman" w:hAnsi="Times New Roman" w:cs="Times New Roman"/>
          <w:sz w:val="24"/>
          <w:szCs w:val="24"/>
        </w:rPr>
        <w:t>,</w:t>
      </w:r>
      <w:r w:rsidRPr="008223DA">
        <w:rPr>
          <w:rFonts w:ascii="Times New Roman" w:hAnsi="Times New Roman" w:cs="Times New Roman"/>
          <w:sz w:val="24"/>
          <w:szCs w:val="24"/>
        </w:rPr>
        <w:t xml:space="preserve"> would further change the probability belief to expect to receive information or not. We chose not to verify that the manipulation</w:t>
      </w:r>
      <w:r>
        <w:rPr>
          <w:rFonts w:ascii="Times New Roman" w:hAnsi="Times New Roman" w:cs="Times New Roman"/>
          <w:sz w:val="24"/>
          <w:szCs w:val="24"/>
        </w:rPr>
        <w:t>s</w:t>
      </w:r>
      <w:r w:rsidRPr="008223DA">
        <w:rPr>
          <w:rFonts w:ascii="Times New Roman" w:hAnsi="Times New Roman" w:cs="Times New Roman"/>
          <w:sz w:val="24"/>
          <w:szCs w:val="24"/>
        </w:rPr>
        <w:t xml:space="preserve"> in fact had the intended effect in forming the expectation to receive information. One alternative would have been to ask participants whether they were expecting to receive information after each manipulation, however, we thought that such verification would have unintendedly changed the expectations. A second alternative would have been to use a different experimental design to manipulate the expectations. Following </w:t>
      </w:r>
      <w:bookmarkStart w:id="1" w:name="_Hlk34399876"/>
      <w:r>
        <w:rPr>
          <w:rFonts w:ascii="Times New Roman" w:hAnsi="Times New Roman" w:cs="Times New Roman"/>
          <w:sz w:val="24"/>
          <w:szCs w:val="24"/>
        </w:rPr>
        <w:t xml:space="preserve">Ericson and Fuster (2011) and </w:t>
      </w:r>
      <w:r w:rsidRPr="008223DA">
        <w:rPr>
          <w:rFonts w:ascii="Times New Roman" w:hAnsi="Times New Roman" w:cs="Times New Roman"/>
          <w:sz w:val="24"/>
          <w:szCs w:val="24"/>
        </w:rPr>
        <w:t>Heffetz and List (2014)</w:t>
      </w:r>
      <w:bookmarkEnd w:id="1"/>
      <w:r w:rsidRPr="008223DA">
        <w:rPr>
          <w:rFonts w:ascii="Times New Roman" w:hAnsi="Times New Roman" w:cs="Times New Roman"/>
          <w:sz w:val="24"/>
          <w:szCs w:val="24"/>
        </w:rPr>
        <w:t>, one could manipulate the expectations, for example to expect to receive information, by telling participants that they have a 1% chance to be able to choose whether to get the information or not, and a 99% chance to receive the information.</w:t>
      </w:r>
      <w:r>
        <w:rPr>
          <w:rFonts w:ascii="Times New Roman" w:hAnsi="Times New Roman" w:cs="Times New Roman"/>
          <w:sz w:val="24"/>
          <w:szCs w:val="24"/>
        </w:rPr>
        <w:t>\footnote{</w:t>
      </w:r>
      <w:r w:rsidRPr="00835A8D">
        <w:t xml:space="preserve"> </w:t>
      </w:r>
      <w:r w:rsidRPr="00A025AC">
        <w:t xml:space="preserve">More recently, Cerulli-Harms et al. (2019) show that </w:t>
      </w:r>
      <w:r w:rsidRPr="00A025AC">
        <w:rPr>
          <w:i/>
          <w:iCs/>
        </w:rPr>
        <w:t>forced</w:t>
      </w:r>
      <w:r w:rsidRPr="00A025AC">
        <w:t xml:space="preserve"> exchange is preferred than the </w:t>
      </w:r>
      <w:r w:rsidRPr="00A025AC">
        <w:rPr>
          <w:i/>
          <w:iCs/>
        </w:rPr>
        <w:t>allowable</w:t>
      </w:r>
      <w:r w:rsidRPr="00A025AC">
        <w:t xml:space="preserve"> exchange used in Ericson and Fuster (2011) and Heffetz and List (2014).</w:t>
      </w:r>
      <w:r>
        <w:t>}</w:t>
      </w:r>
      <w:r w:rsidRPr="008223DA">
        <w:rPr>
          <w:rFonts w:ascii="Times New Roman" w:hAnsi="Times New Roman" w:cs="Times New Roman"/>
          <w:sz w:val="24"/>
          <w:szCs w:val="24"/>
        </w:rPr>
        <w:t xml:space="preserve"> The advantage of this approach is that one can verify that participants formed the correct expectations with a quiz evaluating the understanding of the statement. However, we </w:t>
      </w:r>
      <w:r w:rsidRPr="008223DA">
        <w:rPr>
          <w:rFonts w:ascii="Times New Roman" w:hAnsi="Times New Roman" w:cs="Times New Roman"/>
          <w:sz w:val="24"/>
          <w:szCs w:val="24"/>
        </w:rPr>
        <w:lastRenderedPageBreak/>
        <w:t xml:space="preserve">think that our approach is more appropriate for the context of information and closer to potential policy applications outside of the laboratory. Overall, as reflected by the sensitivity of results to changes in the </w:t>
      </w:r>
      <w:r>
        <w:rPr>
          <w:rFonts w:ascii="Times New Roman" w:hAnsi="Times New Roman" w:cs="Times New Roman"/>
          <w:sz w:val="24"/>
          <w:szCs w:val="24"/>
        </w:rPr>
        <w:t xml:space="preserve">experimental </w:t>
      </w:r>
      <w:r w:rsidRPr="008223DA">
        <w:rPr>
          <w:rFonts w:ascii="Times New Roman" w:hAnsi="Times New Roman" w:cs="Times New Roman"/>
          <w:sz w:val="24"/>
          <w:szCs w:val="24"/>
        </w:rPr>
        <w:t xml:space="preserve">environment documented in the empirical literature of expectations-based reference-dependent models (Ericson and Fuster 2011, Ericson and Fuster 2014, </w:t>
      </w:r>
      <w:bookmarkStart w:id="2" w:name="_Hlk34399910"/>
      <w:r w:rsidRPr="008223DA">
        <w:rPr>
          <w:rFonts w:ascii="Times New Roman" w:hAnsi="Times New Roman" w:cs="Times New Roman"/>
          <w:sz w:val="24"/>
          <w:szCs w:val="24"/>
        </w:rPr>
        <w:t>Cerulli-Harms et al. 2019</w:t>
      </w:r>
      <w:bookmarkEnd w:id="2"/>
      <w:r w:rsidRPr="008223DA">
        <w:rPr>
          <w:rFonts w:ascii="Times New Roman" w:hAnsi="Times New Roman" w:cs="Times New Roman"/>
          <w:sz w:val="24"/>
          <w:szCs w:val="24"/>
        </w:rPr>
        <w:t xml:space="preserve">), we can only </w:t>
      </w:r>
      <w:r>
        <w:rPr>
          <w:rFonts w:ascii="Times New Roman" w:hAnsi="Times New Roman" w:cs="Times New Roman"/>
          <w:sz w:val="24"/>
          <w:szCs w:val="24"/>
        </w:rPr>
        <w:t>conclude</w:t>
      </w:r>
      <w:r w:rsidRPr="008223DA">
        <w:rPr>
          <w:rFonts w:ascii="Times New Roman" w:hAnsi="Times New Roman" w:cs="Times New Roman"/>
          <w:sz w:val="24"/>
          <w:szCs w:val="24"/>
        </w:rPr>
        <w:t xml:space="preserve"> that manipulating expectations is a challenging task</w:t>
      </w:r>
      <w:r>
        <w:rPr>
          <w:rFonts w:ascii="Times New Roman" w:hAnsi="Times New Roman" w:cs="Times New Roman"/>
          <w:sz w:val="24"/>
          <w:szCs w:val="24"/>
        </w:rPr>
        <w:t xml:space="preserve"> in which trade-offs are inevitable.</w:t>
      </w:r>
      <w:commentRangeEnd w:id="0"/>
      <w:r>
        <w:rPr>
          <w:rStyle w:val="CommentReference"/>
        </w:rPr>
        <w:commentReference w:id="0"/>
      </w:r>
    </w:p>
    <w:p w14:paraId="503D4563" w14:textId="77777777" w:rsidR="00835A8D" w:rsidRDefault="00835A8D" w:rsidP="00835A8D">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respect to the implications of our endowment effect for welfare analysis of information policies (e.g., cost-benefit analysis), </w:t>
      </w:r>
      <w:commentRangeStart w:id="3"/>
      <w:r>
        <w:rPr>
          <w:rFonts w:ascii="Times New Roman" w:hAnsi="Times New Roman" w:cs="Times New Roman"/>
          <w:sz w:val="24"/>
          <w:szCs w:val="24"/>
        </w:rPr>
        <w:t xml:space="preserve">we raise the thorny issue of explicitly addressing the role of the referent. </w:t>
      </w:r>
      <w:commentRangeEnd w:id="3"/>
      <w:r>
        <w:rPr>
          <w:rStyle w:val="CommentReference"/>
        </w:rPr>
        <w:commentReference w:id="3"/>
      </w:r>
      <w:r>
        <w:rPr>
          <w:rFonts w:ascii="Times New Roman" w:hAnsi="Times New Roman" w:cs="Times New Roman"/>
          <w:sz w:val="24"/>
          <w:szCs w:val="24"/>
        </w:rPr>
        <w:t xml:space="preserve">Here, we provide a few insights to what this might mean to researchers and practitioners doing welfare analysis. </w:t>
      </w:r>
      <w:commentRangeStart w:id="4"/>
      <w:r>
        <w:rPr>
          <w:rFonts w:ascii="Times New Roman" w:hAnsi="Times New Roman" w:cs="Times New Roman"/>
          <w:sz w:val="24"/>
          <w:szCs w:val="24"/>
        </w:rPr>
        <w:t xml:space="preserve">First, the effect of the endowment effect for information in the welfare analysis might be easier to identify if expectations are fairly homogenous. For example, one could assume that the result of a cost-benefits analysis based on benefits and costs elicited from a sample of people who (mostly) do not expect to receive information would be more positive had the people in the sample expected to receive </w:t>
      </w:r>
      <w:r w:rsidRPr="00322C37">
        <w:rPr>
          <w:rFonts w:ascii="Times New Roman" w:hAnsi="Times New Roman" w:cs="Times New Roman"/>
          <w:sz w:val="24"/>
          <w:szCs w:val="24"/>
        </w:rPr>
        <w:t>information.</w:t>
      </w:r>
      <w:commentRangeEnd w:id="4"/>
      <w:r>
        <w:rPr>
          <w:rStyle w:val="CommentReference"/>
        </w:rPr>
        <w:commentReference w:id="4"/>
      </w:r>
      <w:r w:rsidRPr="00322C37">
        <w:rPr>
          <w:rFonts w:ascii="Times New Roman" w:hAnsi="Times New Roman" w:cs="Times New Roman"/>
          <w:sz w:val="24"/>
          <w:szCs w:val="24"/>
        </w:rPr>
        <w:t xml:space="preserve"> Second, a direct implication of the endowment effect for information is that popular support for information policies would increase once the policy is implemented. To gain support for an information policy, politicians may therefore favor to first implement the policy as a trial with a clear end date, with the intent to re-evaluate the policy at that point. </w:t>
      </w:r>
      <w:r>
        <w:rPr>
          <w:rFonts w:ascii="Times New Roman" w:hAnsi="Times New Roman" w:cs="Times New Roman"/>
          <w:sz w:val="24"/>
          <w:szCs w:val="24"/>
        </w:rPr>
        <w:t xml:space="preserve">The public might be more willing to accept a trial of a policy. Such increase in public support after a trial period has been found for other policies -- </w:t>
      </w:r>
      <w:r w:rsidRPr="006A7E00">
        <w:rPr>
          <w:rFonts w:ascii="Times New Roman" w:hAnsi="Times New Roman" w:cs="Times New Roman"/>
          <w:sz w:val="24"/>
          <w:szCs w:val="24"/>
        </w:rPr>
        <w:t>Cherry et al. (2014) show that public acceptance of a congestion tax increased after a trial period with the tax.</w:t>
      </w:r>
      <w:r w:rsidRPr="00322C37">
        <w:rPr>
          <w:rFonts w:ascii="Times New Roman" w:hAnsi="Times New Roman" w:cs="Times New Roman"/>
          <w:sz w:val="24"/>
          <w:szCs w:val="24"/>
        </w:rPr>
        <w:t xml:space="preserve"> </w:t>
      </w:r>
      <w:r>
        <w:rPr>
          <w:rFonts w:ascii="Times New Roman" w:hAnsi="Times New Roman" w:cs="Times New Roman"/>
          <w:sz w:val="24"/>
          <w:szCs w:val="24"/>
        </w:rPr>
        <w:t>Third, welfare analysis of information policies might be influenced by the analysis itself. Questions underlying contingent valuation might create the expectation to receive information and increase the elicited value of a given policy.</w:t>
      </w:r>
    </w:p>
    <w:p w14:paraId="599BC17A" w14:textId="77777777" w:rsidR="00835A8D" w:rsidRDefault="00835A8D" w:rsidP="00835A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the endowment effect could be exploited to encourage information uptake in contexts where increased uptake would increase social welfare, e.g., information on climate change or other environmental issues. </w:t>
      </w:r>
      <w:commentRangeStart w:id="5"/>
      <w:r>
        <w:rPr>
          <w:rFonts w:ascii="Times New Roman" w:hAnsi="Times New Roman" w:cs="Times New Roman"/>
          <w:sz w:val="24"/>
          <w:szCs w:val="24"/>
        </w:rPr>
        <w:t xml:space="preserve">Our results suggest that this new policy tool would have the greater potential in settings in which most people do not expect to get information. </w:t>
      </w:r>
      <w:bookmarkStart w:id="6" w:name="_Hlk34400492"/>
      <w:commentRangeEnd w:id="5"/>
      <w:r>
        <w:rPr>
          <w:rStyle w:val="CommentReference"/>
        </w:rPr>
        <w:commentReference w:id="5"/>
      </w:r>
      <w:r>
        <w:rPr>
          <w:rFonts w:ascii="Times New Roman" w:hAnsi="Times New Roman" w:cs="Times New Roman"/>
          <w:sz w:val="24"/>
          <w:szCs w:val="24"/>
        </w:rPr>
        <w:t>Further</w:t>
      </w:r>
      <w:commentRangeStart w:id="7"/>
      <w:r>
        <w:rPr>
          <w:rFonts w:ascii="Times New Roman" w:hAnsi="Times New Roman" w:cs="Times New Roman"/>
          <w:sz w:val="24"/>
          <w:szCs w:val="24"/>
        </w:rPr>
        <w:t xml:space="preserve">, as the policy aims to manipulate expectations, the process by which people form expectations needs to be better understood. </w:t>
      </w:r>
      <w:commentRangeEnd w:id="7"/>
      <w:r>
        <w:rPr>
          <w:rStyle w:val="CommentReference"/>
        </w:rPr>
        <w:commentReference w:id="7"/>
      </w:r>
      <w:r>
        <w:rPr>
          <w:rFonts w:ascii="Times New Roman" w:hAnsi="Times New Roman" w:cs="Times New Roman"/>
          <w:sz w:val="24"/>
          <w:szCs w:val="24"/>
        </w:rPr>
        <w:t>Heffetz (2018)</w:t>
      </w:r>
      <w:bookmarkEnd w:id="6"/>
      <w:r>
        <w:rPr>
          <w:rFonts w:ascii="Times New Roman" w:hAnsi="Times New Roman" w:cs="Times New Roman"/>
          <w:sz w:val="24"/>
          <w:szCs w:val="24"/>
        </w:rPr>
        <w:t xml:space="preserve">’s refinement of Koszegi &amp; Rabin’s (2006) definition of the referent is a step in the right direction (i.e., the referent is lagged beliefs that sunk-in, instead of just lagged beliefs). </w:t>
      </w:r>
    </w:p>
    <w:p w14:paraId="475A4F58" w14:textId="77777777" w:rsidR="00835A8D" w:rsidRDefault="00835A8D" w:rsidP="00835A8D">
      <w:pPr>
        <w:spacing w:line="480" w:lineRule="auto"/>
        <w:rPr>
          <w:rFonts w:ascii="Times New Roman" w:hAnsi="Times New Roman" w:cs="Times New Roman"/>
          <w:sz w:val="24"/>
          <w:szCs w:val="24"/>
        </w:rPr>
      </w:pPr>
      <w:r>
        <w:rPr>
          <w:rFonts w:ascii="Times New Roman" w:hAnsi="Times New Roman" w:cs="Times New Roman"/>
          <w:sz w:val="24"/>
          <w:szCs w:val="24"/>
        </w:rPr>
        <w:t xml:space="preserve">Future research may explore the robustness of the endowment effect across types of information and contexts. Future research may also explore if there are referent spill-overs across domains of information. In other words, does having information in one domain increase people’s expectations of getting information in general? For example, does access to calorie information increase support for information about environmental risks? </w:t>
      </w:r>
    </w:p>
    <w:p w14:paraId="21EC9376" w14:textId="77777777" w:rsidR="00835A8D" w:rsidRPr="00835A8D" w:rsidRDefault="00835A8D">
      <w:pPr>
        <w:rPr>
          <w:rFonts w:ascii="Times New Roman" w:hAnsi="Times New Roman" w:cs="Times New Roman"/>
          <w:sz w:val="24"/>
          <w:szCs w:val="24"/>
        </w:rPr>
      </w:pPr>
    </w:p>
    <w:sectPr w:rsidR="00835A8D" w:rsidRPr="00835A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nda Helena Thunstrom" w:date="2020-04-10T21:16:00Z" w:initials="LHT">
    <w:p w14:paraId="46AF3983" w14:textId="77777777" w:rsidR="00835A8D" w:rsidRDefault="00835A8D" w:rsidP="00835A8D">
      <w:pPr>
        <w:pStyle w:val="CommentText"/>
      </w:pPr>
      <w:r>
        <w:rPr>
          <w:rStyle w:val="CommentReference"/>
        </w:rPr>
        <w:annotationRef/>
      </w:r>
      <w:r>
        <w:t xml:space="preserve">I think this discussion is more confusing than </w:t>
      </w:r>
      <w:proofErr w:type="gramStart"/>
      <w:r>
        <w:t>helpful, and</w:t>
      </w:r>
      <w:proofErr w:type="gramEnd"/>
      <w:r>
        <w:t xml:space="preserve"> suggest delete it entirely. </w:t>
      </w:r>
    </w:p>
  </w:comment>
  <w:comment w:id="3" w:author="Linda Helena Thunstrom" w:date="2020-04-10T21:37:00Z" w:initials="LHT">
    <w:p w14:paraId="6EA2BDA1" w14:textId="77777777" w:rsidR="00835A8D" w:rsidRDefault="00835A8D" w:rsidP="00835A8D">
      <w:pPr>
        <w:pStyle w:val="CommentText"/>
      </w:pPr>
      <w:r>
        <w:rPr>
          <w:rStyle w:val="CommentReference"/>
        </w:rPr>
        <w:annotationRef/>
      </w:r>
      <w:r>
        <w:t>What does this mean? We address it in the paper, or we address it here in the discussion?</w:t>
      </w:r>
    </w:p>
  </w:comment>
  <w:comment w:id="4" w:author="Linda Helena Thunstrom" w:date="2020-04-10T21:39:00Z" w:initials="LHT">
    <w:p w14:paraId="7451C172" w14:textId="77777777" w:rsidR="00835A8D" w:rsidRDefault="00835A8D" w:rsidP="00835A8D">
      <w:pPr>
        <w:pStyle w:val="CommentText"/>
      </w:pPr>
      <w:r>
        <w:rPr>
          <w:rStyle w:val="CommentReference"/>
        </w:rPr>
        <w:annotationRef/>
      </w:r>
      <w:r>
        <w:t xml:space="preserve">I </w:t>
      </w:r>
      <w:proofErr w:type="gramStart"/>
      <w:r>
        <w:t>don’t</w:t>
      </w:r>
      <w:proofErr w:type="gramEnd"/>
      <w:r>
        <w:t xml:space="preserve"> understand this, and also not sure it is very helpful to practitioners? What they need to know is if there is an endowment effect, if that matters to the outcome of the welfare analysis, and if they should care that it does. The most helpful to them would likely be if we can put our foot down on whose preferences should weigh more heavily—those who have the info (or expect the info), or those who do not. Then we can leave to others to figure out how to elicit info about previous access without through those questions manipulating expectations.</w:t>
      </w:r>
    </w:p>
  </w:comment>
  <w:comment w:id="5" w:author="Linda Helena Thunstrom" w:date="2020-04-10T21:29:00Z" w:initials="LHT">
    <w:p w14:paraId="7F772B45" w14:textId="77777777" w:rsidR="00835A8D" w:rsidRDefault="00835A8D" w:rsidP="00835A8D">
      <w:pPr>
        <w:pStyle w:val="CommentText"/>
      </w:pPr>
      <w:r>
        <w:rPr>
          <w:rStyle w:val="CommentReference"/>
        </w:rPr>
        <w:annotationRef/>
      </w:r>
      <w:r>
        <w:t>Explanation is needed.</w:t>
      </w:r>
    </w:p>
  </w:comment>
  <w:comment w:id="7" w:author="Linda Helena Thunstrom" w:date="2020-04-10T21:30:00Z" w:initials="LHT">
    <w:p w14:paraId="19C3F5D2" w14:textId="77777777" w:rsidR="00835A8D" w:rsidRDefault="00835A8D" w:rsidP="00835A8D">
      <w:pPr>
        <w:pStyle w:val="CommentText"/>
      </w:pPr>
      <w:r>
        <w:rPr>
          <w:rStyle w:val="CommentReference"/>
        </w:rPr>
        <w:annotationRef/>
      </w:r>
      <w:r>
        <w:t>Why is that important if we want to exploit the endowment effect to encourage info uptake? Please explain&gt;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AF3983" w15:done="0"/>
  <w15:commentEx w15:paraId="6EA2BDA1" w15:done="0"/>
  <w15:commentEx w15:paraId="7451C172" w15:done="0"/>
  <w15:commentEx w15:paraId="7F772B45" w15:done="0"/>
  <w15:commentEx w15:paraId="19C3F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AF3983" w16cid:durableId="2267BEA0"/>
  <w16cid:commentId w16cid:paraId="6EA2BDA1" w16cid:durableId="2267BEA1"/>
  <w16cid:commentId w16cid:paraId="7451C172" w16cid:durableId="2267BEA2"/>
  <w16cid:commentId w16cid:paraId="7F772B45" w16cid:durableId="2267BEA3"/>
  <w16cid:commentId w16cid:paraId="19C3F5D2" w16cid:durableId="2267BE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57CE5" w14:textId="77777777" w:rsidR="00755DB7" w:rsidRDefault="00755DB7" w:rsidP="00835A8D">
      <w:pPr>
        <w:spacing w:after="0" w:line="240" w:lineRule="auto"/>
      </w:pPr>
      <w:r>
        <w:separator/>
      </w:r>
    </w:p>
  </w:endnote>
  <w:endnote w:type="continuationSeparator" w:id="0">
    <w:p w14:paraId="6451863F" w14:textId="77777777" w:rsidR="00755DB7" w:rsidRDefault="00755DB7" w:rsidP="0083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00A9F" w14:textId="77777777" w:rsidR="00755DB7" w:rsidRDefault="00755DB7" w:rsidP="00835A8D">
      <w:pPr>
        <w:spacing w:after="0" w:line="240" w:lineRule="auto"/>
      </w:pPr>
      <w:r>
        <w:separator/>
      </w:r>
    </w:p>
  </w:footnote>
  <w:footnote w:type="continuationSeparator" w:id="0">
    <w:p w14:paraId="0D287BDC" w14:textId="77777777" w:rsidR="00755DB7" w:rsidRDefault="00755DB7" w:rsidP="00835A8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da Helena Thunstrom">
    <w15:presenceInfo w15:providerId="AD" w15:userId="S-1-5-21-358987-74476631-505227178-210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9F"/>
    <w:rsid w:val="0017609F"/>
    <w:rsid w:val="00232B97"/>
    <w:rsid w:val="00392C4E"/>
    <w:rsid w:val="004022F6"/>
    <w:rsid w:val="00637707"/>
    <w:rsid w:val="00755DB7"/>
    <w:rsid w:val="00835A8D"/>
    <w:rsid w:val="00925041"/>
    <w:rsid w:val="00955CE1"/>
    <w:rsid w:val="00BB0B50"/>
    <w:rsid w:val="00D22514"/>
    <w:rsid w:val="00E5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C0B"/>
  <w15:chartTrackingRefBased/>
  <w15:docId w15:val="{3A943815-4AF9-44F9-A753-6C24C184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41"/>
    <w:rPr>
      <w:rFonts w:ascii="Segoe UI" w:hAnsi="Segoe UI" w:cs="Segoe UI"/>
      <w:sz w:val="18"/>
      <w:szCs w:val="18"/>
    </w:rPr>
  </w:style>
  <w:style w:type="paragraph" w:styleId="FootnoteText">
    <w:name w:val="footnote text"/>
    <w:basedOn w:val="Normal"/>
    <w:link w:val="FootnoteTextChar"/>
    <w:autoRedefine/>
    <w:uiPriority w:val="99"/>
    <w:unhideWhenUsed/>
    <w:qFormat/>
    <w:rsid w:val="00835A8D"/>
    <w:pPr>
      <w:spacing w:after="0" w:line="240" w:lineRule="auto"/>
      <w:ind w:firstLine="270"/>
    </w:pPr>
    <w:rPr>
      <w:rFonts w:ascii="Times New Roman" w:hAnsi="Times New Roman"/>
      <w:sz w:val="20"/>
      <w:szCs w:val="20"/>
    </w:rPr>
  </w:style>
  <w:style w:type="character" w:customStyle="1" w:styleId="FootnoteTextChar">
    <w:name w:val="Footnote Text Char"/>
    <w:basedOn w:val="DefaultParagraphFont"/>
    <w:link w:val="FootnoteText"/>
    <w:uiPriority w:val="99"/>
    <w:rsid w:val="00835A8D"/>
    <w:rPr>
      <w:rFonts w:ascii="Times New Roman" w:hAnsi="Times New Roman"/>
      <w:sz w:val="20"/>
      <w:szCs w:val="20"/>
    </w:rPr>
  </w:style>
  <w:style w:type="character" w:styleId="FootnoteReference">
    <w:name w:val="footnote reference"/>
    <w:basedOn w:val="DefaultParagraphFont"/>
    <w:uiPriority w:val="99"/>
    <w:unhideWhenUsed/>
    <w:rsid w:val="00835A8D"/>
    <w:rPr>
      <w:vertAlign w:val="superscript"/>
    </w:rPr>
  </w:style>
  <w:style w:type="character" w:styleId="CommentReference">
    <w:name w:val="annotation reference"/>
    <w:basedOn w:val="DefaultParagraphFont"/>
    <w:uiPriority w:val="99"/>
    <w:semiHidden/>
    <w:unhideWhenUsed/>
    <w:rsid w:val="00835A8D"/>
    <w:rPr>
      <w:sz w:val="16"/>
      <w:szCs w:val="16"/>
    </w:rPr>
  </w:style>
  <w:style w:type="paragraph" w:styleId="CommentText">
    <w:name w:val="annotation text"/>
    <w:basedOn w:val="Normal"/>
    <w:link w:val="CommentTextChar"/>
    <w:uiPriority w:val="99"/>
    <w:semiHidden/>
    <w:unhideWhenUsed/>
    <w:rsid w:val="00835A8D"/>
    <w:pPr>
      <w:spacing w:line="240" w:lineRule="auto"/>
    </w:pPr>
    <w:rPr>
      <w:sz w:val="20"/>
      <w:szCs w:val="20"/>
    </w:rPr>
  </w:style>
  <w:style w:type="character" w:customStyle="1" w:styleId="CommentTextChar">
    <w:name w:val="Comment Text Char"/>
    <w:basedOn w:val="DefaultParagraphFont"/>
    <w:link w:val="CommentText"/>
    <w:uiPriority w:val="99"/>
    <w:semiHidden/>
    <w:rsid w:val="00835A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Tabaré Capitán</dc:creator>
  <cp:keywords/>
  <dc:description/>
  <cp:lastModifiedBy>Tabaré Capitán</cp:lastModifiedBy>
  <cp:revision>4</cp:revision>
  <dcterms:created xsi:type="dcterms:W3CDTF">2020-06-08T14:20:00Z</dcterms:created>
  <dcterms:modified xsi:type="dcterms:W3CDTF">2020-06-15T18:26:00Z</dcterms:modified>
</cp:coreProperties>
</file>