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A6" w:rsidRPr="00427AEF" w:rsidRDefault="00AC17A6">
      <w:pPr>
        <w:rPr>
          <w:rFonts w:ascii="Verdana" w:hAnsi="Verdana"/>
          <w:b/>
          <w:sz w:val="20"/>
        </w:rPr>
      </w:pPr>
      <w:proofErr w:type="spellStart"/>
      <w:r w:rsidRPr="00427AEF">
        <w:rPr>
          <w:rFonts w:ascii="Verdana" w:hAnsi="Verdana"/>
          <w:b/>
          <w:sz w:val="20"/>
        </w:rPr>
        <w:t>Azure</w:t>
      </w:r>
      <w:proofErr w:type="spellEnd"/>
      <w:r w:rsidRPr="00427AEF">
        <w:rPr>
          <w:rFonts w:ascii="Verdana" w:hAnsi="Verdana"/>
          <w:b/>
          <w:sz w:val="20"/>
        </w:rPr>
        <w:t xml:space="preserve"> – </w:t>
      </w:r>
      <w:proofErr w:type="spellStart"/>
      <w:r w:rsidRPr="00427AEF">
        <w:rPr>
          <w:rFonts w:ascii="Verdana" w:hAnsi="Verdana"/>
          <w:b/>
          <w:sz w:val="20"/>
        </w:rPr>
        <w:t>DocumentDB</w:t>
      </w:r>
      <w:proofErr w:type="spellEnd"/>
      <w:r w:rsidRPr="00427AEF">
        <w:rPr>
          <w:rFonts w:ascii="Verdana" w:hAnsi="Verdana"/>
          <w:b/>
          <w:sz w:val="20"/>
        </w:rPr>
        <w:t xml:space="preserve"> - Criando </w:t>
      </w:r>
      <w:proofErr w:type="spellStart"/>
      <w:r w:rsidRPr="00427AEF">
        <w:rPr>
          <w:rFonts w:ascii="Verdana" w:hAnsi="Verdana"/>
          <w:b/>
          <w:sz w:val="20"/>
        </w:rPr>
        <w:t>Colletions</w:t>
      </w:r>
      <w:proofErr w:type="spellEnd"/>
    </w:p>
    <w:p w:rsidR="00AC17A6" w:rsidRPr="00427AEF" w:rsidRDefault="00AC17A6" w:rsidP="00AC17A6">
      <w:pPr>
        <w:pStyle w:val="PargrafodaLista"/>
        <w:numPr>
          <w:ilvl w:val="0"/>
          <w:numId w:val="1"/>
        </w:numPr>
        <w:ind w:left="360"/>
        <w:rPr>
          <w:rFonts w:ascii="Verdana" w:hAnsi="Verdana"/>
          <w:sz w:val="18"/>
        </w:rPr>
      </w:pPr>
      <w:r w:rsidRPr="00427AEF">
        <w:rPr>
          <w:rFonts w:ascii="Verdana" w:hAnsi="Verdana"/>
          <w:sz w:val="18"/>
        </w:rPr>
        <w:t xml:space="preserve">Criando </w:t>
      </w:r>
      <w:proofErr w:type="spellStart"/>
      <w:r w:rsidRPr="00427AEF">
        <w:rPr>
          <w:rFonts w:ascii="Verdana" w:hAnsi="Verdana"/>
          <w:sz w:val="18"/>
        </w:rPr>
        <w:t>Azure</w:t>
      </w:r>
      <w:proofErr w:type="spellEnd"/>
      <w:r w:rsidRPr="00427AEF">
        <w:rPr>
          <w:rFonts w:ascii="Verdana" w:hAnsi="Verdana"/>
          <w:sz w:val="18"/>
        </w:rPr>
        <w:t xml:space="preserve"> Cosmos DB (Evolução do </w:t>
      </w:r>
      <w:proofErr w:type="spellStart"/>
      <w:r w:rsidRPr="00427AEF">
        <w:rPr>
          <w:rFonts w:ascii="Verdana" w:hAnsi="Verdana"/>
          <w:sz w:val="18"/>
        </w:rPr>
        <w:t>DocumentDB</w:t>
      </w:r>
      <w:proofErr w:type="spellEnd"/>
      <w:r w:rsidRPr="00427AEF">
        <w:rPr>
          <w:rFonts w:ascii="Verdana" w:hAnsi="Verdana"/>
          <w:sz w:val="18"/>
        </w:rPr>
        <w:t xml:space="preserve"> com distribuição global, </w:t>
      </w:r>
      <w:proofErr w:type="spellStart"/>
      <w:r w:rsidRPr="00427AEF">
        <w:rPr>
          <w:rFonts w:ascii="Verdana" w:hAnsi="Verdana"/>
          <w:sz w:val="18"/>
        </w:rPr>
        <w:t>escabilidade</w:t>
      </w:r>
      <w:proofErr w:type="spellEnd"/>
      <w:r w:rsidRPr="00427AEF">
        <w:rPr>
          <w:rFonts w:ascii="Verdana" w:hAnsi="Verdana"/>
          <w:sz w:val="18"/>
        </w:rPr>
        <w:t>, SLA</w:t>
      </w:r>
      <w:r w:rsidR="00A249D3">
        <w:rPr>
          <w:rFonts w:ascii="Verdana" w:hAnsi="Verdana"/>
          <w:sz w:val="18"/>
        </w:rPr>
        <w:t xml:space="preserve"> melhorado</w:t>
      </w:r>
      <w:bookmarkStart w:id="0" w:name="_GoBack"/>
      <w:bookmarkEnd w:id="0"/>
      <w:r w:rsidRPr="00427AEF">
        <w:rPr>
          <w:rFonts w:ascii="Verdana" w:hAnsi="Verdana"/>
          <w:sz w:val="18"/>
        </w:rPr>
        <w:t>)</w:t>
      </w:r>
    </w:p>
    <w:p w:rsidR="00AC17A6" w:rsidRPr="00427AEF" w:rsidRDefault="00AC17A6" w:rsidP="00AC17A6">
      <w:pPr>
        <w:ind w:left="-360" w:firstLine="720"/>
        <w:rPr>
          <w:rFonts w:ascii="Verdana" w:hAnsi="Verdana"/>
          <w:b/>
          <w:sz w:val="18"/>
        </w:rPr>
      </w:pPr>
      <w:r w:rsidRPr="00427AEF">
        <w:rPr>
          <w:rFonts w:ascii="Verdana" w:hAnsi="Verdana"/>
          <w:noProof/>
          <w:sz w:val="1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602399</wp:posOffset>
            </wp:positionH>
            <wp:positionV relativeFrom="paragraph">
              <wp:posOffset>302895</wp:posOffset>
            </wp:positionV>
            <wp:extent cx="4680000" cy="2385677"/>
            <wp:effectExtent l="0" t="0" r="635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5" b="5564"/>
                    <a:stretch/>
                  </pic:blipFill>
                  <pic:spPr bwMode="auto">
                    <a:xfrm>
                      <a:off x="0" y="0"/>
                      <a:ext cx="4680000" cy="238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AEF">
        <w:rPr>
          <w:rFonts w:ascii="Verdana" w:hAnsi="Verdana"/>
          <w:b/>
          <w:sz w:val="18"/>
        </w:rPr>
        <w:t xml:space="preserve">Novo -&gt; </w:t>
      </w:r>
      <w:proofErr w:type="spellStart"/>
      <w:r w:rsidRPr="00427AEF">
        <w:rPr>
          <w:rFonts w:ascii="Verdana" w:hAnsi="Verdana"/>
          <w:b/>
          <w:sz w:val="18"/>
        </w:rPr>
        <w:t>Databases</w:t>
      </w:r>
      <w:proofErr w:type="spellEnd"/>
      <w:r w:rsidRPr="00427AEF">
        <w:rPr>
          <w:rFonts w:ascii="Verdana" w:hAnsi="Verdana"/>
          <w:b/>
          <w:sz w:val="18"/>
        </w:rPr>
        <w:t xml:space="preserve"> -&gt; </w:t>
      </w:r>
      <w:proofErr w:type="spellStart"/>
      <w:r w:rsidRPr="00427AEF">
        <w:rPr>
          <w:rFonts w:ascii="Verdana" w:hAnsi="Verdana"/>
          <w:b/>
          <w:sz w:val="18"/>
        </w:rPr>
        <w:t>Azure</w:t>
      </w:r>
      <w:proofErr w:type="spellEnd"/>
      <w:r w:rsidRPr="00427AEF">
        <w:rPr>
          <w:rFonts w:ascii="Verdana" w:hAnsi="Verdana"/>
          <w:b/>
          <w:sz w:val="18"/>
        </w:rPr>
        <w:t xml:space="preserve"> Cosmos DB</w:t>
      </w:r>
    </w:p>
    <w:p w:rsidR="00AC17A6" w:rsidRPr="00427AEF" w:rsidRDefault="00AC17A6">
      <w:pPr>
        <w:rPr>
          <w:rFonts w:ascii="Verdana" w:hAnsi="Verdana"/>
          <w:sz w:val="18"/>
        </w:rPr>
      </w:pPr>
    </w:p>
    <w:p w:rsidR="00AC17A6" w:rsidRPr="00427AEF" w:rsidRDefault="00427AEF" w:rsidP="00AC17A6">
      <w:pPr>
        <w:pStyle w:val="PargrafodaLista"/>
        <w:numPr>
          <w:ilvl w:val="0"/>
          <w:numId w:val="1"/>
        </w:numPr>
        <w:ind w:left="360"/>
        <w:rPr>
          <w:rFonts w:ascii="Verdana" w:hAnsi="Verdana"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11ED827" wp14:editId="6756FFF8">
            <wp:simplePos x="0" y="0"/>
            <wp:positionH relativeFrom="margin">
              <wp:posOffset>-295275</wp:posOffset>
            </wp:positionH>
            <wp:positionV relativeFrom="paragraph">
              <wp:posOffset>381635</wp:posOffset>
            </wp:positionV>
            <wp:extent cx="2130425" cy="3795395"/>
            <wp:effectExtent l="19050" t="19050" r="22225" b="14605"/>
            <wp:wrapTight wrapText="bothSides">
              <wp:wrapPolygon edited="0">
                <wp:start x="-193" y="-108"/>
                <wp:lineTo x="-193" y="21575"/>
                <wp:lineTo x="21632" y="21575"/>
                <wp:lineTo x="21632" y="-108"/>
                <wp:lineTo x="-193" y="-10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" r="1793"/>
                    <a:stretch/>
                  </pic:blipFill>
                  <pic:spPr bwMode="auto">
                    <a:xfrm>
                      <a:off x="0" y="0"/>
                      <a:ext cx="2130425" cy="3795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A6" w:rsidRPr="00427AEF">
        <w:rPr>
          <w:rFonts w:ascii="Verdana" w:hAnsi="Verdana"/>
          <w:sz w:val="18"/>
        </w:rPr>
        <w:t>Informações da Conta:</w:t>
      </w:r>
    </w:p>
    <w:tbl>
      <w:tblPr>
        <w:tblpPr w:leftFromText="141" w:rightFromText="141" w:vertAnchor="page" w:horzAnchor="page" w:tblpX="4946" w:tblpY="7704"/>
        <w:tblW w:w="6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88"/>
        <w:gridCol w:w="3545"/>
      </w:tblGrid>
      <w:tr w:rsidR="00427AEF" w:rsidRPr="00AC17A6" w:rsidTr="00427AEF">
        <w:trPr>
          <w:trHeight w:val="99"/>
          <w:tblHeader/>
        </w:trPr>
        <w:tc>
          <w:tcPr>
            <w:tcW w:w="129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-ui_semibold" w:eastAsia="Times New Roman" w:hAnsi="segoe-ui_semibold" w:cs="Segoe UI"/>
                <w:b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-ui_semibold" w:eastAsia="Times New Roman" w:hAnsi="segoe-ui_semibold" w:cs="Segoe UI"/>
                <w:b/>
                <w:color w:val="222222"/>
                <w:sz w:val="14"/>
                <w:szCs w:val="24"/>
                <w:lang w:eastAsia="pt-BR"/>
              </w:rPr>
              <w:t>Configuração</w:t>
            </w:r>
          </w:p>
        </w:tc>
        <w:tc>
          <w:tcPr>
            <w:tcW w:w="138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-ui_semibold" w:eastAsia="Times New Roman" w:hAnsi="segoe-ui_semibold" w:cs="Segoe UI"/>
                <w:b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-ui_semibold" w:eastAsia="Times New Roman" w:hAnsi="segoe-ui_semibold" w:cs="Segoe UI"/>
                <w:b/>
                <w:color w:val="222222"/>
                <w:sz w:val="14"/>
                <w:szCs w:val="24"/>
                <w:lang w:eastAsia="pt-BR"/>
              </w:rPr>
              <w:t>Valor sugerido</w:t>
            </w:r>
          </w:p>
        </w:tc>
        <w:tc>
          <w:tcPr>
            <w:tcW w:w="3545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-ui_semibold" w:eastAsia="Times New Roman" w:hAnsi="segoe-ui_semibold" w:cs="Segoe UI"/>
                <w:b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-ui_semibold" w:eastAsia="Times New Roman" w:hAnsi="segoe-ui_semibold" w:cs="Segoe UI"/>
                <w:b/>
                <w:color w:val="222222"/>
                <w:sz w:val="14"/>
                <w:szCs w:val="24"/>
                <w:lang w:eastAsia="pt-BR"/>
              </w:rPr>
              <w:t>Descrição</w:t>
            </w:r>
          </w:p>
        </w:tc>
      </w:tr>
      <w:tr w:rsidR="00427AEF" w:rsidRPr="00AC17A6" w:rsidTr="00427AEF">
        <w:trPr>
          <w:trHeight w:val="834"/>
        </w:trPr>
        <w:tc>
          <w:tcPr>
            <w:tcW w:w="12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ID</w:t>
            </w:r>
          </w:p>
        </w:tc>
        <w:tc>
          <w:tcPr>
            <w:tcW w:w="13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i/>
                <w:iCs/>
                <w:color w:val="222222"/>
                <w:sz w:val="14"/>
                <w:szCs w:val="24"/>
                <w:lang w:eastAsia="pt-BR"/>
              </w:rPr>
              <w:t>Valor exclusivo</w:t>
            </w:r>
          </w:p>
        </w:tc>
        <w:tc>
          <w:tcPr>
            <w:tcW w:w="35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 xml:space="preserve">Um nome exclusivo que identifica sua conta </w:t>
            </w:r>
            <w:proofErr w:type="spellStart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Azure</w:t>
            </w:r>
            <w:proofErr w:type="spellEnd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 xml:space="preserve"> Cosmos DB. A </w:t>
            </w:r>
            <w:proofErr w:type="spellStart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string</w:t>
            </w:r>
            <w:proofErr w:type="spellEnd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 </w:t>
            </w:r>
            <w:r w:rsidRPr="00AC17A6">
              <w:rPr>
                <w:rFonts w:ascii="Segoe UI" w:eastAsia="Times New Roman" w:hAnsi="Segoe UI" w:cs="Segoe UI"/>
                <w:i/>
                <w:iCs/>
                <w:color w:val="222222"/>
                <w:sz w:val="14"/>
                <w:szCs w:val="24"/>
                <w:lang w:eastAsia="pt-BR"/>
              </w:rPr>
              <w:t>documents.azure.com</w:t>
            </w: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 é anexada à ID que você fornece para criar seu URI, então use uma identificação única, mas identificável. O ID pode conter apenas letras minúsculas, números e o hífen (-), e deve conter de 3 a 50 caracteres.</w:t>
            </w:r>
          </w:p>
        </w:tc>
      </w:tr>
      <w:tr w:rsidR="00427AEF" w:rsidRPr="00AC17A6" w:rsidTr="00427AEF">
        <w:trPr>
          <w:trHeight w:val="444"/>
        </w:trPr>
        <w:tc>
          <w:tcPr>
            <w:tcW w:w="12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API</w:t>
            </w:r>
          </w:p>
        </w:tc>
        <w:tc>
          <w:tcPr>
            <w:tcW w:w="13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SQL (</w:t>
            </w:r>
            <w:proofErr w:type="spellStart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DocumentDB</w:t>
            </w:r>
            <w:proofErr w:type="spellEnd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)</w:t>
            </w:r>
          </w:p>
        </w:tc>
        <w:tc>
          <w:tcPr>
            <w:tcW w:w="35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sz w:val="14"/>
                <w:szCs w:val="24"/>
                <w:lang w:eastAsia="pt-BR"/>
              </w:rPr>
              <w:t xml:space="preserve">Programamos contra a API </w:t>
            </w:r>
            <w:proofErr w:type="spellStart"/>
            <w:r w:rsidRPr="00AC17A6">
              <w:rPr>
                <w:rFonts w:ascii="Segoe UI" w:eastAsia="Times New Roman" w:hAnsi="Segoe UI" w:cs="Segoe UI"/>
                <w:sz w:val="14"/>
                <w:szCs w:val="24"/>
                <w:lang w:eastAsia="pt-BR"/>
              </w:rPr>
              <w:t>DocumentDB</w:t>
            </w:r>
            <w:proofErr w:type="spellEnd"/>
            <w:r w:rsidRPr="00AC17A6">
              <w:rPr>
                <w:rFonts w:ascii="Segoe UI" w:eastAsia="Times New Roman" w:hAnsi="Segoe UI" w:cs="Segoe UI"/>
                <w:sz w:val="14"/>
                <w:szCs w:val="24"/>
                <w:lang w:eastAsia="pt-BR"/>
              </w:rPr>
              <w:t> mais adiante neste artigo.</w:t>
            </w:r>
          </w:p>
        </w:tc>
      </w:tr>
      <w:tr w:rsidR="00427AEF" w:rsidRPr="00AC17A6" w:rsidTr="00427AEF">
        <w:trPr>
          <w:trHeight w:val="456"/>
        </w:trPr>
        <w:tc>
          <w:tcPr>
            <w:tcW w:w="12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Inscrição</w:t>
            </w:r>
          </w:p>
        </w:tc>
        <w:tc>
          <w:tcPr>
            <w:tcW w:w="13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i/>
                <w:iCs/>
                <w:color w:val="222222"/>
                <w:sz w:val="14"/>
                <w:szCs w:val="24"/>
                <w:lang w:eastAsia="pt-BR"/>
              </w:rPr>
              <w:t>Sua assinatura</w:t>
            </w:r>
          </w:p>
        </w:tc>
        <w:tc>
          <w:tcPr>
            <w:tcW w:w="35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 xml:space="preserve">A assinatura do </w:t>
            </w:r>
            <w:proofErr w:type="spellStart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Azure</w:t>
            </w:r>
            <w:proofErr w:type="spellEnd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 xml:space="preserve"> que você deseja usar para sua conta </w:t>
            </w:r>
            <w:proofErr w:type="spellStart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Azure</w:t>
            </w:r>
            <w:proofErr w:type="spellEnd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 xml:space="preserve"> Cosmos DB.</w:t>
            </w:r>
          </w:p>
        </w:tc>
      </w:tr>
      <w:tr w:rsidR="00427AEF" w:rsidRPr="00AC17A6" w:rsidTr="00427AEF">
        <w:trPr>
          <w:trHeight w:val="624"/>
        </w:trPr>
        <w:tc>
          <w:tcPr>
            <w:tcW w:w="12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Grupo de Recursos</w:t>
            </w:r>
          </w:p>
        </w:tc>
        <w:tc>
          <w:tcPr>
            <w:tcW w:w="13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i/>
                <w:iCs/>
                <w:color w:val="222222"/>
                <w:sz w:val="14"/>
                <w:szCs w:val="24"/>
                <w:lang w:eastAsia="pt-BR"/>
              </w:rPr>
              <w:t>O mesmo valor que ID</w:t>
            </w:r>
          </w:p>
        </w:tc>
        <w:tc>
          <w:tcPr>
            <w:tcW w:w="35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O novo nome do grupo de recursos para sua conta. Por simplicidade, você pode usar o mesmo nome que seu ID.</w:t>
            </w:r>
          </w:p>
        </w:tc>
      </w:tr>
      <w:tr w:rsidR="00427AEF" w:rsidRPr="00AC17A6" w:rsidTr="00427AEF">
        <w:trPr>
          <w:trHeight w:val="765"/>
        </w:trPr>
        <w:tc>
          <w:tcPr>
            <w:tcW w:w="12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Localização</w:t>
            </w:r>
          </w:p>
        </w:tc>
        <w:tc>
          <w:tcPr>
            <w:tcW w:w="13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i/>
                <w:iCs/>
                <w:color w:val="222222"/>
                <w:sz w:val="14"/>
                <w:szCs w:val="24"/>
                <w:lang w:eastAsia="pt-BR"/>
              </w:rPr>
              <w:t>A região mais próxima dos seus usuários</w:t>
            </w:r>
          </w:p>
        </w:tc>
        <w:tc>
          <w:tcPr>
            <w:tcW w:w="35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27AEF" w:rsidRPr="00AC17A6" w:rsidRDefault="00427AEF" w:rsidP="00427AE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</w:pP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shd w:val="clear" w:color="auto" w:fill="C9D7F1"/>
                <w:lang w:eastAsia="pt-BR"/>
              </w:rPr>
              <w:t xml:space="preserve">A localização geográfica em que hospeda sua conta </w:t>
            </w:r>
            <w:proofErr w:type="spellStart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shd w:val="clear" w:color="auto" w:fill="C9D7F1"/>
                <w:lang w:eastAsia="pt-BR"/>
              </w:rPr>
              <w:t>Azure</w:t>
            </w:r>
            <w:proofErr w:type="spellEnd"/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shd w:val="clear" w:color="auto" w:fill="C9D7F1"/>
                <w:lang w:eastAsia="pt-BR"/>
              </w:rPr>
              <w:t xml:space="preserve"> Cosmos DB. </w:t>
            </w:r>
            <w:r w:rsidRPr="00AC17A6">
              <w:rPr>
                <w:rFonts w:ascii="Segoe UI" w:eastAsia="Times New Roman" w:hAnsi="Segoe UI" w:cs="Segoe UI"/>
                <w:color w:val="222222"/>
                <w:sz w:val="14"/>
                <w:szCs w:val="24"/>
                <w:lang w:eastAsia="pt-BR"/>
              </w:rPr>
              <w:t>Escolha o local mais próximo dos seus usuários para dar-lhes o acesso mais rápido aos dados.</w:t>
            </w:r>
          </w:p>
        </w:tc>
      </w:tr>
    </w:tbl>
    <w:p w:rsidR="00AC17A6" w:rsidRDefault="00AC17A6"/>
    <w:p w:rsidR="001B61E7" w:rsidRDefault="001B61E7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AC17A6" w:rsidRDefault="00C62CB5" w:rsidP="00427AEF">
      <w:pPr>
        <w:pStyle w:val="PargrafodaLista"/>
        <w:numPr>
          <w:ilvl w:val="0"/>
          <w:numId w:val="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 xml:space="preserve">Criando uma </w:t>
      </w:r>
      <w:proofErr w:type="spellStart"/>
      <w:r>
        <w:rPr>
          <w:rFonts w:ascii="Verdana" w:hAnsi="Verdana"/>
          <w:sz w:val="18"/>
        </w:rPr>
        <w:t>Collection</w:t>
      </w:r>
      <w:proofErr w:type="spellEnd"/>
      <w:r>
        <w:rPr>
          <w:rFonts w:ascii="Verdana" w:hAnsi="Verdana"/>
          <w:sz w:val="18"/>
        </w:rPr>
        <w:t xml:space="preserve">: </w:t>
      </w:r>
      <w:proofErr w:type="spellStart"/>
      <w:r>
        <w:rPr>
          <w:rFonts w:ascii="Verdana" w:hAnsi="Verdana"/>
          <w:sz w:val="18"/>
        </w:rPr>
        <w:t>Azure</w:t>
      </w:r>
      <w:proofErr w:type="spellEnd"/>
      <w:r>
        <w:rPr>
          <w:rFonts w:ascii="Verdana" w:hAnsi="Verdana"/>
          <w:sz w:val="18"/>
        </w:rPr>
        <w:t xml:space="preserve"> Cosmos DB -&gt; Data Explorer -&gt; New </w:t>
      </w:r>
      <w:proofErr w:type="spellStart"/>
      <w:r>
        <w:rPr>
          <w:rFonts w:ascii="Verdana" w:hAnsi="Verdana"/>
          <w:sz w:val="18"/>
        </w:rPr>
        <w:t>Collection</w:t>
      </w:r>
      <w:proofErr w:type="spellEnd"/>
    </w:p>
    <w:p w:rsidR="001B61E7" w:rsidRPr="001B61E7" w:rsidRDefault="001B61E7" w:rsidP="001B61E7">
      <w:pPr>
        <w:rPr>
          <w:rFonts w:ascii="Verdana" w:hAnsi="Verdana"/>
          <w:sz w:val="18"/>
        </w:rPr>
      </w:pPr>
      <w:r>
        <w:rPr>
          <w:noProof/>
          <w:lang w:eastAsia="pt-BR"/>
        </w:rPr>
        <w:drawing>
          <wp:inline distT="0" distB="0" distL="0" distR="0" wp14:anchorId="44D38662" wp14:editId="693A5B2D">
            <wp:extent cx="5764530" cy="2695492"/>
            <wp:effectExtent l="19050" t="19050" r="26670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43" b="7271"/>
                    <a:stretch/>
                  </pic:blipFill>
                  <pic:spPr bwMode="auto">
                    <a:xfrm>
                      <a:off x="0" y="0"/>
                      <a:ext cx="5779407" cy="2702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7A6" w:rsidRDefault="00AC17A6"/>
    <w:tbl>
      <w:tblPr>
        <w:tblW w:w="91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617"/>
        <w:gridCol w:w="5842"/>
      </w:tblGrid>
      <w:tr w:rsidR="00C62CB5" w:rsidRPr="00C62CB5" w:rsidTr="001B61E7">
        <w:trPr>
          <w:trHeight w:val="210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C62CB5" w:rsidRPr="00C62CB5" w:rsidRDefault="00C62CB5" w:rsidP="00C62CB5">
            <w:pPr>
              <w:spacing w:after="0" w:line="240" w:lineRule="auto"/>
              <w:jc w:val="center"/>
              <w:rPr>
                <w:rFonts w:asciiTheme="majorHAnsi" w:eastAsia="Times New Roman" w:hAnsiTheme="majorHAnsi" w:cs="Segoe UI"/>
                <w:b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b/>
                <w:color w:val="222222"/>
                <w:sz w:val="14"/>
                <w:szCs w:val="24"/>
                <w:lang w:eastAsia="pt-BR"/>
              </w:rPr>
              <w:t>Configuração</w:t>
            </w:r>
          </w:p>
        </w:tc>
        <w:tc>
          <w:tcPr>
            <w:tcW w:w="161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C62CB5" w:rsidRPr="00C62CB5" w:rsidRDefault="00C62CB5" w:rsidP="00C62CB5">
            <w:pPr>
              <w:spacing w:after="0" w:line="240" w:lineRule="auto"/>
              <w:jc w:val="center"/>
              <w:rPr>
                <w:rFonts w:asciiTheme="majorHAnsi" w:eastAsia="Times New Roman" w:hAnsiTheme="majorHAnsi" w:cs="Segoe UI"/>
                <w:b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b/>
                <w:color w:val="222222"/>
                <w:sz w:val="14"/>
                <w:szCs w:val="24"/>
                <w:lang w:eastAsia="pt-BR"/>
              </w:rPr>
              <w:t>Valor sugerido</w:t>
            </w:r>
          </w:p>
        </w:tc>
        <w:tc>
          <w:tcPr>
            <w:tcW w:w="584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C62CB5" w:rsidRPr="00C62CB5" w:rsidRDefault="00C62CB5" w:rsidP="00C62CB5">
            <w:pPr>
              <w:spacing w:after="0" w:line="240" w:lineRule="auto"/>
              <w:jc w:val="center"/>
              <w:rPr>
                <w:rFonts w:asciiTheme="majorHAnsi" w:eastAsia="Times New Roman" w:hAnsiTheme="majorHAnsi" w:cs="Segoe UI"/>
                <w:b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b/>
                <w:color w:val="222222"/>
                <w:sz w:val="14"/>
                <w:szCs w:val="24"/>
                <w:lang w:eastAsia="pt-BR"/>
              </w:rPr>
              <w:t>Descrição</w:t>
            </w:r>
          </w:p>
        </w:tc>
      </w:tr>
      <w:tr w:rsidR="00C62CB5" w:rsidRPr="00C62CB5" w:rsidTr="001B61E7">
        <w:trPr>
          <w:trHeight w:val="33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ID da base de dados</w:t>
            </w:r>
          </w:p>
        </w:tc>
        <w:tc>
          <w:tcPr>
            <w:tcW w:w="16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Tarefas</w:t>
            </w:r>
          </w:p>
        </w:tc>
        <w:tc>
          <w:tcPr>
            <w:tcW w:w="584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 xml:space="preserve">O ID para o seu novo banco de dados. Os nomes de banco de dados devem conter de 1 a 255 caracteres, e eles não podem conter /, \, </w:t>
            </w:r>
            <w:proofErr w:type="gramStart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#,?</w:t>
            </w:r>
            <w:proofErr w:type="gramEnd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 xml:space="preserve"> Ou um espaço final.</w:t>
            </w:r>
          </w:p>
        </w:tc>
      </w:tr>
      <w:tr w:rsidR="00C62CB5" w:rsidRPr="00C62CB5" w:rsidTr="001B61E7">
        <w:trPr>
          <w:trHeight w:val="317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ID da coleção</w:t>
            </w:r>
          </w:p>
        </w:tc>
        <w:tc>
          <w:tcPr>
            <w:tcW w:w="16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proofErr w:type="spellStart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Unid</w:t>
            </w:r>
            <w:proofErr w:type="spellEnd"/>
          </w:p>
        </w:tc>
        <w:tc>
          <w:tcPr>
            <w:tcW w:w="584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 xml:space="preserve">O ID para a sua nova coleção. Os nomes de coleção têm os mesmos requisitos de caracteres que os </w:t>
            </w:r>
            <w:proofErr w:type="spellStart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IDs</w:t>
            </w:r>
            <w:proofErr w:type="spellEnd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 xml:space="preserve"> de banco de dados.</w:t>
            </w:r>
          </w:p>
        </w:tc>
      </w:tr>
      <w:tr w:rsidR="00C62CB5" w:rsidRPr="00C62CB5" w:rsidTr="001B61E7">
        <w:trPr>
          <w:trHeight w:val="29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Capacidade de armazenamento</w:t>
            </w:r>
          </w:p>
        </w:tc>
        <w:tc>
          <w:tcPr>
            <w:tcW w:w="16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Fixo (10 GB)</w:t>
            </w:r>
          </w:p>
        </w:tc>
        <w:tc>
          <w:tcPr>
            <w:tcW w:w="584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Use o valor padrão. Esta é a capacidade de armazenamento do banco de dados.</w:t>
            </w:r>
          </w:p>
        </w:tc>
      </w:tr>
      <w:tr w:rsidR="00C62CB5" w:rsidRPr="00C62CB5" w:rsidTr="001B61E7">
        <w:trPr>
          <w:trHeight w:val="16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Taxa de transferência</w:t>
            </w:r>
          </w:p>
        </w:tc>
        <w:tc>
          <w:tcPr>
            <w:tcW w:w="16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400 RU</w:t>
            </w:r>
          </w:p>
        </w:tc>
        <w:tc>
          <w:tcPr>
            <w:tcW w:w="584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 xml:space="preserve">Use o valor padrão. Se você quiser reduzir a latência, você pode ampliar o </w:t>
            </w:r>
            <w:proofErr w:type="spellStart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throughput</w:t>
            </w:r>
            <w:proofErr w:type="spellEnd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 xml:space="preserve"> mais tarde.</w:t>
            </w:r>
          </w:p>
        </w:tc>
      </w:tr>
      <w:tr w:rsidR="00C62CB5" w:rsidRPr="00C62CB5" w:rsidTr="001B61E7">
        <w:trPr>
          <w:trHeight w:val="33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Rum</w:t>
            </w:r>
          </w:p>
        </w:tc>
        <w:tc>
          <w:tcPr>
            <w:tcW w:w="16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Fora</w:t>
            </w:r>
          </w:p>
        </w:tc>
        <w:tc>
          <w:tcPr>
            <w:tcW w:w="584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Deixe o valor padrão. Se você precisar lidar com as cargas de trabalho com precisão, você pode ativar o recurso </w:t>
            </w:r>
            <w:hyperlink r:id="rId8" w:history="1">
              <w:r>
                <w:rPr>
                  <w:rFonts w:asciiTheme="majorHAnsi" w:eastAsia="Times New Roman" w:hAnsiTheme="majorHAnsi" w:cs="Segoe UI"/>
                  <w:sz w:val="14"/>
                  <w:szCs w:val="24"/>
                  <w:lang w:eastAsia="pt-BR"/>
                </w:rPr>
                <w:t>RU</w:t>
              </w:r>
              <w:r w:rsidRPr="00C62CB5">
                <w:rPr>
                  <w:rFonts w:asciiTheme="majorHAnsi" w:eastAsia="Times New Roman" w:hAnsiTheme="majorHAnsi" w:cs="Segoe UI"/>
                  <w:sz w:val="14"/>
                  <w:szCs w:val="24"/>
                  <w:lang w:eastAsia="pt-BR"/>
                </w:rPr>
                <w:t>/m</w:t>
              </w:r>
            </w:hyperlink>
            <w:r w:rsidRPr="00C62CB5">
              <w:rPr>
                <w:rFonts w:asciiTheme="majorHAnsi" w:eastAsia="Times New Roman" w:hAnsiTheme="majorHAnsi" w:cs="Segoe UI"/>
                <w:sz w:val="14"/>
                <w:szCs w:val="24"/>
                <w:lang w:eastAsia="pt-BR"/>
              </w:rPr>
              <w:t xml:space="preserve"> na</w:t>
            </w: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quele momento.</w:t>
            </w:r>
          </w:p>
        </w:tc>
      </w:tr>
      <w:tr w:rsidR="00C62CB5" w:rsidRPr="00C62CB5" w:rsidTr="001B61E7">
        <w:trPr>
          <w:trHeight w:val="446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Tecla Partição</w:t>
            </w:r>
          </w:p>
        </w:tc>
        <w:tc>
          <w:tcPr>
            <w:tcW w:w="16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/</w:t>
            </w:r>
            <w:proofErr w:type="gramStart"/>
            <w:r w:rsidRPr="00C62CB5"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  <w:t>categoria</w:t>
            </w:r>
            <w:proofErr w:type="gramEnd"/>
          </w:p>
        </w:tc>
        <w:tc>
          <w:tcPr>
            <w:tcW w:w="584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2CB5" w:rsidRPr="00C62CB5" w:rsidRDefault="00C62CB5" w:rsidP="00C62CB5">
            <w:pPr>
              <w:spacing w:after="0" w:line="240" w:lineRule="auto"/>
              <w:rPr>
                <w:rFonts w:asciiTheme="majorHAnsi" w:eastAsia="Times New Roman" w:hAnsiTheme="majorHAnsi" w:cs="Segoe UI"/>
                <w:color w:val="222222"/>
                <w:sz w:val="14"/>
                <w:szCs w:val="24"/>
                <w:lang w:eastAsia="pt-BR"/>
              </w:rPr>
            </w:pPr>
            <w:r w:rsidRPr="00C62CB5">
              <w:rPr>
                <w:rFonts w:asciiTheme="majorHAnsi" w:eastAsia="Times New Roman" w:hAnsiTheme="majorHAnsi" w:cs="Segoe UI"/>
                <w:sz w:val="14"/>
                <w:szCs w:val="24"/>
                <w:lang w:eastAsia="pt-BR"/>
              </w:rPr>
              <w:t xml:space="preserve">Uma chave de partição que distribui dados uniformemente para cada partição. Selecionar a chave de partição correta é importante na criação de uma coleção executada. Para saber mais, consulte Designando para </w:t>
            </w:r>
            <w:proofErr w:type="spellStart"/>
            <w:r w:rsidRPr="00C62CB5">
              <w:rPr>
                <w:rFonts w:asciiTheme="majorHAnsi" w:eastAsia="Times New Roman" w:hAnsiTheme="majorHAnsi" w:cs="Segoe UI"/>
                <w:sz w:val="14"/>
                <w:szCs w:val="24"/>
                <w:lang w:eastAsia="pt-BR"/>
              </w:rPr>
              <w:t>particionamento</w:t>
            </w:r>
            <w:proofErr w:type="spellEnd"/>
            <w:r>
              <w:rPr>
                <w:rFonts w:asciiTheme="majorHAnsi" w:eastAsia="Times New Roman" w:hAnsiTheme="majorHAnsi" w:cs="Segoe UI"/>
                <w:sz w:val="14"/>
                <w:szCs w:val="24"/>
                <w:lang w:eastAsia="pt-BR"/>
              </w:rPr>
              <w:t>.</w:t>
            </w:r>
          </w:p>
        </w:tc>
      </w:tr>
    </w:tbl>
    <w:p w:rsidR="00AC17A6" w:rsidRDefault="00AC17A6" w:rsidP="00520A52"/>
    <w:p w:rsidR="001B61E7" w:rsidRDefault="00520A52" w:rsidP="00520A52">
      <w:pPr>
        <w:pStyle w:val="PargrafodaLista"/>
        <w:numPr>
          <w:ilvl w:val="0"/>
          <w:numId w:val="1"/>
        </w:numPr>
      </w:pPr>
      <w:r>
        <w:t xml:space="preserve">Por padrão o </w:t>
      </w:r>
      <w:proofErr w:type="spellStart"/>
      <w:r>
        <w:t>Azure</w:t>
      </w:r>
      <w:proofErr w:type="spellEnd"/>
      <w:r>
        <w:t xml:space="preserve"> cria uma tabela “c” com os registros. Tem a opção para renomear, mas para teste vamos usar a mesma. Clique com direito na sua </w:t>
      </w:r>
      <w:proofErr w:type="spellStart"/>
      <w:r>
        <w:t>Collection</w:t>
      </w:r>
      <w:proofErr w:type="spellEnd"/>
      <w:r>
        <w:t xml:space="preserve">, selecione “Nova Query” e pressione </w:t>
      </w:r>
      <w:proofErr w:type="spellStart"/>
      <w:r>
        <w:t>Run</w:t>
      </w:r>
      <w:proofErr w:type="spellEnd"/>
      <w:r>
        <w:t xml:space="preserve">. </w:t>
      </w:r>
    </w:p>
    <w:p w:rsidR="00520A52" w:rsidRDefault="00520A52" w:rsidP="00520A52">
      <w:r>
        <w:rPr>
          <w:noProof/>
          <w:lang w:eastAsia="pt-BR"/>
        </w:rPr>
        <w:lastRenderedPageBreak/>
        <w:drawing>
          <wp:inline distT="0" distB="0" distL="0" distR="0" wp14:anchorId="40236040" wp14:editId="1CBBEAD6">
            <wp:extent cx="5399869" cy="25730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05" b="6838"/>
                    <a:stretch/>
                  </pic:blipFill>
                  <pic:spPr bwMode="auto">
                    <a:xfrm>
                      <a:off x="0" y="0"/>
                      <a:ext cx="5400040" cy="257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A52" w:rsidRDefault="00520A52" w:rsidP="00520A52"/>
    <w:p w:rsidR="00520A52" w:rsidRDefault="00520A52" w:rsidP="00520A52">
      <w:pPr>
        <w:pStyle w:val="PargrafodaLista"/>
        <w:numPr>
          <w:ilvl w:val="0"/>
          <w:numId w:val="1"/>
        </w:numPr>
      </w:pPr>
      <w:r>
        <w:t>Agora vamos criar um novo registro, para isso selecione “</w:t>
      </w:r>
      <w:proofErr w:type="spellStart"/>
      <w:r>
        <w:t>Document</w:t>
      </w:r>
      <w:proofErr w:type="spellEnd"/>
      <w:r>
        <w:t xml:space="preserve">” -&gt; “New </w:t>
      </w:r>
      <w:proofErr w:type="spellStart"/>
      <w:r>
        <w:t>Document</w:t>
      </w:r>
      <w:proofErr w:type="spellEnd"/>
      <w:r>
        <w:t xml:space="preserve">”, escreva os dados que deseja no formato JSON, lembrando que de </w:t>
      </w:r>
      <w:r w:rsidR="002E541E">
        <w:t>preferência</w:t>
      </w:r>
      <w:r>
        <w:t xml:space="preserve"> use o campo “id” minúsculo, pois ele vai substituir o id RANDOM</w:t>
      </w:r>
      <w:r w:rsidR="002E541E">
        <w:t xml:space="preserve"> que o </w:t>
      </w:r>
      <w:proofErr w:type="spellStart"/>
      <w:r w:rsidR="002E541E">
        <w:t>Azure</w:t>
      </w:r>
      <w:proofErr w:type="spellEnd"/>
      <w:r w:rsidR="002E541E">
        <w:t xml:space="preserve"> gera automaticamente. E para criação, edição e exclusão via </w:t>
      </w:r>
      <w:proofErr w:type="spellStart"/>
      <w:r w:rsidR="002E541E">
        <w:t>Api</w:t>
      </w:r>
      <w:proofErr w:type="spellEnd"/>
      <w:r w:rsidR="002E541E">
        <w:t xml:space="preserve">, será mais complexo gerenciar este </w:t>
      </w:r>
      <w:proofErr w:type="spellStart"/>
      <w:r w:rsidR="002E541E">
        <w:t>random</w:t>
      </w:r>
      <w:proofErr w:type="spellEnd"/>
      <w:r w:rsidR="002E541E">
        <w:t xml:space="preserve">. </w:t>
      </w:r>
    </w:p>
    <w:p w:rsidR="00520A52" w:rsidRDefault="00520A52" w:rsidP="00520A52">
      <w:pPr>
        <w:ind w:left="360"/>
      </w:pPr>
      <w:r>
        <w:rPr>
          <w:noProof/>
          <w:lang w:eastAsia="pt-BR"/>
        </w:rPr>
        <w:drawing>
          <wp:inline distT="0" distB="0" distL="0" distR="0" wp14:anchorId="6F115316" wp14:editId="57887CF4">
            <wp:extent cx="5399563" cy="2586251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16" b="6488"/>
                    <a:stretch/>
                  </pic:blipFill>
                  <pic:spPr bwMode="auto">
                    <a:xfrm>
                      <a:off x="0" y="0"/>
                      <a:ext cx="5400040" cy="258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41E" w:rsidRDefault="002E541E" w:rsidP="002E541E">
      <w:pPr>
        <w:pStyle w:val="PargrafodaLista"/>
        <w:numPr>
          <w:ilvl w:val="0"/>
          <w:numId w:val="3"/>
        </w:numPr>
      </w:pPr>
      <w:r>
        <w:t xml:space="preserve">Agora na sua aplicação baixe no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Microsoft.Azure.DbDocument</w:t>
      </w:r>
      <w:proofErr w:type="spellEnd"/>
      <w:r>
        <w:t xml:space="preserve"> e utilize o repositório genérico que criamos para sua aplicação, conforme exemplificado na POC anexa.</w:t>
      </w:r>
    </w:p>
    <w:p w:rsidR="00520A52" w:rsidRDefault="00520A52" w:rsidP="00520A52"/>
    <w:sectPr w:rsidR="00520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4EA2"/>
    <w:multiLevelType w:val="hybridMultilevel"/>
    <w:tmpl w:val="FCB8C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1099E"/>
    <w:multiLevelType w:val="hybridMultilevel"/>
    <w:tmpl w:val="FCB8C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C4F07"/>
    <w:multiLevelType w:val="hybridMultilevel"/>
    <w:tmpl w:val="01AC9AA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A6"/>
    <w:rsid w:val="00111AC2"/>
    <w:rsid w:val="001B61E7"/>
    <w:rsid w:val="002E541E"/>
    <w:rsid w:val="00427AEF"/>
    <w:rsid w:val="004A1728"/>
    <w:rsid w:val="00520A52"/>
    <w:rsid w:val="00A249D3"/>
    <w:rsid w:val="00AC17A6"/>
    <w:rsid w:val="00C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F3DB8-35C6-41A1-AEF7-60D5626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C17A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C17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request-units-per-minu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Tabata Gonçalves de Carvalho</dc:creator>
  <cp:keywords/>
  <dc:description/>
  <cp:lastModifiedBy>Tabata Gonçalves de Carvalho</cp:lastModifiedBy>
  <cp:revision>3</cp:revision>
  <dcterms:created xsi:type="dcterms:W3CDTF">2017-07-10T16:58:00Z</dcterms:created>
  <dcterms:modified xsi:type="dcterms:W3CDTF">2017-07-11T14:21:00Z</dcterms:modified>
</cp:coreProperties>
</file>