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智能纪要：论文审稿意见及研究方向讨论 2026年6月17日</w:t>
      </w:r>
    </w:p>
    <w:p>
      <w:pPr>
        <w:spacing w:before="120" w:after="120" w:line="288" w:lineRule="auto"/>
        <w:ind w:left="0"/>
        <w:jc w:val="left"/>
      </w:pPr>
      <w:r>
        <w:rPr>
          <w:rFonts w:eastAsia="等线" w:ascii="Arial" w:cs="Arial" w:hAnsi="Arial"/>
          <w:sz w:val="22"/>
        </w:rPr>
        <w:t>录音时间：2026-06-17 20:42 - 2026-06-17 21:26</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1051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音频围绕工作成果评价、后续工作安排、人员参与以及论文研究等方面展开讨论，明确了代码修改投会、人员参与讨论等事项，深入探讨了 PKG 外推推理论文相关内容，内容如下：</w:t>
      </w:r>
    </w:p>
    <w:p>
      <w:pPr>
        <w:numPr>
          <w:numId w:val="1"/>
        </w:numPr>
        <w:spacing w:before="120" w:after="120" w:line="288" w:lineRule="auto"/>
        <w:ind w:left="0"/>
        <w:jc w:val="left"/>
      </w:pPr>
      <w:r>
        <w:rPr>
          <w:rFonts w:eastAsia="等线" w:ascii="Arial" w:cs="Arial" w:hAnsi="Arial"/>
          <w:b w:val="true"/>
          <w:sz w:val="22"/>
        </w:rPr>
        <w:t>工作成果评价与后续安排</w:t>
      </w:r>
    </w:p>
    <w:p>
      <w:pPr>
        <w:numPr>
          <w:numId w:val="2"/>
        </w:numPr>
        <w:spacing w:before="120" w:after="120" w:line="288" w:lineRule="auto"/>
        <w:ind w:left="453"/>
        <w:jc w:val="left"/>
      </w:pPr>
      <w:r>
        <w:rPr>
          <w:rFonts w:eastAsia="等线" w:ascii="Arial" w:cs="Arial" w:hAnsi="Arial"/>
          <w:b w:val="true"/>
          <w:sz w:val="22"/>
        </w:rPr>
        <w:t>成果质疑</w:t>
      </w:r>
    </w:p>
    <w:p>
      <w:pPr>
        <w:numPr>
          <w:numId w:val="3"/>
        </w:numPr>
        <w:spacing w:before="120" w:after="120" w:line="288" w:lineRule="auto"/>
        <w:ind w:left="907"/>
        <w:jc w:val="left"/>
      </w:pPr>
      <w:r>
        <w:rPr>
          <w:rFonts w:eastAsia="等线" w:ascii="Arial" w:cs="Arial" w:hAnsi="Arial"/>
          <w:sz w:val="22"/>
        </w:rPr>
        <w:t>内容定义清晰：认为工作中对相关信息的定义清晰，如户信息、共享信息及策略等都有明确界定，所谓 “未解释” 是不合理的质疑。</w:t>
      </w:r>
    </w:p>
    <w:p>
      <w:pPr>
        <w:numPr>
          <w:numId w:val="4"/>
        </w:numPr>
        <w:spacing w:before="120" w:after="120" w:line="288" w:lineRule="auto"/>
        <w:ind w:left="907"/>
        <w:jc w:val="left"/>
      </w:pPr>
      <w:r>
        <w:rPr>
          <w:rFonts w:eastAsia="等线" w:ascii="Arial" w:cs="Arial" w:hAnsi="Arial"/>
          <w:sz w:val="22"/>
        </w:rPr>
        <w:t>图表清晰：觉得图表清晰，放大后更易辨认，对 “图表不加难以辨认” 的说法不认同。</w:t>
      </w:r>
    </w:p>
    <w:p>
      <w:pPr>
        <w:numPr>
          <w:numId w:val="5"/>
        </w:numPr>
        <w:spacing w:before="120" w:after="120" w:line="288" w:lineRule="auto"/>
        <w:ind w:left="907"/>
        <w:jc w:val="left"/>
      </w:pPr>
      <w:r>
        <w:rPr>
          <w:rFonts w:eastAsia="等线" w:ascii="Arial" w:cs="Arial" w:hAnsi="Arial"/>
          <w:sz w:val="22"/>
        </w:rPr>
        <w:t>基准使用：对于 “只用 96 不合理，应参考其他基准” 的意见不认同，认为自己的选择有合理性。</w:t>
      </w:r>
    </w:p>
    <w:p>
      <w:pPr>
        <w:numPr>
          <w:numId w:val="6"/>
        </w:numPr>
        <w:spacing w:before="120" w:after="120" w:line="288" w:lineRule="auto"/>
        <w:ind w:left="453"/>
        <w:jc w:val="left"/>
      </w:pPr>
      <w:r>
        <w:rPr>
          <w:rFonts w:eastAsia="等线" w:ascii="Arial" w:cs="Arial" w:hAnsi="Arial"/>
          <w:b w:val="true"/>
          <w:sz w:val="22"/>
        </w:rPr>
        <w:t>后续工作安排</w:t>
      </w:r>
    </w:p>
    <w:p>
      <w:pPr>
        <w:numPr>
          <w:numId w:val="7"/>
        </w:numPr>
        <w:spacing w:before="120" w:after="120" w:line="288" w:lineRule="auto"/>
        <w:ind w:left="907"/>
        <w:jc w:val="left"/>
      </w:pPr>
      <w:r>
        <w:rPr>
          <w:rFonts w:eastAsia="等线" w:ascii="Arial" w:cs="Arial" w:hAnsi="Arial"/>
          <w:sz w:val="22"/>
        </w:rPr>
        <w:t>代码修改与投会：决定明天修改代码后投会，两人工作错开进行。</w:t>
      </w:r>
    </w:p>
    <w:p>
      <w:pPr>
        <w:numPr>
          <w:numId w:val="8"/>
        </w:numPr>
        <w:spacing w:before="120" w:after="120" w:line="288" w:lineRule="auto"/>
        <w:ind w:left="907"/>
        <w:jc w:val="left"/>
      </w:pPr>
      <w:r>
        <w:rPr>
          <w:rFonts w:eastAsia="等线" w:ascii="Arial" w:cs="Arial" w:hAnsi="Arial"/>
          <w:sz w:val="22"/>
        </w:rPr>
        <w:t>拓展创新：鼓励在现有工作基础上进行拓展，但新工作要有 30% 以上的差异，不能完全照搬。例如可在模块使用上进行调整，去除一些复杂模块。</w:t>
      </w:r>
    </w:p>
    <w:p>
      <w:pPr>
        <w:numPr>
          <w:numId w:val="9"/>
        </w:numPr>
        <w:spacing w:before="120" w:after="120" w:line="288" w:lineRule="auto"/>
        <w:ind w:left="0"/>
        <w:jc w:val="left"/>
      </w:pPr>
      <w:r>
        <w:rPr>
          <w:rFonts w:eastAsia="等线" w:ascii="Arial" w:cs="Arial" w:hAnsi="Arial"/>
          <w:b w:val="true"/>
          <w:sz w:val="22"/>
        </w:rPr>
        <w:t>人员参与讨论</w:t>
      </w:r>
    </w:p>
    <w:p>
      <w:pPr>
        <w:numPr>
          <w:numId w:val="10"/>
        </w:numPr>
        <w:spacing w:before="120" w:after="120" w:line="288" w:lineRule="auto"/>
        <w:ind w:left="453"/>
        <w:jc w:val="left"/>
      </w:pPr>
      <w:r>
        <w:rPr>
          <w:rFonts w:eastAsia="等线" w:ascii="Arial" w:cs="Arial" w:hAnsi="Arial"/>
          <w:b w:val="true"/>
          <w:sz w:val="22"/>
        </w:rPr>
        <w:t>薛博参与</w:t>
      </w:r>
    </w:p>
    <w:p>
      <w:pPr>
        <w:numPr>
          <w:numId w:val="11"/>
        </w:numPr>
        <w:spacing w:before="120" w:after="120" w:line="288" w:lineRule="auto"/>
        <w:ind w:left="907"/>
        <w:jc w:val="left"/>
      </w:pPr>
      <w:r>
        <w:rPr>
          <w:rFonts w:eastAsia="等线" w:ascii="Arial" w:cs="Arial" w:hAnsi="Arial"/>
          <w:sz w:val="22"/>
        </w:rPr>
        <w:t>专业匹配：薛博之前做过医疗时序预测，与当前的时序预测方向匹配，考虑让其加入讨论。</w:t>
      </w:r>
    </w:p>
    <w:p>
      <w:pPr>
        <w:numPr>
          <w:numId w:val="12"/>
        </w:numPr>
        <w:spacing w:before="120" w:after="120" w:line="288" w:lineRule="auto"/>
        <w:ind w:left="907"/>
        <w:jc w:val="left"/>
      </w:pPr>
      <w:r>
        <w:rPr>
          <w:rFonts w:eastAsia="等线" w:ascii="Arial" w:cs="Arial" w:hAnsi="Arial"/>
          <w:sz w:val="22"/>
        </w:rPr>
        <w:t>压力担忧：担心薛博压力较大，其目前寡言少语，出差时也较少参与交流。但从论文研究角度看，认为其参与具有可行性。</w:t>
      </w:r>
    </w:p>
    <w:p>
      <w:pPr>
        <w:numPr>
          <w:numId w:val="13"/>
        </w:numPr>
        <w:spacing w:before="120" w:after="120" w:line="288" w:lineRule="auto"/>
        <w:ind w:left="453"/>
        <w:jc w:val="left"/>
      </w:pPr>
      <w:r>
        <w:rPr>
          <w:rFonts w:eastAsia="等线" w:ascii="Arial" w:cs="Arial" w:hAnsi="Arial"/>
          <w:b w:val="true"/>
          <w:sz w:val="22"/>
        </w:rPr>
        <w:t>其他人员</w:t>
      </w:r>
      <w:r>
        <w:rPr>
          <w:rFonts w:eastAsia="等线" w:ascii="Arial" w:cs="Arial" w:hAnsi="Arial"/>
          <w:sz w:val="22"/>
        </w:rPr>
        <w:t>：提到杨轩、李佳琦等人员，担心若将他们拼入团队可能带不动。</w:t>
      </w:r>
    </w:p>
    <w:p>
      <w:pPr>
        <w:numPr>
          <w:numId w:val="14"/>
        </w:numPr>
        <w:spacing w:before="120" w:after="120" w:line="288" w:lineRule="auto"/>
        <w:ind w:left="0"/>
        <w:jc w:val="left"/>
      </w:pPr>
      <w:r>
        <w:rPr>
          <w:rFonts w:eastAsia="等线" w:ascii="Arial" w:cs="Arial" w:hAnsi="Arial"/>
          <w:b w:val="true"/>
          <w:sz w:val="22"/>
        </w:rPr>
        <w:t>论文研究讨论</w:t>
      </w:r>
    </w:p>
    <w:p>
      <w:pPr>
        <w:numPr>
          <w:numId w:val="15"/>
        </w:numPr>
        <w:spacing w:before="120" w:after="120" w:line="288" w:lineRule="auto"/>
        <w:ind w:left="453"/>
        <w:jc w:val="left"/>
      </w:pPr>
      <w:r>
        <w:rPr>
          <w:rFonts w:eastAsia="等线" w:ascii="Arial" w:cs="Arial" w:hAnsi="Arial"/>
          <w:b w:val="true"/>
          <w:sz w:val="22"/>
        </w:rPr>
        <w:t>PKG 外推推理论文</w:t>
      </w:r>
    </w:p>
    <w:p>
      <w:pPr>
        <w:numPr>
          <w:numId w:val="16"/>
        </w:numPr>
        <w:spacing w:before="120" w:after="120" w:line="288" w:lineRule="auto"/>
        <w:ind w:left="907"/>
        <w:jc w:val="left"/>
      </w:pPr>
      <w:r>
        <w:rPr>
          <w:rFonts w:eastAsia="等线" w:ascii="Arial" w:cs="Arial" w:hAnsi="Arial"/>
          <w:sz w:val="22"/>
        </w:rPr>
        <w:t>研究方法：介绍了 PKG 外推任务的三种方法，即基于嵌入、基于规则跟路径、基于大语言模型的方法。其中基于嵌入的方法应用最多，但当前做该方向较难；基于规则的方法可解释性强，但做的人较少；基于大语言模型的方法较前沿，但存在算力消耗问题。</w:t>
      </w:r>
    </w:p>
    <w:p>
      <w:pPr>
        <w:numPr>
          <w:numId w:val="17"/>
        </w:numPr>
        <w:spacing w:before="120" w:after="120" w:line="288" w:lineRule="auto"/>
        <w:ind w:left="907"/>
        <w:jc w:val="left"/>
      </w:pPr>
      <w:r>
        <w:rPr>
          <w:rFonts w:eastAsia="等线" w:ascii="Arial" w:cs="Arial" w:hAnsi="Arial"/>
          <w:sz w:val="22"/>
        </w:rPr>
        <w:t>存在问题：指出基于规则的方法存在区分事实处理能力不足、忽略时间背景下事实发生的远近和频率、遍历图谱效率低下等问题。</w:t>
      </w:r>
    </w:p>
    <w:p>
      <w:pPr>
        <w:numPr>
          <w:numId w:val="18"/>
        </w:numPr>
        <w:spacing w:before="120" w:after="120" w:line="288" w:lineRule="auto"/>
        <w:ind w:left="907"/>
        <w:jc w:val="left"/>
      </w:pPr>
      <w:r>
        <w:rPr>
          <w:rFonts w:eastAsia="等线" w:ascii="Arial" w:cs="Arial" w:hAnsi="Arial"/>
          <w:sz w:val="22"/>
        </w:rPr>
        <w:t>解决方案：针对匹配路径采用矩阵方法，用静态模型训练预测图谱关系的先验概率并更新矩阵；将二元数字状态替换为连续实数；规则应用部分采用规则投影。</w:t>
      </w:r>
    </w:p>
    <w:p>
      <w:pPr>
        <w:numPr>
          <w:numId w:val="19"/>
        </w:numPr>
        <w:spacing w:before="120" w:after="120" w:line="288" w:lineRule="auto"/>
        <w:ind w:left="907"/>
        <w:jc w:val="left"/>
      </w:pPr>
      <w:r>
        <w:rPr>
          <w:rFonts w:eastAsia="等线" w:ascii="Arial" w:cs="Arial" w:hAnsi="Arial"/>
          <w:sz w:val="22"/>
        </w:rPr>
        <w:t>规则挖掘：规则挖掘常用随机游走方法，但该方法较老，需关注最新进展，从新的角度看待规则挖掘。</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14"/>
        <w:gridCol w:w="2318"/>
        <w:gridCol w:w="5050"/>
        <w:gridCol w:w="496"/>
      </w:tblGrid>
      <w:tr>
        <w:tc>
          <w:tcPr>
            <w:tcW w:w="414" w:type="dxa"/>
            <w:tcMar>
              <w:top w:type="dxa" w:w="60"/>
              <w:left w:type="dxa" w:w="120"/>
              <w:bottom w:type="dxa" w:w="30"/>
              <w:right w:type="dxa" w:w="120"/>
            </w:tcMar>
          </w:tcPr>
          <w:p>
            <w:pPr>
              <w:spacing w:before="120" w:after="120" w:line="288" w:lineRule="auto"/>
              <w:ind w:left="0"/>
              <w:jc w:val="left"/>
            </w:pPr>
          </w:p>
        </w:tc>
        <w:tc>
          <w:tcPr>
            <w:tcW w:w="2318" w:type="dxa"/>
            <w:tcMar>
              <w:top w:type="dxa" w:w="60"/>
              <w:left w:type="dxa" w:w="120"/>
              <w:bottom w:type="dxa" w:w="30"/>
              <w:right w:type="dxa" w:w="120"/>
            </w:tcMar>
          </w:tcPr>
          <w:p>
            <w:pPr>
              <w:spacing w:before="120" w:after="120" w:line="288" w:lineRule="auto"/>
              <w:ind w:left="0"/>
              <w:jc w:val="center"/>
            </w:pPr>
            <w:r>
              <w:drawing>
                <wp:inline distT="0" distR="0" distB="0" distL="0">
                  <wp:extent cx="1314450" cy="1200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314450" cy="12001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基于规则的PKG外推方法问题及解决方案</w:t>
              <w:br/>
            </w:r>
          </w:p>
        </w:tc>
        <w:tc>
          <w:tcPr>
            <w:tcW w:w="5050" w:type="dxa"/>
            <w:tcMar>
              <w:top w:type="dxa" w:w="60"/>
              <w:left w:type="dxa" w:w="120"/>
              <w:bottom w:type="dxa" w:w="30"/>
              <w:right w:type="dxa" w:w="120"/>
            </w:tcMar>
          </w:tcPr>
          <w:p>
            <w:pPr>
              <w:spacing w:before="120" w:after="120" w:line="288" w:lineRule="auto"/>
              <w:ind w:left="0"/>
              <w:jc w:val="center"/>
            </w:pPr>
            <w:r>
              <w:drawing>
                <wp:inline distT="0" distR="0" distB="0" distL="0">
                  <wp:extent cx="3048000" cy="1276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3048000" cy="12763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PKG外推推理三种方法对比</w:t>
              <w:br/>
            </w:r>
          </w:p>
        </w:tc>
        <w:tc>
          <w:tcPr>
            <w:tcW w:w="496" w:type="dxa"/>
            <w:tcMar>
              <w:top w:type="dxa" w:w="60"/>
              <w:left w:type="dxa" w:w="120"/>
              <w:bottom w:type="dxa" w:w="30"/>
              <w:right w:type="dxa" w:w="120"/>
            </w:tcMar>
          </w:tcPr>
          <w:p>
            <w:pPr>
              <w:spacing w:before="120" w:after="120" w:line="288" w:lineRule="auto"/>
              <w:ind w:left="0"/>
              <w:jc w:val="left"/>
            </w:pPr>
          </w:p>
        </w:tc>
      </w:tr>
    </w:tbl>
    <w:p>
      <w:pPr>
        <w:numPr>
          <w:numId w:val="20"/>
        </w:numPr>
        <w:spacing w:before="120" w:after="120" w:line="288" w:lineRule="auto"/>
        <w:ind w:left="453"/>
        <w:jc w:val="left"/>
      </w:pPr>
      <w:r>
        <w:rPr>
          <w:rFonts w:eastAsia="等线" w:ascii="Arial" w:cs="Arial" w:hAnsi="Arial"/>
          <w:b w:val="true"/>
          <w:sz w:val="22"/>
        </w:rPr>
        <w:t>论文公式讨论</w:t>
      </w:r>
    </w:p>
    <w:p>
      <w:pPr>
        <w:numPr>
          <w:numId w:val="21"/>
        </w:numPr>
        <w:spacing w:before="120" w:after="120" w:line="288" w:lineRule="auto"/>
        <w:ind w:left="907"/>
        <w:jc w:val="left"/>
      </w:pPr>
      <w:r>
        <w:rPr>
          <w:rFonts w:eastAsia="等线" w:ascii="Arial" w:cs="Arial" w:hAnsi="Arial"/>
          <w:sz w:val="22"/>
        </w:rPr>
        <w:t>公式含义：对论文中的公式进行了详细讨论，如公式中涉及的概率、频率、时间间隔等参数的含义及作用。例如，公式中的 $F$ 表示三元组出现的频次，开根号是为了避免频次过高影响结果；加入时间间隔是为了让更近的时间影响更大，更注重短时间内出现概率高的情况。</w:t>
      </w:r>
    </w:p>
    <w:p>
      <w:pPr>
        <w:numPr>
          <w:numId w:val="22"/>
        </w:numPr>
        <w:spacing w:before="120" w:after="120" w:line="288" w:lineRule="auto"/>
        <w:ind w:left="907"/>
        <w:jc w:val="left"/>
      </w:pPr>
      <w:r>
        <w:rPr>
          <w:rFonts w:eastAsia="等线" w:ascii="Arial" w:cs="Arial" w:hAnsi="Arial"/>
          <w:sz w:val="22"/>
        </w:rPr>
        <w:t>公式理解困难：认为公式的解释可能翻译得较别扭，可查看原始英文以更好理解。同时对公式中的一些符号和参数的具体含义存在疑问，如 mod 符号的含义等。</w:t>
      </w:r>
    </w:p>
    <w:p>
      <w:pPr>
        <w:numPr>
          <w:numId w:val="23"/>
        </w:numPr>
        <w:spacing w:before="120" w:after="120" w:line="288" w:lineRule="auto"/>
        <w:ind w:left="453"/>
        <w:jc w:val="left"/>
      </w:pPr>
      <w:r>
        <w:rPr>
          <w:rFonts w:eastAsia="等线" w:ascii="Arial" w:cs="Arial" w:hAnsi="Arial"/>
          <w:b w:val="true"/>
          <w:sz w:val="22"/>
        </w:rPr>
        <w:t>知识图谱相关</w:t>
      </w:r>
    </w:p>
    <w:p>
      <w:pPr>
        <w:numPr>
          <w:numId w:val="24"/>
        </w:numPr>
        <w:spacing w:before="120" w:after="120" w:line="288" w:lineRule="auto"/>
        <w:ind w:left="907"/>
        <w:jc w:val="left"/>
      </w:pPr>
      <w:r>
        <w:rPr>
          <w:rFonts w:eastAsia="等线" w:ascii="Arial" w:cs="Arial" w:hAnsi="Arial"/>
          <w:sz w:val="22"/>
        </w:rPr>
        <w:t>知识图谱结构：介绍了知识图谱的结构，包括 RDF（资源描述框架）、OWL（网络本体语言）等。RDF 用于抽取三元组和四元组，OWL 用于将其变成本体，在此基础上进行规则推理。</w:t>
      </w:r>
    </w:p>
    <w:p>
      <w:pPr>
        <w:numPr>
          <w:numId w:val="25"/>
        </w:numPr>
        <w:spacing w:before="120" w:after="120" w:line="288" w:lineRule="auto"/>
        <w:ind w:left="907"/>
        <w:jc w:val="left"/>
      </w:pPr>
      <w:r>
        <w:rPr>
          <w:rFonts w:eastAsia="等线" w:ascii="Arial" w:cs="Arial" w:hAnsi="Arial"/>
          <w:sz w:val="22"/>
        </w:rPr>
        <w:t>规则约束：提到九月的规则约束和安排，还提及有人专门写了术语表。</w:t>
      </w:r>
    </w:p>
    <w:p>
      <w:pPr>
        <w:numPr>
          <w:numId w:val="26"/>
        </w:numPr>
        <w:spacing w:before="120" w:after="120" w:line="288" w:lineRule="auto"/>
        <w:ind w:left="0"/>
        <w:jc w:val="left"/>
      </w:pPr>
      <w:r>
        <w:rPr>
          <w:rFonts w:eastAsia="等线" w:ascii="Arial" w:cs="Arial" w:hAnsi="Arial"/>
          <w:b w:val="true"/>
          <w:sz w:val="22"/>
        </w:rPr>
        <w:t>其他事项</w:t>
      </w:r>
    </w:p>
    <w:p>
      <w:pPr>
        <w:numPr>
          <w:numId w:val="27"/>
        </w:numPr>
        <w:spacing w:before="120" w:after="120" w:line="288" w:lineRule="auto"/>
        <w:ind w:left="453"/>
        <w:jc w:val="left"/>
      </w:pPr>
      <w:r>
        <w:rPr>
          <w:rFonts w:eastAsia="等线" w:ascii="Arial" w:cs="Arial" w:hAnsi="Arial"/>
          <w:b w:val="true"/>
          <w:sz w:val="22"/>
        </w:rPr>
        <w:t>微信部门情况</w:t>
      </w:r>
      <w:r>
        <w:rPr>
          <w:rFonts w:eastAsia="等线" w:ascii="Arial" w:cs="Arial" w:hAnsi="Arial"/>
          <w:sz w:val="22"/>
        </w:rPr>
        <w:t>：讨论了微信部门的情况，认为微信是腾讯的核心部门，效益好、垄断性强，用户数量达几个亿，机会较多。</w:t>
      </w:r>
    </w:p>
    <w:p>
      <w:pPr>
        <w:numPr>
          <w:numId w:val="28"/>
        </w:numPr>
        <w:spacing w:before="120" w:after="120" w:line="288" w:lineRule="auto"/>
        <w:ind w:left="453"/>
        <w:jc w:val="left"/>
      </w:pPr>
      <w:r>
        <w:rPr>
          <w:rFonts w:eastAsia="等线" w:ascii="Arial" w:cs="Arial" w:hAnsi="Arial"/>
          <w:b w:val="true"/>
          <w:sz w:val="22"/>
        </w:rPr>
        <w:t>闭馆时间</w:t>
      </w:r>
      <w:r>
        <w:rPr>
          <w:rFonts w:eastAsia="等线" w:ascii="Arial" w:cs="Arial" w:hAnsi="Arial"/>
          <w:sz w:val="22"/>
        </w:rPr>
        <w:t>：确认闭馆时间为 10 点 15 分。</w:t>
      </w:r>
    </w:p>
    <w:p>
      <w:pPr>
        <w:numPr>
          <w:numId w:val="29"/>
        </w:numPr>
        <w:spacing w:before="120" w:after="120" w:line="288" w:lineRule="auto"/>
        <w:ind w:left="0"/>
        <w:jc w:val="left"/>
      </w:pPr>
      <w:r>
        <w:rPr>
          <w:rFonts w:eastAsia="等线" w:ascii="Arial" w:cs="Arial" w:hAnsi="Arial"/>
          <w:b w:val="true"/>
          <w:sz w:val="22"/>
        </w:rPr>
        <w:t>后续工作计划</w:t>
      </w:r>
    </w:p>
    <w:p>
      <w:pPr>
        <w:numPr>
          <w:numId w:val="30"/>
        </w:numPr>
        <w:spacing w:before="120" w:after="120" w:line="288" w:lineRule="auto"/>
        <w:ind w:left="453"/>
        <w:jc w:val="left"/>
      </w:pPr>
      <w:r>
        <w:rPr>
          <w:rFonts w:eastAsia="等线" w:ascii="Arial" w:cs="Arial" w:hAnsi="Arial"/>
          <w:b w:val="true"/>
          <w:sz w:val="22"/>
        </w:rPr>
        <w:t>代码修改与投会</w:t>
      </w:r>
      <w:r>
        <w:rPr>
          <w:rFonts w:eastAsia="等线" w:ascii="Arial" w:cs="Arial" w:hAnsi="Arial"/>
          <w:sz w:val="22"/>
        </w:rPr>
        <w:t>：明天修改代码后投会。</w:t>
      </w:r>
    </w:p>
    <w:p>
      <w:pPr>
        <w:numPr>
          <w:numId w:val="31"/>
        </w:numPr>
        <w:spacing w:before="120" w:after="120" w:line="288" w:lineRule="auto"/>
        <w:ind w:left="453"/>
        <w:jc w:val="left"/>
      </w:pPr>
      <w:r>
        <w:rPr>
          <w:rFonts w:eastAsia="等线" w:ascii="Arial" w:cs="Arial" w:hAnsi="Arial"/>
          <w:b w:val="true"/>
          <w:sz w:val="22"/>
        </w:rPr>
        <w:t>论文深入研究</w:t>
      </w:r>
      <w:r>
        <w:rPr>
          <w:rFonts w:eastAsia="等线" w:ascii="Arial" w:cs="Arial" w:hAnsi="Arial"/>
          <w:sz w:val="22"/>
        </w:rPr>
        <w:t>：继续深入研究 PKG 外推推理论文，尝试运行代码以更好理解论文内容。</w:t>
      </w:r>
    </w:p>
    <w:p>
      <w:pPr>
        <w:numPr>
          <w:numId w:val="32"/>
        </w:numPr>
        <w:spacing w:before="120" w:after="120" w:line="288" w:lineRule="auto"/>
        <w:ind w:left="453"/>
        <w:jc w:val="left"/>
      </w:pPr>
      <w:r>
        <w:rPr>
          <w:rFonts w:eastAsia="等线" w:ascii="Arial" w:cs="Arial" w:hAnsi="Arial"/>
          <w:b w:val="true"/>
          <w:sz w:val="22"/>
        </w:rPr>
        <w:t>人员沟通</w:t>
      </w:r>
      <w:r>
        <w:rPr>
          <w:rFonts w:eastAsia="等线" w:ascii="Arial" w:cs="Arial" w:hAnsi="Arial"/>
          <w:sz w:val="22"/>
        </w:rPr>
        <w:t>：与薛博沟通，确定其是否参与讨论。</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00:08</w:t>
      </w:r>
      <w:r>
        <w:rPr>
          <w:rFonts w:eastAsia="等线" w:ascii="Arial" w:cs="Arial" w:hAnsi="Arial"/>
          <w:b w:val="true"/>
          <w:sz w:val="22"/>
        </w:rPr>
        <w:t xml:space="preserve">  反驳专家评审意见并计划修改投稿参会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1对某份工作评价里的四个领导意见表示强烈不满。认为对方称工作未解释清楚是乱说，自己已对相关内容定义清晰；觉得图表难以辨认是故意找茬；不认同关于基准使用、数据等方面的意见，称第三个人是乱搞。说话人2也有所附和，最后提到修改bug、拓展内容后可拿去投会。</w:t>
            </w:r>
          </w:p>
        </w:tc>
      </w:tr>
    </w:tbl>
    <w:p>
      <w:pPr>
        <w:spacing w:before="120" w:after="120" w:line="288" w:lineRule="auto"/>
        <w:ind w:left="0"/>
        <w:jc w:val="left"/>
      </w:pPr>
      <w:r>
        <w:rPr>
          <w:rFonts w:eastAsia="等线" w:ascii="Arial" w:cs="Arial" w:hAnsi="Arial"/>
          <w:sz w:val="22"/>
        </w:rPr>
        <w:t>03:45</w:t>
      </w:r>
      <w:r>
        <w:rPr>
          <w:rFonts w:eastAsia="等线" w:ascii="Arial" w:cs="Arial" w:hAnsi="Arial"/>
          <w:b w:val="true"/>
          <w:sz w:val="22"/>
        </w:rPr>
        <w:t xml:space="preserve">  代码修改投稿、论文汇报及人员研究安排讨论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科研工作展开讨论。说话人1提议明天改代码后投会，强调可在其基础上做有30%以上差异的工作。还提及了多种研究思路，如外生变量学习。接着安排讲论文，提议小王来讲。之后讨论人员分工，提到薛博做多元时序预测等，也探讨了接口加入讨论及部分人员压力问题。</w:t>
            </w:r>
          </w:p>
        </w:tc>
      </w:tr>
    </w:tbl>
    <w:p>
      <w:pPr>
        <w:spacing w:before="120" w:after="120" w:line="288" w:lineRule="auto"/>
        <w:ind w:left="0"/>
        <w:jc w:val="left"/>
      </w:pPr>
      <w:r>
        <w:rPr>
          <w:rFonts w:eastAsia="等线" w:ascii="Arial" w:cs="Arial" w:hAnsi="Arial"/>
          <w:sz w:val="22"/>
        </w:rPr>
        <w:t>10:23</w:t>
      </w:r>
      <w:r>
        <w:rPr>
          <w:rFonts w:eastAsia="等线" w:ascii="Arial" w:cs="Arial" w:hAnsi="Arial"/>
          <w:b w:val="true"/>
          <w:sz w:val="22"/>
        </w:rPr>
        <w:t xml:space="preserve">  PKG外推推理方法、数据集及规则法问题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本章节围绕PKG外推推理论文展开，该论文为ICLR 2025的。PKG外推任务是根据历史图谱预测未来事件，主要有基于嵌入、规则跟路径、大语言模型三种方法。介绍了常用数据集如ICAWS系列，还指出基于规则方法存在区分事实处理能力不足、忽略时间因素、遍历图谱效率低等问题，可与嵌入方法结合。</w:t>
            </w:r>
          </w:p>
        </w:tc>
      </w:tr>
    </w:tbl>
    <w:p>
      <w:pPr>
        <w:spacing w:before="120" w:after="120" w:line="288" w:lineRule="auto"/>
        <w:ind w:left="0"/>
        <w:jc w:val="left"/>
      </w:pPr>
      <w:r>
        <w:rPr>
          <w:rFonts w:eastAsia="等线" w:ascii="Arial" w:cs="Arial" w:hAnsi="Arial"/>
          <w:sz w:val="22"/>
        </w:rPr>
        <w:t>15:42</w:t>
      </w:r>
      <w:r>
        <w:rPr>
          <w:rFonts w:eastAsia="等线" w:ascii="Arial" w:cs="Arial" w:hAnsi="Arial"/>
          <w:b w:val="true"/>
          <w:sz w:val="22"/>
        </w:rPr>
        <w:t xml:space="preserve">  论文规则应用模块的解决方案及创新点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论文在规则应用模块提出的解决方案。一是针对匹配路径，不用传统硬匹配方案，采用矩阵方式，先去掉时间戳训练静态模型预测图谱中所有可能关系的先验概率形成矩阵，基础概率不断更新得到最终矩阵用于规则应用；二是将二元数字状态替换为连续实数，关键创新是规则应用部分采用规则头乳。</w:t>
            </w:r>
          </w:p>
        </w:tc>
      </w:tr>
    </w:tbl>
    <w:p>
      <w:pPr>
        <w:spacing w:before="120" w:after="120" w:line="288" w:lineRule="auto"/>
        <w:ind w:left="0"/>
        <w:jc w:val="left"/>
      </w:pPr>
      <w:r>
        <w:rPr>
          <w:rFonts w:eastAsia="等线" w:ascii="Arial" w:cs="Arial" w:hAnsi="Arial"/>
          <w:sz w:val="22"/>
        </w:rPr>
        <w:t>16:48</w:t>
      </w:r>
      <w:r>
        <w:rPr>
          <w:rFonts w:eastAsia="等线" w:ascii="Arial" w:cs="Arial" w:hAnsi="Arial"/>
          <w:b w:val="true"/>
          <w:sz w:val="22"/>
        </w:rPr>
        <w:t xml:space="preserve">  规则挖掘方法探讨及知识图谱相关讨论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本章节围绕基于规则的PKD挖掘推理展开讨论。提及规则有闭环和非循环两种，论文未采用非循环规则。还探讨了规则挖掘方法，如随机游走。分析了规则投影及相关概率计算，涉及时间权重矩阵等公式。</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33"/>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：明天修改代码并投会。</w:t>
      </w:r>
    </w:p>
    <w:p>
      <w:pPr>
        <w:numPr>
          <w:numId w:val="34"/>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：对工作成果存在不同意见，包括未解释相关内容、图表难以辨认、基准使用不合理等。</w:t>
      </w:r>
    </w:p>
    <w:p>
      <w:pPr>
        <w:numPr>
          <w:numId w:val="35"/>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：说话人 1 认为部分领导意见不合理，应忽略；说话人 2 提出可以在现有基础上进行修改和拓展。</w:t>
      </w:r>
    </w:p>
    <w:p>
      <w:pPr>
        <w:numPr>
          <w:numId w:val="36"/>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：修改代码后投会，在现有工作量和时间允许的情况下进行拓展，同时保证有 30%以上的不同内容。</w:t>
      </w:r>
    </w:p>
    <w:p>
      <w:pPr>
        <w:pBdr>
          <w:bottom w:val="single" w:color="dee0e3"/>
          <w:between w:val="single" w:color="dee0e3"/>
        </w:pBdr>
        <w:spacing w:before="120" w:after="120" w:line="288" w:lineRule="auto"/>
        <w:ind w:left="0"/>
      </w:pPr>
    </w:p>
    <w:p>
      <w:pPr>
        <w:numPr>
          <w:numId w:val="37"/>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sz w:val="22"/>
        </w:rPr>
        <w:t>今天下午由说话人 1 讲论文，之后让小王讲。</w:t>
      </w:r>
    </w:p>
    <w:p>
      <w:pPr>
        <w:numPr>
          <w:numId w:val="39"/>
        </w:numPr>
        <w:spacing w:before="120" w:after="120" w:line="288" w:lineRule="auto"/>
        <w:ind w:left="453"/>
        <w:jc w:val="left"/>
      </w:pPr>
      <w:r>
        <w:rPr>
          <w:rFonts w:eastAsia="等线" w:ascii="Arial" w:cs="Arial" w:hAnsi="Arial"/>
          <w:sz w:val="22"/>
        </w:rPr>
        <w:t>邀请薛博加入讨论，从论文角度组织会议，后续再讨论人员调动问题。</w:t>
      </w:r>
    </w:p>
    <w:p>
      <w:pPr>
        <w:numPr>
          <w:numId w:val="40"/>
        </w:numPr>
        <w:spacing w:before="120" w:after="120" w:line="288" w:lineRule="auto"/>
        <w:ind w:left="453"/>
        <w:jc w:val="left"/>
      </w:pPr>
      <w:r>
        <w:rPr>
          <w:rFonts w:eastAsia="等线" w:ascii="Arial" w:cs="Arial" w:hAnsi="Arial"/>
          <w:sz w:val="22"/>
        </w:rPr>
        <w:t>说话人 2 将相关图发到群里。</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「把 bug 一改，拓展一下，我们工作量天数也够，然后就去投会。」</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明确提出了解决问题和推进工作的具体方案，具有很强的指导性和行动力。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「从做研究的角度，大家都可以讨论，只是说不在一个方向就没法讨论。」</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强调了研究讨论的开放性和方向性，鼓励不同观点的交流。</w:t>
      </w:r>
    </w:p>
    <w:p>
      <w:pPr>
        <w:spacing w:before="120" w:after="120" w:line="288" w:lineRule="auto"/>
        <w:ind w:left="0"/>
        <w:jc w:val="left"/>
      </w:pPr>
    </w:p>
    <w:p>
      <w:pPr>
        <w:spacing w:before="120" w:after="120" w:line="288" w:lineRule="auto"/>
        <w:ind w:left="0"/>
        <w:jc w:val="left"/>
      </w:pPr>
      <w:r>
        <w:rPr>
          <w:rFonts w:eastAsia="等线" w:ascii="Arial" w:cs="Arial" w:hAnsi="Arial"/>
          <w:sz w:val="22"/>
        </w:rPr>
        <w:t>「时间不应该是对等的，而是要让更长远的时间影响最小，让更近的时间影响最大。」</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对时间在规则中的影响提出了独特的见解，引发对规则设计的深入思考。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22107">
    <w:lvl>
      <w:numFmt w:val="bullet"/>
      <w:suff w:val="tab"/>
      <w:lvlText w:val="•"/>
      <w:rPr>
        <w:color w:val="3370ff"/>
      </w:rPr>
    </w:lvl>
  </w:abstractNum>
  <w:abstractNum w:abstractNumId="2722108">
    <w:lvl>
      <w:numFmt w:val="bullet"/>
      <w:suff w:val="tab"/>
      <w:lvlText w:val="￮"/>
      <w:rPr>
        <w:color w:val="3370ff"/>
      </w:rPr>
    </w:lvl>
  </w:abstractNum>
  <w:abstractNum w:abstractNumId="2722109">
    <w:lvl>
      <w:numFmt w:val="bullet"/>
      <w:suff w:val="tab"/>
      <w:lvlText w:val="▪"/>
      <w:rPr>
        <w:color w:val="3370ff"/>
        <w:sz w:val="11"/>
      </w:rPr>
    </w:lvl>
  </w:abstractNum>
  <w:abstractNum w:abstractNumId="2722110">
    <w:lvl>
      <w:numFmt w:val="bullet"/>
      <w:suff w:val="tab"/>
      <w:lvlText w:val="▪"/>
      <w:rPr>
        <w:color w:val="3370ff"/>
        <w:sz w:val="11"/>
      </w:rPr>
    </w:lvl>
  </w:abstractNum>
  <w:abstractNum w:abstractNumId="2722111">
    <w:lvl>
      <w:numFmt w:val="bullet"/>
      <w:suff w:val="tab"/>
      <w:lvlText w:val="▪"/>
      <w:rPr>
        <w:color w:val="3370ff"/>
        <w:sz w:val="11"/>
      </w:rPr>
    </w:lvl>
  </w:abstractNum>
  <w:abstractNum w:abstractNumId="2722112">
    <w:lvl>
      <w:numFmt w:val="bullet"/>
      <w:suff w:val="tab"/>
      <w:lvlText w:val="￮"/>
      <w:rPr>
        <w:color w:val="3370ff"/>
      </w:rPr>
    </w:lvl>
  </w:abstractNum>
  <w:abstractNum w:abstractNumId="2722113">
    <w:lvl>
      <w:numFmt w:val="bullet"/>
      <w:suff w:val="tab"/>
      <w:lvlText w:val="▪"/>
      <w:rPr>
        <w:color w:val="3370ff"/>
        <w:sz w:val="11"/>
      </w:rPr>
    </w:lvl>
  </w:abstractNum>
  <w:abstractNum w:abstractNumId="2722114">
    <w:lvl>
      <w:numFmt w:val="bullet"/>
      <w:suff w:val="tab"/>
      <w:lvlText w:val="▪"/>
      <w:rPr>
        <w:color w:val="3370ff"/>
        <w:sz w:val="11"/>
      </w:rPr>
    </w:lvl>
  </w:abstractNum>
  <w:abstractNum w:abstractNumId="2722115">
    <w:lvl>
      <w:numFmt w:val="bullet"/>
      <w:suff w:val="tab"/>
      <w:lvlText w:val="•"/>
      <w:rPr>
        <w:color w:val="3370ff"/>
      </w:rPr>
    </w:lvl>
  </w:abstractNum>
  <w:abstractNum w:abstractNumId="2722116">
    <w:lvl>
      <w:numFmt w:val="bullet"/>
      <w:suff w:val="tab"/>
      <w:lvlText w:val="￮"/>
      <w:rPr>
        <w:color w:val="3370ff"/>
      </w:rPr>
    </w:lvl>
  </w:abstractNum>
  <w:abstractNum w:abstractNumId="2722117">
    <w:lvl>
      <w:numFmt w:val="bullet"/>
      <w:suff w:val="tab"/>
      <w:lvlText w:val="▪"/>
      <w:rPr>
        <w:color w:val="3370ff"/>
        <w:sz w:val="11"/>
      </w:rPr>
    </w:lvl>
  </w:abstractNum>
  <w:abstractNum w:abstractNumId="2722118">
    <w:lvl>
      <w:numFmt w:val="bullet"/>
      <w:suff w:val="tab"/>
      <w:lvlText w:val="▪"/>
      <w:rPr>
        <w:color w:val="3370ff"/>
        <w:sz w:val="11"/>
      </w:rPr>
    </w:lvl>
  </w:abstractNum>
  <w:abstractNum w:abstractNumId="2722119">
    <w:lvl>
      <w:numFmt w:val="bullet"/>
      <w:suff w:val="tab"/>
      <w:lvlText w:val="￮"/>
      <w:rPr>
        <w:color w:val="3370ff"/>
      </w:rPr>
    </w:lvl>
  </w:abstractNum>
  <w:abstractNum w:abstractNumId="2722120">
    <w:lvl>
      <w:numFmt w:val="bullet"/>
      <w:suff w:val="tab"/>
      <w:lvlText w:val="•"/>
      <w:rPr>
        <w:color w:val="3370ff"/>
      </w:rPr>
    </w:lvl>
  </w:abstractNum>
  <w:abstractNum w:abstractNumId="2722121">
    <w:lvl>
      <w:numFmt w:val="bullet"/>
      <w:suff w:val="tab"/>
      <w:lvlText w:val="￮"/>
      <w:rPr>
        <w:color w:val="3370ff"/>
      </w:rPr>
    </w:lvl>
  </w:abstractNum>
  <w:abstractNum w:abstractNumId="2722122">
    <w:lvl>
      <w:numFmt w:val="bullet"/>
      <w:suff w:val="tab"/>
      <w:lvlText w:val="▪"/>
      <w:rPr>
        <w:color w:val="3370ff"/>
        <w:sz w:val="11"/>
      </w:rPr>
    </w:lvl>
  </w:abstractNum>
  <w:abstractNum w:abstractNumId="2722123">
    <w:lvl>
      <w:numFmt w:val="bullet"/>
      <w:suff w:val="tab"/>
      <w:lvlText w:val="▪"/>
      <w:rPr>
        <w:color w:val="3370ff"/>
        <w:sz w:val="11"/>
      </w:rPr>
    </w:lvl>
  </w:abstractNum>
  <w:abstractNum w:abstractNumId="2722124">
    <w:lvl>
      <w:numFmt w:val="bullet"/>
      <w:suff w:val="tab"/>
      <w:lvlText w:val="▪"/>
      <w:rPr>
        <w:color w:val="3370ff"/>
        <w:sz w:val="11"/>
      </w:rPr>
    </w:lvl>
  </w:abstractNum>
  <w:abstractNum w:abstractNumId="2722125">
    <w:lvl>
      <w:numFmt w:val="bullet"/>
      <w:suff w:val="tab"/>
      <w:lvlText w:val="▪"/>
      <w:rPr>
        <w:color w:val="3370ff"/>
        <w:sz w:val="11"/>
      </w:rPr>
    </w:lvl>
  </w:abstractNum>
  <w:abstractNum w:abstractNumId="2722126">
    <w:lvl>
      <w:numFmt w:val="bullet"/>
      <w:suff w:val="tab"/>
      <w:lvlText w:val="￮"/>
      <w:rPr>
        <w:color w:val="3370ff"/>
      </w:rPr>
    </w:lvl>
  </w:abstractNum>
  <w:abstractNum w:abstractNumId="2722127">
    <w:lvl>
      <w:numFmt w:val="bullet"/>
      <w:suff w:val="tab"/>
      <w:lvlText w:val="▪"/>
      <w:rPr>
        <w:color w:val="3370ff"/>
        <w:sz w:val="11"/>
      </w:rPr>
    </w:lvl>
  </w:abstractNum>
  <w:abstractNum w:abstractNumId="2722128">
    <w:lvl>
      <w:numFmt w:val="bullet"/>
      <w:suff w:val="tab"/>
      <w:lvlText w:val="▪"/>
      <w:rPr>
        <w:color w:val="3370ff"/>
        <w:sz w:val="11"/>
      </w:rPr>
    </w:lvl>
  </w:abstractNum>
  <w:abstractNum w:abstractNumId="2722129">
    <w:lvl>
      <w:numFmt w:val="bullet"/>
      <w:suff w:val="tab"/>
      <w:lvlText w:val="￮"/>
      <w:rPr>
        <w:color w:val="3370ff"/>
      </w:rPr>
    </w:lvl>
  </w:abstractNum>
  <w:abstractNum w:abstractNumId="2722130">
    <w:lvl>
      <w:numFmt w:val="bullet"/>
      <w:suff w:val="tab"/>
      <w:lvlText w:val="▪"/>
      <w:rPr>
        <w:color w:val="3370ff"/>
        <w:sz w:val="11"/>
      </w:rPr>
    </w:lvl>
  </w:abstractNum>
  <w:abstractNum w:abstractNumId="2722131">
    <w:lvl>
      <w:numFmt w:val="bullet"/>
      <w:suff w:val="tab"/>
      <w:lvlText w:val="▪"/>
      <w:rPr>
        <w:color w:val="3370ff"/>
        <w:sz w:val="11"/>
      </w:rPr>
    </w:lvl>
  </w:abstractNum>
  <w:abstractNum w:abstractNumId="2722132">
    <w:lvl>
      <w:numFmt w:val="bullet"/>
      <w:suff w:val="tab"/>
      <w:lvlText w:val="•"/>
      <w:rPr>
        <w:color w:val="3370ff"/>
      </w:rPr>
    </w:lvl>
  </w:abstractNum>
  <w:abstractNum w:abstractNumId="2722133">
    <w:lvl>
      <w:numFmt w:val="bullet"/>
      <w:suff w:val="tab"/>
      <w:lvlText w:val="￮"/>
      <w:rPr>
        <w:color w:val="3370ff"/>
      </w:rPr>
    </w:lvl>
  </w:abstractNum>
  <w:abstractNum w:abstractNumId="2722134">
    <w:lvl>
      <w:numFmt w:val="bullet"/>
      <w:suff w:val="tab"/>
      <w:lvlText w:val="￮"/>
      <w:rPr>
        <w:color w:val="3370ff"/>
      </w:rPr>
    </w:lvl>
  </w:abstractNum>
  <w:abstractNum w:abstractNumId="2722135">
    <w:lvl>
      <w:numFmt w:val="bullet"/>
      <w:suff w:val="tab"/>
      <w:lvlText w:val="•"/>
      <w:rPr>
        <w:color w:val="3370ff"/>
      </w:rPr>
    </w:lvl>
  </w:abstractNum>
  <w:abstractNum w:abstractNumId="2722136">
    <w:lvl>
      <w:numFmt w:val="bullet"/>
      <w:suff w:val="tab"/>
      <w:lvlText w:val="￮"/>
      <w:rPr>
        <w:color w:val="3370ff"/>
      </w:rPr>
    </w:lvl>
  </w:abstractNum>
  <w:abstractNum w:abstractNumId="2722137">
    <w:lvl>
      <w:numFmt w:val="bullet"/>
      <w:suff w:val="tab"/>
      <w:lvlText w:val="￮"/>
      <w:rPr>
        <w:color w:val="3370ff"/>
      </w:rPr>
    </w:lvl>
  </w:abstractNum>
  <w:abstractNum w:abstractNumId="2722138">
    <w:lvl>
      <w:numFmt w:val="bullet"/>
      <w:suff w:val="tab"/>
      <w:lvlText w:val="￮"/>
      <w:rPr>
        <w:color w:val="3370ff"/>
      </w:rPr>
    </w:lvl>
  </w:abstractNum>
  <w:abstractNum w:abstractNumId="2722139">
    <w:lvl>
      <w:numFmt w:val="bullet"/>
      <w:suff w:val="tab"/>
      <w:lvlText w:val="•"/>
      <w:rPr>
        <w:color w:val="3370ff"/>
      </w:rPr>
    </w:lvl>
  </w:abstractNum>
  <w:abstractNum w:abstractNumId="2722140">
    <w:lvl>
      <w:numFmt w:val="bullet"/>
      <w:suff w:val="tab"/>
      <w:lvlText w:val="￮"/>
      <w:rPr>
        <w:color w:val="3370ff"/>
      </w:rPr>
    </w:lvl>
  </w:abstractNum>
  <w:abstractNum w:abstractNumId="2722141">
    <w:lvl>
      <w:numFmt w:val="bullet"/>
      <w:suff w:val="tab"/>
      <w:lvlText w:val="￮"/>
      <w:rPr>
        <w:color w:val="3370ff"/>
      </w:rPr>
    </w:lvl>
  </w:abstractNum>
  <w:abstractNum w:abstractNumId="2722142">
    <w:lvl>
      <w:numFmt w:val="bullet"/>
      <w:suff w:val="tab"/>
      <w:lvlText w:val="￮"/>
      <w:rPr>
        <w:color w:val="3370ff"/>
      </w:rPr>
    </w:lvl>
  </w:abstractNum>
  <w:abstractNum w:abstractNumId="2722143">
    <w:lvl>
      <w:numFmt w:val="bullet"/>
      <w:suff w:val="tab"/>
      <w:lvlText w:val="•"/>
      <w:rPr>
        <w:color w:val="3370ff"/>
      </w:rPr>
    </w:lvl>
  </w:abstractNum>
  <w:abstractNum w:abstractNumId="2722144">
    <w:lvl>
      <w:start w:val="1"/>
      <w:numFmt w:val="lowerLetter"/>
      <w:suff w:val="tab"/>
      <w:lvlText w:val="%1."/>
      <w:rPr>
        <w:color w:val="3370ff"/>
      </w:rPr>
    </w:lvl>
  </w:abstractNum>
  <w:abstractNum w:abstractNumId="2722145">
    <w:lvl>
      <w:start w:val="2"/>
      <w:numFmt w:val="lowerLetter"/>
      <w:suff w:val="tab"/>
      <w:lvlText w:val="%1."/>
      <w:rPr>
        <w:color w:val="3370ff"/>
      </w:rPr>
    </w:lvl>
  </w:abstractNum>
  <w:abstractNum w:abstractNumId="2722146">
    <w:lvl>
      <w:start w:val="3"/>
      <w:numFmt w:val="lowerLetter"/>
      <w:suff w:val="tab"/>
      <w:lvlText w:val="%1."/>
      <w:rPr>
        <w:color w:val="3370ff"/>
      </w:rPr>
    </w:lvl>
  </w:abstractNum>
  <w:num w:numId="1">
    <w:abstractNumId w:val="2722107"/>
  </w:num>
  <w:num w:numId="2">
    <w:abstractNumId w:val="2722108"/>
  </w:num>
  <w:num w:numId="3">
    <w:abstractNumId w:val="2722109"/>
  </w:num>
  <w:num w:numId="4">
    <w:abstractNumId w:val="2722110"/>
  </w:num>
  <w:num w:numId="5">
    <w:abstractNumId w:val="2722111"/>
  </w:num>
  <w:num w:numId="6">
    <w:abstractNumId w:val="2722112"/>
  </w:num>
  <w:num w:numId="7">
    <w:abstractNumId w:val="2722113"/>
  </w:num>
  <w:num w:numId="8">
    <w:abstractNumId w:val="2722114"/>
  </w:num>
  <w:num w:numId="9">
    <w:abstractNumId w:val="2722115"/>
  </w:num>
  <w:num w:numId="10">
    <w:abstractNumId w:val="2722116"/>
  </w:num>
  <w:num w:numId="11">
    <w:abstractNumId w:val="2722117"/>
  </w:num>
  <w:num w:numId="12">
    <w:abstractNumId w:val="2722118"/>
  </w:num>
  <w:num w:numId="13">
    <w:abstractNumId w:val="2722119"/>
  </w:num>
  <w:num w:numId="14">
    <w:abstractNumId w:val="2722120"/>
  </w:num>
  <w:num w:numId="15">
    <w:abstractNumId w:val="2722121"/>
  </w:num>
  <w:num w:numId="16">
    <w:abstractNumId w:val="2722122"/>
  </w:num>
  <w:num w:numId="17">
    <w:abstractNumId w:val="2722123"/>
  </w:num>
  <w:num w:numId="18">
    <w:abstractNumId w:val="2722124"/>
  </w:num>
  <w:num w:numId="19">
    <w:abstractNumId w:val="2722125"/>
  </w:num>
  <w:num w:numId="20">
    <w:abstractNumId w:val="2722126"/>
  </w:num>
  <w:num w:numId="21">
    <w:abstractNumId w:val="2722127"/>
  </w:num>
  <w:num w:numId="22">
    <w:abstractNumId w:val="2722128"/>
  </w:num>
  <w:num w:numId="23">
    <w:abstractNumId w:val="2722129"/>
  </w:num>
  <w:num w:numId="24">
    <w:abstractNumId w:val="2722130"/>
  </w:num>
  <w:num w:numId="25">
    <w:abstractNumId w:val="2722131"/>
  </w:num>
  <w:num w:numId="26">
    <w:abstractNumId w:val="2722132"/>
  </w:num>
  <w:num w:numId="27">
    <w:abstractNumId w:val="2722133"/>
  </w:num>
  <w:num w:numId="28">
    <w:abstractNumId w:val="2722134"/>
  </w:num>
  <w:num w:numId="29">
    <w:abstractNumId w:val="2722135"/>
  </w:num>
  <w:num w:numId="30">
    <w:abstractNumId w:val="2722136"/>
  </w:num>
  <w:num w:numId="31">
    <w:abstractNumId w:val="2722137"/>
  </w:num>
  <w:num w:numId="32">
    <w:abstractNumId w:val="2722138"/>
  </w:num>
  <w:num w:numId="33">
    <w:abstractNumId w:val="2722139"/>
  </w:num>
  <w:num w:numId="34">
    <w:abstractNumId w:val="2722140"/>
  </w:num>
  <w:num w:numId="35">
    <w:abstractNumId w:val="2722141"/>
  </w:num>
  <w:num w:numId="36">
    <w:abstractNumId w:val="2722142"/>
  </w:num>
  <w:num w:numId="37">
    <w:abstractNumId w:val="2722143"/>
  </w:num>
  <w:num w:numId="38">
    <w:abstractNumId w:val="2722144"/>
  </w:num>
  <w:num w:numId="39">
    <w:abstractNumId w:val="2722145"/>
  </w:num>
  <w:num w:numId="40">
    <w:abstractNumId w:val="27221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2026-06-17T13:35:44Z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{"Label":"1","ContentProducer":"001191110102MACQD9K64010000","ProduceID":"7652357550838664435","ReservedCode1":"","ContentPropagator":"","PropagateID":"","ReservedCode2":""}</vt:lpwstr>
  </property>
</Properties>
</file>