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C5972" w14:textId="77777777" w:rsidR="00C6554A" w:rsidRPr="008B5277" w:rsidRDefault="00B41EF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EF16ECD" wp14:editId="5F346A7D">
            <wp:extent cx="5486400" cy="2742910"/>
            <wp:effectExtent l="0" t="0" r="0" b="635"/>
            <wp:docPr id="1" name="Picture 1" descr="Image result for e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is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19044ED" w14:textId="77777777" w:rsidR="00C6554A" w:rsidRPr="00B41EF9" w:rsidRDefault="00B41EF9" w:rsidP="00C6554A">
      <w:pPr>
        <w:pStyle w:val="Title"/>
        <w:rPr>
          <w:sz w:val="50"/>
          <w:szCs w:val="50"/>
        </w:rPr>
      </w:pPr>
      <w:r w:rsidRPr="00B41EF9">
        <w:rPr>
          <w:sz w:val="50"/>
          <w:szCs w:val="50"/>
        </w:rPr>
        <w:t>Engineering Economics Course Project</w:t>
      </w:r>
    </w:p>
    <w:p w14:paraId="56B1221F" w14:textId="77777777" w:rsidR="00C6554A" w:rsidRPr="00D5413C" w:rsidRDefault="00B41EF9" w:rsidP="00C6554A">
      <w:pPr>
        <w:pStyle w:val="Subtitle"/>
      </w:pPr>
      <w:r>
        <w:t>Carbon Taxes to minimize cO2 emissions in a micro-grid</w:t>
      </w:r>
    </w:p>
    <w:p w14:paraId="6476D9EC" w14:textId="77777777" w:rsidR="00C6554A" w:rsidRDefault="00B41EF9" w:rsidP="00C6554A">
      <w:pPr>
        <w:pStyle w:val="ContactInfo"/>
      </w:pPr>
      <w:r>
        <w:t xml:space="preserve">Prepared for ECON74000, </w:t>
      </w:r>
      <w:proofErr w:type="gramStart"/>
      <w:r>
        <w:t>Winter</w:t>
      </w:r>
      <w:proofErr w:type="gramEnd"/>
      <w:r>
        <w:t xml:space="preserve"> 2018</w:t>
      </w:r>
    </w:p>
    <w:p w14:paraId="3E932AB2" w14:textId="77777777" w:rsidR="00B41EF9" w:rsidRDefault="00B41EF9" w:rsidP="00C6554A">
      <w:pPr>
        <w:pStyle w:val="ContactInfo"/>
      </w:pPr>
      <w:r>
        <w:t xml:space="preserve">David </w:t>
      </w:r>
      <w:proofErr w:type="spellStart"/>
      <w:r>
        <w:t>Eelman</w:t>
      </w:r>
      <w:proofErr w:type="spellEnd"/>
      <w:r>
        <w:t xml:space="preserve"> (</w:t>
      </w:r>
      <w:r w:rsidRPr="00B41EF9">
        <w:t>6365316</w:t>
      </w:r>
      <w:r>
        <w:t>)</w:t>
      </w:r>
    </w:p>
    <w:p w14:paraId="2ED9C116" w14:textId="77777777" w:rsidR="00B41EF9" w:rsidRDefault="00B41EF9" w:rsidP="00C6554A">
      <w:pPr>
        <w:pStyle w:val="ContactInfo"/>
      </w:pPr>
      <w:r>
        <w:t xml:space="preserve">Stanislav </w:t>
      </w:r>
      <w:proofErr w:type="spellStart"/>
      <w:r>
        <w:t>Rashevskyi</w:t>
      </w:r>
      <w:proofErr w:type="spellEnd"/>
      <w:r>
        <w:t xml:space="preserve"> (</w:t>
      </w:r>
      <w:r w:rsidRPr="00B41EF9">
        <w:t>7028178</w:t>
      </w:r>
      <w:r>
        <w:t>)</w:t>
      </w:r>
    </w:p>
    <w:p w14:paraId="72D13B56" w14:textId="77777777" w:rsidR="00B41EF9" w:rsidRDefault="00B41EF9" w:rsidP="00B41EF9">
      <w:pPr>
        <w:pStyle w:val="ContactInfo"/>
      </w:pPr>
      <w:r>
        <w:t>Thomas Abdallah (7141518)</w:t>
      </w:r>
    </w:p>
    <w:p w14:paraId="5FDE43FB" w14:textId="77777777" w:rsidR="00B41EF9" w:rsidRDefault="00B41EF9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88128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E2EA31" w14:textId="77777777" w:rsidR="00B41EF9" w:rsidRDefault="00B41EF9">
          <w:pPr>
            <w:pStyle w:val="TOCHeading"/>
          </w:pPr>
          <w:r>
            <w:t>Contents</w:t>
          </w:r>
        </w:p>
        <w:p w14:paraId="0CD5A058" w14:textId="02F1CF11" w:rsidR="00204911" w:rsidRDefault="00B41EF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11780" w:history="1">
            <w:r w:rsidR="00204911" w:rsidRPr="000F0B32">
              <w:rPr>
                <w:rStyle w:val="Hyperlink"/>
                <w:noProof/>
              </w:rPr>
              <w:t>Introduction</w:t>
            </w:r>
            <w:r w:rsidR="00204911">
              <w:rPr>
                <w:noProof/>
                <w:webHidden/>
              </w:rPr>
              <w:tab/>
            </w:r>
            <w:r w:rsidR="00204911">
              <w:rPr>
                <w:noProof/>
                <w:webHidden/>
              </w:rPr>
              <w:fldChar w:fldCharType="begin"/>
            </w:r>
            <w:r w:rsidR="00204911">
              <w:rPr>
                <w:noProof/>
                <w:webHidden/>
              </w:rPr>
              <w:instrText xml:space="preserve"> PAGEREF _Toc511311780 \h </w:instrText>
            </w:r>
            <w:r w:rsidR="00204911">
              <w:rPr>
                <w:noProof/>
                <w:webHidden/>
              </w:rPr>
            </w:r>
            <w:r w:rsidR="00204911">
              <w:rPr>
                <w:noProof/>
                <w:webHidden/>
              </w:rPr>
              <w:fldChar w:fldCharType="separate"/>
            </w:r>
            <w:r w:rsidR="00204911">
              <w:rPr>
                <w:noProof/>
                <w:webHidden/>
              </w:rPr>
              <w:t>2</w:t>
            </w:r>
            <w:r w:rsidR="00204911">
              <w:rPr>
                <w:noProof/>
                <w:webHidden/>
              </w:rPr>
              <w:fldChar w:fldCharType="end"/>
            </w:r>
          </w:hyperlink>
        </w:p>
        <w:p w14:paraId="7A751640" w14:textId="524B2DE9" w:rsidR="00204911" w:rsidRDefault="002049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1" w:history="1">
            <w:r w:rsidRPr="000F0B3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7D9F" w14:textId="25302584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2" w:history="1">
            <w:r w:rsidRPr="000F0B3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3E03" w14:textId="00AB6664" w:rsidR="00204911" w:rsidRDefault="002049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3" w:history="1">
            <w:r w:rsidRPr="000F0B32">
              <w:rPr>
                <w:rStyle w:val="Hyperlink"/>
                <w:noProof/>
              </w:rPr>
              <w:t>Economic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DFAC" w14:textId="051C2A1B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4" w:history="1">
            <w:r w:rsidRPr="000F0B32">
              <w:rPr>
                <w:rStyle w:val="Hyperlink"/>
                <w:noProof/>
              </w:rPr>
              <w:t>Levelized Cost of Energy (LCOE)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7025" w14:textId="24BB0F4D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5" w:history="1">
            <w:r w:rsidRPr="000F0B32">
              <w:rPr>
                <w:rStyle w:val="Hyperlink"/>
                <w:noProof/>
              </w:rPr>
              <w:t>Present Worth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3127" w14:textId="470E3563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6" w:history="1">
            <w:r w:rsidRPr="000F0B32">
              <w:rPr>
                <w:rStyle w:val="Hyperlink"/>
                <w:noProof/>
              </w:rPr>
              <w:t>Incremental Internal Rate of Return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8CCC" w14:textId="6D1F8F8C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7" w:history="1">
            <w:r w:rsidRPr="000F0B32">
              <w:rPr>
                <w:rStyle w:val="Hyperlink"/>
                <w:noProof/>
              </w:rPr>
              <w:t>Equivalent Annual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299A" w14:textId="028C557B" w:rsidR="00204911" w:rsidRDefault="002049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8" w:history="1">
            <w:r w:rsidRPr="000F0B32">
              <w:rPr>
                <w:rStyle w:val="Hyperlink"/>
                <w:noProof/>
              </w:rPr>
              <w:t>Factors Missing From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DB54" w14:textId="6FB89033" w:rsidR="00204911" w:rsidRDefault="002049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89" w:history="1">
            <w:r w:rsidRPr="000F0B32">
              <w:rPr>
                <w:rStyle w:val="Hyperlink"/>
                <w:noProof/>
              </w:rPr>
              <w:t>Appendix A – Present Worth Analysis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EBF4" w14:textId="38A158C2" w:rsidR="00204911" w:rsidRDefault="002049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90" w:history="1">
            <w:r w:rsidRPr="000F0B32">
              <w:rPr>
                <w:rStyle w:val="Hyperlink"/>
                <w:noProof/>
              </w:rPr>
              <w:t>Appendix B – Incremental Internal Rate of Return Analysis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993B" w14:textId="13FDA09E" w:rsidR="00204911" w:rsidRDefault="002049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11311791" w:history="1">
            <w:r w:rsidRPr="000F0B3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7DB4" w14:textId="21FD4891" w:rsidR="00B41EF9" w:rsidRDefault="00B41EF9">
          <w:r>
            <w:rPr>
              <w:b/>
              <w:bCs/>
              <w:noProof/>
            </w:rPr>
            <w:fldChar w:fldCharType="end"/>
          </w:r>
        </w:p>
      </w:sdtContent>
    </w:sdt>
    <w:p w14:paraId="32EC121F" w14:textId="77777777" w:rsidR="00B41EF9" w:rsidRDefault="00B41EF9">
      <w:r>
        <w:br w:type="page"/>
      </w:r>
    </w:p>
    <w:p w14:paraId="257FFDCA" w14:textId="77777777" w:rsidR="00C6554A" w:rsidRDefault="00B41EF9" w:rsidP="00A47419">
      <w:pPr>
        <w:pStyle w:val="Heading1"/>
        <w:spacing w:line="480" w:lineRule="auto"/>
      </w:pPr>
      <w:bookmarkStart w:id="5" w:name="_Toc511311780"/>
      <w:r>
        <w:lastRenderedPageBreak/>
        <w:t>Introduction</w:t>
      </w:r>
      <w:bookmarkEnd w:id="5"/>
    </w:p>
    <w:p w14:paraId="330EF0D2" w14:textId="3730EFBF" w:rsidR="00404585" w:rsidRDefault="008731F4" w:rsidP="00404585">
      <w:pPr>
        <w:spacing w:line="480" w:lineRule="auto"/>
        <w:ind w:firstLine="720"/>
      </w:pPr>
      <w:r>
        <w:t xml:space="preserve">This report will identify the best </w:t>
      </w:r>
      <w:r w:rsidR="000F0BF5">
        <w:t xml:space="preserve">energy production </w:t>
      </w:r>
      <w:r>
        <w:t xml:space="preserve">option and </w:t>
      </w:r>
      <w:r w:rsidR="00B56223">
        <w:t xml:space="preserve">associated </w:t>
      </w:r>
      <w:r>
        <w:t xml:space="preserve">carbon tax price to incent the adoption of renewable energy sources and minimize the use of diesel fuel generation in a micro-grid application for a remote Northern Ontario community.  The analysis will consider four </w:t>
      </w:r>
      <w:r w:rsidR="000F0BF5">
        <w:t xml:space="preserve">energy production options </w:t>
      </w:r>
      <w:r w:rsidR="00125BC7">
        <w:t>(</w:t>
      </w:r>
      <w:r w:rsidR="00125BC7">
        <w:fldChar w:fldCharType="begin"/>
      </w:r>
      <w:r w:rsidR="00125BC7">
        <w:instrText xml:space="preserve"> REF _Ref511223791 \h </w:instrText>
      </w:r>
      <w:r w:rsidR="00125BC7">
        <w:fldChar w:fldCharType="separate"/>
      </w:r>
      <w:r w:rsidR="00125BC7">
        <w:t xml:space="preserve">Table </w:t>
      </w:r>
      <w:r w:rsidR="00125BC7">
        <w:rPr>
          <w:noProof/>
        </w:rPr>
        <w:t>1</w:t>
      </w:r>
      <w:r w:rsidR="00125BC7">
        <w:fldChar w:fldCharType="end"/>
      </w:r>
      <w:r w:rsidR="00125BC7">
        <w:t xml:space="preserve">) </w:t>
      </w:r>
      <w:r w:rsidR="000F0BF5">
        <w:t xml:space="preserve">that could be purchased </w:t>
      </w:r>
      <w:r w:rsidR="00B56223">
        <w:t xml:space="preserve">and </w:t>
      </w:r>
      <w:r w:rsidR="000F0BF5">
        <w:t>become operational in 2019.  These options include a mix of wind, solar, and diesel energy production.</w:t>
      </w:r>
      <w:r w:rsidR="008228A7">
        <w:t xml:space="preserve">  The analysis for this project will consider the present worth, the incremental internal rate of return, and the equivalent annual cost for each energy production option.  A </w:t>
      </w:r>
      <w:r w:rsidR="00F73267">
        <w:t>tax (</w:t>
      </w:r>
      <w:r w:rsidR="008228A7">
        <w:t xml:space="preserve">dollar </w:t>
      </w:r>
      <w:r w:rsidR="00BF5B3B">
        <w:t>per kilogram of CO2 emissions</w:t>
      </w:r>
      <w:r w:rsidR="00F73267">
        <w:t>)</w:t>
      </w:r>
      <w:r w:rsidR="00BF5B3B">
        <w:t xml:space="preserve"> </w:t>
      </w:r>
      <w:r w:rsidR="008228A7">
        <w:t xml:space="preserve">will be proposed that shall minimize diesel fuel generation and increase the feasibility of the options that include renewable energy sources.  </w:t>
      </w:r>
      <w:r w:rsidR="00033C68">
        <w:t>The same analysis will be performed using the tax rules of the United Kingdom to provide comparison on the feasibility of the project in that country.</w:t>
      </w:r>
    </w:p>
    <w:p w14:paraId="5F3972B1" w14:textId="1838F097" w:rsidR="00404585" w:rsidRDefault="00404585" w:rsidP="00404585">
      <w:pPr>
        <w:pStyle w:val="Caption"/>
        <w:keepNext/>
        <w:jc w:val="center"/>
      </w:pPr>
      <w:bookmarkStart w:id="6" w:name="_Ref5112237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A4C8F">
        <w:rPr>
          <w:noProof/>
        </w:rPr>
        <w:t>1</w:t>
      </w:r>
      <w:r>
        <w:fldChar w:fldCharType="end"/>
      </w:r>
      <w:bookmarkEnd w:id="6"/>
      <w:r>
        <w:t xml:space="preserve"> - Generation Options</w:t>
      </w:r>
    </w:p>
    <w:p w14:paraId="55A60975" w14:textId="1E591FA4" w:rsidR="00404585" w:rsidRDefault="00715E57" w:rsidP="0040458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C1F9046" wp14:editId="458579D4">
            <wp:extent cx="5486400" cy="19056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37C2635" w14:textId="45F6A3E0" w:rsidR="00E90AFB" w:rsidRDefault="00E90AFB" w:rsidP="00A47419">
      <w:pPr>
        <w:pStyle w:val="Heading1"/>
        <w:spacing w:line="480" w:lineRule="auto"/>
      </w:pPr>
      <w:bookmarkStart w:id="7" w:name="_Toc511311781"/>
      <w:r>
        <w:lastRenderedPageBreak/>
        <w:t>Problem Statement</w:t>
      </w:r>
      <w:bookmarkEnd w:id="7"/>
    </w:p>
    <w:p w14:paraId="21F9A01F" w14:textId="7C8B85C4" w:rsidR="00E90AFB" w:rsidRDefault="00E90AFB" w:rsidP="00A47419">
      <w:pPr>
        <w:spacing w:line="480" w:lineRule="auto"/>
      </w:pPr>
      <w:r>
        <w:tab/>
        <w:t>This report will determine an appropriate CO2 tax to be applied that will minimize the use of diesel fuel generation in a theoretical micro-grid application in Northern Ontario and compare the feasibility of this project to the same project if it were undertaken in the United Kingdom.</w:t>
      </w:r>
    </w:p>
    <w:p w14:paraId="0F979C67" w14:textId="3D00A0E5" w:rsidR="00385630" w:rsidRDefault="00385630" w:rsidP="00A47419">
      <w:pPr>
        <w:pStyle w:val="Heading3"/>
        <w:spacing w:line="480" w:lineRule="auto"/>
      </w:pPr>
      <w:bookmarkStart w:id="8" w:name="_Toc511311782"/>
      <w:r>
        <w:t>Assumptions</w:t>
      </w:r>
      <w:bookmarkEnd w:id="8"/>
    </w:p>
    <w:p w14:paraId="5C293766" w14:textId="401165D1" w:rsidR="00385630" w:rsidRPr="00B507E5" w:rsidRDefault="00385630" w:rsidP="00A47419">
      <w:pPr>
        <w:pStyle w:val="ListParagraph"/>
        <w:numPr>
          <w:ilvl w:val="0"/>
          <w:numId w:val="16"/>
        </w:numPr>
        <w:spacing w:line="480" w:lineRule="auto"/>
      </w:pPr>
      <w:r w:rsidRPr="00B507E5">
        <w:t>Yearly maintenance cost increase is 5% of the previous year’s maintenance cost.</w:t>
      </w:r>
    </w:p>
    <w:p w14:paraId="571D6972" w14:textId="0CB3BC4C" w:rsidR="00385630" w:rsidRPr="00B507E5" w:rsidRDefault="00385630" w:rsidP="00A47419">
      <w:pPr>
        <w:pStyle w:val="ListParagraph"/>
        <w:numPr>
          <w:ilvl w:val="0"/>
          <w:numId w:val="16"/>
        </w:numPr>
        <w:spacing w:line="480" w:lineRule="auto"/>
      </w:pPr>
      <w:r w:rsidRPr="00B507E5">
        <w:t>Yearly CO2 emissions increase is 2% of the previous year’s CO2 emissions.</w:t>
      </w:r>
    </w:p>
    <w:p w14:paraId="664B5658" w14:textId="4B5B6642" w:rsidR="00385630" w:rsidRPr="00B507E5" w:rsidRDefault="000E6A19" w:rsidP="00726A89">
      <w:pPr>
        <w:pStyle w:val="ListParagraph"/>
        <w:numPr>
          <w:ilvl w:val="0"/>
          <w:numId w:val="16"/>
        </w:numPr>
        <w:spacing w:line="480" w:lineRule="auto"/>
      </w:pPr>
      <w:r w:rsidRPr="00B507E5">
        <w:t>Yearly diesel fuel cost increase is 2% of the previous year’s diesel fuel cost.</w:t>
      </w:r>
    </w:p>
    <w:p w14:paraId="0C6ED988" w14:textId="46D99DD5" w:rsidR="000E6A19" w:rsidRDefault="00726A89" w:rsidP="00A47419">
      <w:pPr>
        <w:pStyle w:val="ListParagraph"/>
        <w:numPr>
          <w:ilvl w:val="0"/>
          <w:numId w:val="16"/>
        </w:numPr>
        <w:spacing w:line="480" w:lineRule="auto"/>
      </w:pPr>
      <w:r>
        <w:t>No tax credits or other government incentives for any generation option.</w:t>
      </w:r>
    </w:p>
    <w:p w14:paraId="12713421" w14:textId="72364A98" w:rsidR="004117CB" w:rsidRDefault="00284769" w:rsidP="00785C36">
      <w:pPr>
        <w:pStyle w:val="ListParagraph"/>
        <w:numPr>
          <w:ilvl w:val="0"/>
          <w:numId w:val="16"/>
        </w:numPr>
        <w:spacing w:line="480" w:lineRule="auto"/>
      </w:pPr>
      <w:r>
        <w:t xml:space="preserve">100% utilization rate for all </w:t>
      </w:r>
      <w:r w:rsidR="007B4E9B">
        <w:t>generation options, i.e. running at maximum power output 24 hours a day, 365 days a year.</w:t>
      </w:r>
    </w:p>
    <w:p w14:paraId="2581E86F" w14:textId="7614E544" w:rsidR="00AA1D3E" w:rsidRDefault="00AA1D3E" w:rsidP="00785C36">
      <w:pPr>
        <w:pStyle w:val="ListParagraph"/>
        <w:numPr>
          <w:ilvl w:val="0"/>
          <w:numId w:val="16"/>
        </w:numPr>
        <w:spacing w:line="480" w:lineRule="auto"/>
      </w:pPr>
      <w:r>
        <w:t>Same cost of financing for all generation options.</w:t>
      </w:r>
    </w:p>
    <w:p w14:paraId="37FC62A5" w14:textId="04947EC7" w:rsidR="00816253" w:rsidRDefault="00816253" w:rsidP="00A47419">
      <w:pPr>
        <w:pStyle w:val="Heading1"/>
        <w:spacing w:line="480" w:lineRule="auto"/>
      </w:pPr>
      <w:bookmarkStart w:id="9" w:name="_Toc511311783"/>
      <w:r>
        <w:t>Economic Analysis</w:t>
      </w:r>
      <w:bookmarkEnd w:id="9"/>
    </w:p>
    <w:p w14:paraId="2150CF6C" w14:textId="1BFB3F1B" w:rsidR="00816253" w:rsidRDefault="00816253" w:rsidP="00284769">
      <w:pPr>
        <w:pStyle w:val="Heading3"/>
        <w:spacing w:line="480" w:lineRule="auto"/>
      </w:pPr>
      <w:bookmarkStart w:id="10" w:name="_Toc511311784"/>
      <w:proofErr w:type="spellStart"/>
      <w:r>
        <w:t>Levelized</w:t>
      </w:r>
      <w:proofErr w:type="spellEnd"/>
      <w:r>
        <w:t xml:space="preserve"> Cost of Energy (LCOE)</w:t>
      </w:r>
      <w:bookmarkEnd w:id="10"/>
    </w:p>
    <w:p w14:paraId="0FFE188D" w14:textId="3F5B62CF" w:rsidR="0080561C" w:rsidRDefault="001D57BF" w:rsidP="009421BC">
      <w:pPr>
        <w:spacing w:line="480" w:lineRule="auto"/>
        <w:ind w:firstLine="720"/>
      </w:pPr>
      <w:r>
        <w:t>The concept of LCOE represents the total cost per unit of energy of constructing and operating a power plant over its lifetime</w:t>
      </w:r>
      <w:r w:rsidR="0080561C">
        <w:t xml:space="preserve"> </w:t>
      </w:r>
      <w:sdt>
        <w:sdtPr>
          <w:id w:val="1703217015"/>
          <w:citation/>
        </w:sdtPr>
        <w:sdtEndPr/>
        <w:sdtContent>
          <w:r w:rsidR="0080561C">
            <w:fldChar w:fldCharType="begin"/>
          </w:r>
          <w:r w:rsidR="0080561C">
            <w:instrText xml:space="preserve"> CITATION USE18 \l 1033 </w:instrText>
          </w:r>
          <w:r w:rsidR="0080561C">
            <w:fldChar w:fldCharType="separate"/>
          </w:r>
          <w:r w:rsidR="00DB23A7">
            <w:rPr>
              <w:noProof/>
            </w:rPr>
            <w:t>(U.S. Energy Information Administration, 2018)</w:t>
          </w:r>
          <w:r w:rsidR="0080561C">
            <w:fldChar w:fldCharType="end"/>
          </w:r>
        </w:sdtContent>
      </w:sdt>
      <w:r>
        <w:t xml:space="preserve">.  </w:t>
      </w:r>
      <w:r w:rsidR="00DC1755">
        <w:t xml:space="preserve">LCOE provides a convenient mechanism for comparing </w:t>
      </w:r>
      <w:r w:rsidR="00F94D08">
        <w:t>the competitiveness of different generation technologies.</w:t>
      </w:r>
      <w:r w:rsidR="00C502A8">
        <w:t xml:space="preserve">  In this report we </w:t>
      </w:r>
      <w:r w:rsidR="004555BA">
        <w:t>only consider the capital costs, fuel costs, and maintenance costs w</w:t>
      </w:r>
      <w:r w:rsidR="0052549F">
        <w:t xml:space="preserve">hen evaluating </w:t>
      </w:r>
      <w:r w:rsidR="00ED2974">
        <w:t xml:space="preserve">each generation option, although a full </w:t>
      </w:r>
      <w:r w:rsidR="00ED2974">
        <w:lastRenderedPageBreak/>
        <w:t>LCOE analysis would include the cost of financing, operation, and utilization rates for each generation option.</w:t>
      </w:r>
    </w:p>
    <w:p w14:paraId="2FEA6782" w14:textId="128E8F42" w:rsidR="00AF4A1D" w:rsidRDefault="000A0FCD" w:rsidP="000A0FCD">
      <w:pPr>
        <w:pStyle w:val="Heading3"/>
      </w:pPr>
      <w:bookmarkStart w:id="11" w:name="_Toc511311785"/>
      <w:r>
        <w:t>Present Worth Analysis</w:t>
      </w:r>
      <w:bookmarkEnd w:id="11"/>
    </w:p>
    <w:p w14:paraId="021A8F54" w14:textId="0E7FB8C9" w:rsidR="000A0FCD" w:rsidRDefault="00051891" w:rsidP="001C5EB7">
      <w:pPr>
        <w:spacing w:line="480" w:lineRule="auto"/>
      </w:pPr>
      <w:r>
        <w:tab/>
        <w:t xml:space="preserve">The present worth of each option from </w:t>
      </w:r>
      <w:r>
        <w:fldChar w:fldCharType="begin"/>
      </w:r>
      <w:r>
        <w:instrText xml:space="preserve"> REF _Ref511223791 \h </w:instrText>
      </w:r>
      <w:r w:rsidR="001C5EB7">
        <w:instrText xml:space="preserve"> \* MERGEFORMAT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was conducted utilizing </w:t>
      </w:r>
      <w:r w:rsidR="00D510DE">
        <w:t>the c</w:t>
      </w:r>
      <w:r w:rsidR="00DC1E6B">
        <w:t xml:space="preserve">orporate tax rate in Canada of </w:t>
      </w:r>
      <w:r w:rsidR="00D510DE">
        <w:t>36.1</w:t>
      </w:r>
      <w:r w:rsidR="00DC1E6B">
        <w:t>%</w:t>
      </w:r>
      <w:r w:rsidR="00D510DE">
        <w:t xml:space="preserve"> </w:t>
      </w:r>
      <w:sdt>
        <w:sdtPr>
          <w:id w:val="999004714"/>
          <w:citation/>
        </w:sdtPr>
        <w:sdtEndPr/>
        <w:sdtContent>
          <w:r w:rsidR="00B86341">
            <w:fldChar w:fldCharType="begin"/>
          </w:r>
          <w:r w:rsidR="00B86341">
            <w:instrText xml:space="preserve"> CITATION Pea17 \l 1033 </w:instrText>
          </w:r>
          <w:r w:rsidR="00B86341">
            <w:fldChar w:fldCharType="separate"/>
          </w:r>
          <w:r w:rsidR="00B86341">
            <w:rPr>
              <w:noProof/>
            </w:rPr>
            <w:t>(Pearson Canada, Inc., 2017)</w:t>
          </w:r>
          <w:r w:rsidR="00B86341">
            <w:fldChar w:fldCharType="end"/>
          </w:r>
        </w:sdtContent>
      </w:sdt>
      <w:r w:rsidR="00ED0AB6">
        <w:t xml:space="preserve">, </w:t>
      </w:r>
      <w:r w:rsidR="00D510DE">
        <w:t>a before-tax MARR of 20%</w:t>
      </w:r>
      <w:r w:rsidR="00ED0AB6">
        <w:t xml:space="preserve">, and a </w:t>
      </w:r>
      <w:r w:rsidR="003539E6">
        <w:t>C</w:t>
      </w:r>
      <w:r w:rsidR="00ED0AB6">
        <w:t xml:space="preserve">apital </w:t>
      </w:r>
      <w:r w:rsidR="003539E6">
        <w:t>C</w:t>
      </w:r>
      <w:r w:rsidR="00ED0AB6">
        <w:t xml:space="preserve">ost </w:t>
      </w:r>
      <w:r w:rsidR="003539E6">
        <w:t>A</w:t>
      </w:r>
      <w:r w:rsidR="00ED0AB6">
        <w:t xml:space="preserve">llowance </w:t>
      </w:r>
      <w:r w:rsidR="003539E6">
        <w:t xml:space="preserve">(CCA) </w:t>
      </w:r>
      <w:r w:rsidR="00ED0AB6">
        <w:t xml:space="preserve">of 20% (Class 8).  </w:t>
      </w:r>
      <w:r w:rsidR="00717F8E">
        <w:t>After-tax MARR is calculated to be 12.78%</w:t>
      </w:r>
      <w:r w:rsidR="00BF78F8">
        <w:t xml:space="preserve"> as shown below</w:t>
      </w:r>
      <w:r w:rsidR="00717F8E">
        <w:t>.</w:t>
      </w:r>
      <w:r w:rsidR="00F57AD9">
        <w:t xml:space="preserve"> option.</w:t>
      </w:r>
    </w:p>
    <w:p w14:paraId="471567F2" w14:textId="5D2E54AC" w:rsidR="00717F8E" w:rsidRPr="000A0FCD" w:rsidRDefault="00850ED4" w:rsidP="00B863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MARR</m:t>
              </m:r>
            </m:e>
            <m:sub>
              <m:r>
                <w:rPr>
                  <w:rFonts w:ascii="Cambria Math" w:hAnsi="Cambria Math"/>
                </w:rPr>
                <m:t>after-tax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MARR</m:t>
              </m:r>
            </m:e>
            <m:sub>
              <m:r>
                <w:rPr>
                  <w:rFonts w:ascii="Cambria Math" w:hAnsi="Cambria Math"/>
                </w:rPr>
                <m:t>before-tax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1-tax rate</m:t>
              </m:r>
            </m:e>
          </m:d>
          <m:r>
            <w:rPr>
              <w:rFonts w:ascii="Cambria Math" w:hAnsi="Cambria Math"/>
            </w:rPr>
            <m:t>=20%*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1-0.361</m:t>
              </m:r>
            </m:e>
          </m:d>
          <m:r>
            <w:rPr>
              <w:rFonts w:ascii="Cambria Math" w:hAnsi="Cambria Math"/>
            </w:rPr>
            <m:t>=12.78%</m:t>
          </m:r>
        </m:oMath>
      </m:oMathPara>
    </w:p>
    <w:p w14:paraId="772626BB" w14:textId="39FDB6C4" w:rsidR="000A0FCD" w:rsidRDefault="003539E6" w:rsidP="002B3DE0">
      <w:r>
        <w:t>The Capital Tax F</w:t>
      </w:r>
      <w:r w:rsidR="00145949">
        <w:t>actor (CTF) is calculated as shown below.</w:t>
      </w:r>
    </w:p>
    <w:p w14:paraId="03AE8851" w14:textId="7CFBA518" w:rsidR="003539E6" w:rsidRDefault="003539E6" w:rsidP="003539E6">
      <m:oMathPara>
        <m:oMath>
          <m:r>
            <w:rPr>
              <w:rFonts w:ascii="Cambria Math" w:hAnsi="Cambria Math"/>
            </w:rPr>
            <m:t xml:space="preserve">CTF=1-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tax rate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after-tax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after-tax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+CCA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after-tax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 0.792</m:t>
          </m:r>
        </m:oMath>
      </m:oMathPara>
    </w:p>
    <w:p w14:paraId="2BA0CC2F" w14:textId="66C50297" w:rsidR="00457218" w:rsidRDefault="00457218" w:rsidP="006C4D26">
      <w:r>
        <w:t>The present worth of the capital cost for each generation option is calculated as follows.</w:t>
      </w:r>
    </w:p>
    <w:p w14:paraId="2F014D92" w14:textId="316C7269" w:rsidR="006C4D26" w:rsidRDefault="00850ED4" w:rsidP="006C4D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Present Worth</m:t>
              </m:r>
            </m:e>
            <m:sub>
              <m:r>
                <w:rPr>
                  <w:rFonts w:ascii="Cambria Math" w:hAnsi="Cambria Math"/>
                </w:rPr>
                <m:t>Capital Cost</m:t>
              </m:r>
            </m:sub>
          </m:sSub>
          <m:r>
            <w:rPr>
              <w:rFonts w:ascii="Cambria Math" w:hAnsi="Cambria Math"/>
            </w:rPr>
            <m:t>=CTF*Capital Cost</m:t>
          </m:r>
        </m:oMath>
      </m:oMathPara>
    </w:p>
    <w:p w14:paraId="4C2B0243" w14:textId="64C59CED" w:rsidR="00AC60D5" w:rsidRDefault="00AC60D5" w:rsidP="00AC60D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A4C8F">
        <w:rPr>
          <w:noProof/>
        </w:rPr>
        <w:t>2</w:t>
      </w:r>
      <w:r>
        <w:fldChar w:fldCharType="end"/>
      </w:r>
      <w:r>
        <w:t xml:space="preserve"> - Present worth of capital cost</w:t>
      </w:r>
    </w:p>
    <w:p w14:paraId="411E0B15" w14:textId="5E54D189" w:rsidR="00AC60D5" w:rsidRDefault="00156520" w:rsidP="00AC60D5">
      <w:pPr>
        <w:jc w:val="center"/>
      </w:pPr>
      <w:r w:rsidRPr="00156520">
        <w:drawing>
          <wp:inline distT="0" distB="0" distL="0" distR="0" wp14:anchorId="1364377A" wp14:editId="2872370B">
            <wp:extent cx="5486400" cy="6851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F71C" w14:textId="0A8D2D2E" w:rsidR="00574C2D" w:rsidRDefault="00171A87" w:rsidP="002D1565">
      <w:pPr>
        <w:spacing w:line="480" w:lineRule="auto"/>
      </w:pPr>
      <w:r>
        <w:tab/>
        <w:t>The present worth for all annuities associated with each generation option are calculated as follows.</w:t>
      </w:r>
      <w:r w:rsidR="00E62A19">
        <w:t xml:space="preserve">  </w:t>
      </w:r>
      <w:r w:rsidR="00520214">
        <w:fldChar w:fldCharType="begin"/>
      </w:r>
      <w:r w:rsidR="00520214">
        <w:instrText xml:space="preserve"> REF _Ref511226316 \h </w:instrText>
      </w:r>
      <w:r w:rsidR="002D1565">
        <w:instrText xml:space="preserve"> \* MERGEFORMAT </w:instrText>
      </w:r>
      <w:r w:rsidR="00520214">
        <w:fldChar w:fldCharType="separate"/>
      </w:r>
      <w:r w:rsidR="00520214">
        <w:t xml:space="preserve">Table </w:t>
      </w:r>
      <w:r w:rsidR="00520214">
        <w:rPr>
          <w:noProof/>
        </w:rPr>
        <w:t>3</w:t>
      </w:r>
      <w:r w:rsidR="00520214">
        <w:fldChar w:fldCharType="end"/>
      </w:r>
      <w:r w:rsidR="00520214">
        <w:t xml:space="preserve"> shows the present worth of all annuities over a 20 year period for each option.  Appendix A shows the Excel calculations used to generate these </w:t>
      </w:r>
      <w:r w:rsidR="00A30C60">
        <w:t>values</w:t>
      </w:r>
      <w:r w:rsidR="00520214">
        <w:t>.</w:t>
      </w:r>
    </w:p>
    <w:p w14:paraId="181C1EEB" w14:textId="71F5ED32" w:rsidR="003932E7" w:rsidRDefault="00850ED4" w:rsidP="000A0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Present Worth</m:t>
              </m:r>
            </m:e>
            <m:sub>
              <m:r>
                <w:rPr>
                  <w:rFonts w:ascii="Cambria Math" w:hAnsi="Cambria Math"/>
                </w:rPr>
                <m:t>Annuities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Income-Expenses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1-tax rate</m:t>
              </m:r>
            </m:e>
          </m:d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MARR</m:t>
              </m:r>
            </m:e>
            <m:sub>
              <m:r>
                <w:rPr>
                  <w:rFonts w:ascii="Cambria Math" w:hAnsi="Cambria Math"/>
                </w:rPr>
                <m:t>after-tax</m:t>
              </m:r>
            </m:sub>
          </m:sSub>
          <m:r>
            <w:rPr>
              <w:rFonts w:ascii="Cambria Math" w:hAnsi="Cambria Math"/>
            </w:rPr>
            <m:t>, 20)</m:t>
          </m:r>
        </m:oMath>
      </m:oMathPara>
    </w:p>
    <w:p w14:paraId="0CD22667" w14:textId="699BC8EB" w:rsidR="00520214" w:rsidRDefault="00520214" w:rsidP="00520214">
      <w:pPr>
        <w:pStyle w:val="Caption"/>
        <w:keepNext/>
        <w:jc w:val="center"/>
      </w:pPr>
      <w:bookmarkStart w:id="12" w:name="_Ref51122631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A4C8F">
        <w:rPr>
          <w:noProof/>
        </w:rPr>
        <w:t>3</w:t>
      </w:r>
      <w:r>
        <w:fldChar w:fldCharType="end"/>
      </w:r>
      <w:bookmarkEnd w:id="12"/>
      <w:r>
        <w:t xml:space="preserve"> - Present worth of annuities</w:t>
      </w:r>
    </w:p>
    <w:p w14:paraId="50FD5EEE" w14:textId="24E134C7" w:rsidR="000B4D93" w:rsidRDefault="000B4D93" w:rsidP="000B4D93">
      <w:pPr>
        <w:spacing w:line="480" w:lineRule="auto"/>
      </w:pPr>
      <w:r w:rsidRPr="000B4D93">
        <w:drawing>
          <wp:inline distT="0" distB="0" distL="0" distR="0" wp14:anchorId="7B99778B" wp14:editId="7C4B1C14">
            <wp:extent cx="5486400" cy="32189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1110" w14:textId="40ECA186" w:rsidR="00FA4C8F" w:rsidRDefault="00FA4C8F" w:rsidP="00AD6B9C">
      <w:pPr>
        <w:spacing w:line="480" w:lineRule="auto"/>
        <w:ind w:firstLine="720"/>
      </w:pPr>
      <w:r>
        <w:t xml:space="preserve">The total present worth for each option is sum of the present worth of the annuities and the present worth of the capital cost.  </w:t>
      </w:r>
      <w:r>
        <w:fldChar w:fldCharType="begin"/>
      </w:r>
      <w:r>
        <w:instrText xml:space="preserve"> REF _Ref511226578 \h </w:instrText>
      </w:r>
      <w:r w:rsidR="00AD6B9C">
        <w:instrText xml:space="preserve"> \* MERGEFORMAT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shows the total present worth </w:t>
      </w:r>
      <w:r w:rsidR="00246942">
        <w:t xml:space="preserve">after taxes </w:t>
      </w:r>
      <w:r>
        <w:t>for each option with no carbon tax implemented.</w:t>
      </w:r>
    </w:p>
    <w:p w14:paraId="34CC1D82" w14:textId="1FA3026A" w:rsidR="00FA4C8F" w:rsidRDefault="00FA4C8F" w:rsidP="00FA4C8F">
      <w:pPr>
        <w:pStyle w:val="Caption"/>
        <w:keepNext/>
        <w:jc w:val="center"/>
      </w:pPr>
      <w:bookmarkStart w:id="13" w:name="_Ref5112265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3"/>
      <w:r>
        <w:t xml:space="preserve"> - Total Present Worth</w:t>
      </w:r>
    </w:p>
    <w:p w14:paraId="4E6A3638" w14:textId="6BA4CBC4" w:rsidR="00907F6D" w:rsidRDefault="00907F6D" w:rsidP="00907F6D">
      <w:pPr>
        <w:spacing w:line="480" w:lineRule="auto"/>
      </w:pPr>
      <w:r w:rsidRPr="00907F6D">
        <w:drawing>
          <wp:inline distT="0" distB="0" distL="0" distR="0" wp14:anchorId="3019DE73" wp14:editId="14B8E04A">
            <wp:extent cx="5486400" cy="32189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8C21" w14:textId="0B9CEFD1" w:rsidR="00E22B83" w:rsidRDefault="00AE5943" w:rsidP="00E22B83">
      <w:pPr>
        <w:spacing w:line="480" w:lineRule="auto"/>
        <w:ind w:firstLine="720"/>
      </w:pPr>
      <w:r>
        <w:t>The diesel only option is considerably more cost-effective than the others without the inclusion of a carbon tax.</w:t>
      </w:r>
      <w:r w:rsidR="00E22B83">
        <w:t xml:space="preserve">  When applying a carbon tax the total present worth of each project decreases significantly.  As shown in </w:t>
      </w:r>
      <w:r w:rsidR="0062322C">
        <w:fldChar w:fldCharType="begin"/>
      </w:r>
      <w:r w:rsidR="0062322C">
        <w:instrText xml:space="preserve"> REF _Ref511311459 \h </w:instrText>
      </w:r>
      <w:r w:rsidR="0062322C">
        <w:fldChar w:fldCharType="separate"/>
      </w:r>
      <w:r w:rsidR="0062322C">
        <w:t xml:space="preserve">Figure </w:t>
      </w:r>
      <w:r w:rsidR="0062322C">
        <w:rPr>
          <w:noProof/>
        </w:rPr>
        <w:t>1</w:t>
      </w:r>
      <w:r w:rsidR="0062322C">
        <w:fldChar w:fldCharType="end"/>
      </w:r>
      <w:r w:rsidR="0062322C">
        <w:t xml:space="preserve"> </w:t>
      </w:r>
      <w:r w:rsidR="00E22B83">
        <w:t xml:space="preserve">a </w:t>
      </w:r>
      <w:r w:rsidR="002E41DC">
        <w:t>carbon tax price of $0.09</w:t>
      </w:r>
      <w:r w:rsidR="00E22B83">
        <w:t xml:space="preserve">/kg-CO2 is the point where the total present Solar + Wind + Diesel option </w:t>
      </w:r>
      <w:r w:rsidR="005531E9">
        <w:t>surpasses the</w:t>
      </w:r>
      <w:r w:rsidR="00E22B83">
        <w:t xml:space="preserve"> total present value of the Diesel only option.  </w:t>
      </w:r>
      <w:r w:rsidR="003A2F65">
        <w:t>Therefore</w:t>
      </w:r>
      <w:r w:rsidR="00E22B83">
        <w:t xml:space="preserve"> based on the present worth analysis a carbon </w:t>
      </w:r>
      <w:r w:rsidR="008C59F9">
        <w:t>tax of $0.09</w:t>
      </w:r>
      <w:r w:rsidR="00E22B83">
        <w:t xml:space="preserve">/kg-CO2 is </w:t>
      </w:r>
      <w:r w:rsidR="00C85EBF">
        <w:t xml:space="preserve">recommended </w:t>
      </w:r>
      <w:r w:rsidR="00E22B83">
        <w:t>to incent the adoption of renewables over diesel.</w:t>
      </w:r>
    </w:p>
    <w:p w14:paraId="129DA2D3" w14:textId="4D426793" w:rsidR="0062322C" w:rsidRDefault="00573912" w:rsidP="005759F8">
      <w:pPr>
        <w:keepNext/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5F25B0D5" wp14:editId="292B2A35">
            <wp:extent cx="5486400" cy="332576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65AD9" w14:textId="19B42B9D" w:rsidR="0062322C" w:rsidRDefault="0062322C" w:rsidP="0062322C">
      <w:pPr>
        <w:pStyle w:val="Caption"/>
        <w:jc w:val="center"/>
      </w:pPr>
      <w:bookmarkStart w:id="14" w:name="_Ref5113114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t xml:space="preserve"> - Present Value vs Carbon Tax Rate</w:t>
      </w:r>
    </w:p>
    <w:p w14:paraId="1C9D8402" w14:textId="18634FDA" w:rsidR="00DA48B1" w:rsidRDefault="003F2176" w:rsidP="00DA48B1">
      <w:pPr>
        <w:spacing w:line="480" w:lineRule="auto"/>
        <w:ind w:firstLine="720"/>
      </w:pPr>
      <w:r>
        <w:t xml:space="preserve">If we consider the same analysis conducted in the United Kingdom with a tax rate of 28% </w:t>
      </w:r>
      <w:r w:rsidR="00644FC1">
        <w:t xml:space="preserve">(after-tax MARR of 14.4%) </w:t>
      </w:r>
      <w:r>
        <w:t xml:space="preserve">and using straight-line depreciation to determine the tax savings on the capital investment we find that </w:t>
      </w:r>
      <w:r w:rsidR="00DA48B1">
        <w:t>a carb</w:t>
      </w:r>
      <w:r w:rsidR="00722599">
        <w:t>on tax rate of approxim</w:t>
      </w:r>
      <w:r w:rsidR="000B71E9">
        <w:t>ately $0.075</w:t>
      </w:r>
      <w:r w:rsidR="00DA48B1">
        <w:t xml:space="preserve">/kg-CO2 results in the present worth of the Solar + Wind project </w:t>
      </w:r>
      <w:r w:rsidR="007D3688">
        <w:t xml:space="preserve">surpassing that of the </w:t>
      </w:r>
      <w:r w:rsidR="00DA48B1">
        <w:t>Diesel only project (</w:t>
      </w:r>
      <w:r w:rsidR="00DA48B1">
        <w:fldChar w:fldCharType="begin"/>
      </w:r>
      <w:r w:rsidR="00DA48B1">
        <w:instrText xml:space="preserve"> REF _Ref511311411 \h </w:instrText>
      </w:r>
      <w:r w:rsidR="00DA48B1">
        <w:fldChar w:fldCharType="separate"/>
      </w:r>
      <w:r w:rsidR="00AF41A0">
        <w:t xml:space="preserve">Figure </w:t>
      </w:r>
      <w:r w:rsidR="00AF41A0">
        <w:rPr>
          <w:noProof/>
        </w:rPr>
        <w:t>2</w:t>
      </w:r>
      <w:r w:rsidR="00DA48B1">
        <w:fldChar w:fldCharType="end"/>
      </w:r>
      <w:r w:rsidR="00DA48B1">
        <w:t>).</w:t>
      </w:r>
      <w:r w:rsidR="003A2F65">
        <w:t xml:space="preserve">  </w:t>
      </w:r>
      <w:r w:rsidR="00BE3EEE">
        <w:t xml:space="preserve">Therefore based on the present worth analysis a carbon </w:t>
      </w:r>
      <w:r w:rsidR="009644A5">
        <w:t xml:space="preserve">tax of </w:t>
      </w:r>
      <w:r w:rsidR="000B71E9">
        <w:t>$0.075</w:t>
      </w:r>
      <w:r w:rsidR="00BE3EEE">
        <w:t>/kg-CO2 is required to incent the ado</w:t>
      </w:r>
      <w:r w:rsidR="007F0370">
        <w:t>ption of renewables over diesel in the UK.</w:t>
      </w:r>
    </w:p>
    <w:p w14:paraId="1471A6B9" w14:textId="56FBB160" w:rsidR="00DA48B1" w:rsidRDefault="00FC7CC9" w:rsidP="00FC7CC9">
      <w:pPr>
        <w:keepNext/>
        <w:spacing w:before="0" w:line="480" w:lineRule="auto"/>
      </w:pPr>
      <w:r>
        <w:rPr>
          <w:noProof/>
        </w:rPr>
        <w:lastRenderedPageBreak/>
        <w:drawing>
          <wp:inline distT="0" distB="0" distL="0" distR="0" wp14:anchorId="1362FB55" wp14:editId="6C7DD075">
            <wp:extent cx="5486400" cy="331359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A06FD" w14:textId="30B1AF8C" w:rsidR="00DA48B1" w:rsidRDefault="00DA48B1" w:rsidP="00DA48B1">
      <w:pPr>
        <w:pStyle w:val="Caption"/>
        <w:jc w:val="center"/>
      </w:pPr>
      <w:bookmarkStart w:id="15" w:name="_Ref511311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22C">
        <w:rPr>
          <w:noProof/>
        </w:rPr>
        <w:t>2</w:t>
      </w:r>
      <w:r>
        <w:fldChar w:fldCharType="end"/>
      </w:r>
      <w:bookmarkEnd w:id="15"/>
      <w:r>
        <w:t xml:space="preserve"> - Present Value versus Carbo</w:t>
      </w:r>
      <w:bookmarkStart w:id="16" w:name="_GoBack"/>
      <w:bookmarkEnd w:id="16"/>
      <w:r>
        <w:t>n Tax Rate</w:t>
      </w:r>
      <w:r w:rsidR="00935BBA">
        <w:t xml:space="preserve"> in the United Kingdom</w:t>
      </w:r>
    </w:p>
    <w:p w14:paraId="168BD3E4" w14:textId="01356C83" w:rsidR="00432AC5" w:rsidRDefault="00432AC5" w:rsidP="00432AC5">
      <w:pPr>
        <w:pStyle w:val="Heading3"/>
      </w:pPr>
      <w:bookmarkStart w:id="17" w:name="_Toc511311786"/>
      <w:r>
        <w:t>Incremental Internal Rate of Return Analysis</w:t>
      </w:r>
      <w:bookmarkEnd w:id="17"/>
    </w:p>
    <w:p w14:paraId="64B00DCA" w14:textId="75E94E40" w:rsidR="005A1A2A" w:rsidRDefault="005A1A2A" w:rsidP="00AC47DB">
      <w:pPr>
        <w:spacing w:line="480" w:lineRule="auto"/>
      </w:pPr>
      <w:r>
        <w:tab/>
        <w:t>Analysis begins by selecting the Diesel only project as it has th</w:t>
      </w:r>
      <w:r w:rsidR="00542A40">
        <w:t xml:space="preserve">e lowest initial capital cost.  Incremental cash flows are calculated for the Wind + Diesel project as it has the next lowest initial capital cost.  Internal rate of return for the incremental cash flow with no carbon tax is </w:t>
      </w:r>
      <w:r w:rsidR="00094239">
        <w:t xml:space="preserve">calculated </w:t>
      </w:r>
      <w:r w:rsidR="006E050C">
        <w:t>-</w:t>
      </w:r>
      <w:r w:rsidR="002A3D57">
        <w:t>31</w:t>
      </w:r>
      <w:r w:rsidR="006E050C">
        <w:t>%</w:t>
      </w:r>
      <w:r w:rsidR="00542A40">
        <w:t xml:space="preserve"> so the project should not be taken.</w:t>
      </w:r>
      <w:r w:rsidR="00094239">
        <w:t xml:space="preserve">  Appendix B shows the </w:t>
      </w:r>
      <w:r w:rsidR="00465853">
        <w:t xml:space="preserve">after-tax </w:t>
      </w:r>
      <w:r w:rsidR="00094239">
        <w:t>incremental cash flows</w:t>
      </w:r>
      <w:r w:rsidR="005A253D">
        <w:t xml:space="preserve"> and IRR calculation from Excel.  The incremental IRR equals </w:t>
      </w:r>
      <w:r w:rsidR="003C41F7">
        <w:t xml:space="preserve">after-tax </w:t>
      </w:r>
      <w:r w:rsidR="005A253D">
        <w:t>MA</w:t>
      </w:r>
      <w:r w:rsidR="00616AD1">
        <w:t>RR for a carbon tax rate of $79</w:t>
      </w:r>
      <w:r w:rsidR="002E6986">
        <w:t xml:space="preserve">/kg-CO2, therefore we would recommend this carbon tax rate to incentivize the adoption of renewables based on the incremental rate of return analysis.  </w:t>
      </w:r>
      <w:r w:rsidR="00204D31">
        <w:t xml:space="preserve">With this carbon tax applied, we select the Wind + Diesel option over the Diesel only option by incremental IRR and move on to calculating the incremental IRR for the Solar + Wind + Diesel project as it has the next lowest capital cost.  The incremental IRR for this project versus the Wind + Diesel project is 178.14% </w:t>
      </w:r>
      <w:r w:rsidR="00204D31">
        <w:lastRenderedPageBreak/>
        <w:t>(Appendix B), so this project is selected.</w:t>
      </w:r>
      <w:r w:rsidR="004A7D09">
        <w:t xml:space="preserve">  The incremental cash flows for the Solar + Diesel project versus the Solar + Wind + Diesel project are all negative so no valid IRR can be calculated and the project is rejected.  Therefore, based on the incremental rate of return method the Solar + Wind + Diesel project would be selected with a recommended carbon tax rate of $79/kg-CO2.</w:t>
      </w:r>
    </w:p>
    <w:p w14:paraId="278F9AC3" w14:textId="4F8BD88F" w:rsidR="005A1A2A" w:rsidRDefault="00345CA9" w:rsidP="00C8448E">
      <w:pPr>
        <w:spacing w:line="480" w:lineRule="auto"/>
        <w:ind w:firstLine="720"/>
      </w:pPr>
      <w:r>
        <w:t>If we consider the same analysis conducted in the United Kingdom with a tax rate of 28% (after-tax MARR of 14.4%) and using straight-line depreciation to determine the tax savings on the capital investment we find that a carb</w:t>
      </w:r>
      <w:r w:rsidR="00C8448E">
        <w:t>on tax rate of approximately $100</w:t>
      </w:r>
      <w:r>
        <w:t xml:space="preserve">/kg-CO2 results in </w:t>
      </w:r>
      <w:r w:rsidR="00C8448E">
        <w:t xml:space="preserve">an incremental IRR of 14.48% for the Diesel + Wind project when compared to the Diesel only project, thus the Diesel + Wind project should be selected over the Diesel only project.  </w:t>
      </w:r>
      <w:r w:rsidR="002C3729">
        <w:t xml:space="preserve">The incremental IRR for the Diesel + Wind + Solar project versus the Diesel + Wind project is 196% so it should be selected over the Diesel + Wind project.  The incremental cash flows for the Solar + Diesel project versus the Diesel + Wind + Solar project are all negative so no valid IRR can be calculated and the project is rejected.  Therefore, based on the incremental rate of return </w:t>
      </w:r>
      <w:r w:rsidR="002C3729">
        <w:t>method the Solar + Wind + Diesel project would be selected with a re</w:t>
      </w:r>
      <w:r w:rsidR="002C3729">
        <w:t>commended carbon tax rate of $100</w:t>
      </w:r>
      <w:r w:rsidR="002C3729">
        <w:t>/kg-CO</w:t>
      </w:r>
      <w:r w:rsidR="002C3729">
        <w:t>2 if this project was considered in the UK.</w:t>
      </w:r>
    </w:p>
    <w:p w14:paraId="42FFCEA0" w14:textId="1A1C65B0" w:rsidR="002F6025" w:rsidRDefault="002F6025" w:rsidP="002F6025">
      <w:pPr>
        <w:pStyle w:val="Heading3"/>
      </w:pPr>
      <w:bookmarkStart w:id="18" w:name="_Toc511311787"/>
      <w:r>
        <w:t>Equivalent Annual Cost Analysis</w:t>
      </w:r>
      <w:bookmarkEnd w:id="18"/>
    </w:p>
    <w:p w14:paraId="4E75DBF1" w14:textId="77777777" w:rsidR="002F6025" w:rsidRPr="002F6025" w:rsidRDefault="002F6025" w:rsidP="002F6025"/>
    <w:p w14:paraId="2B23F87F" w14:textId="186DE1E7" w:rsidR="007B2692" w:rsidRDefault="00726A89" w:rsidP="00086F3C">
      <w:pPr>
        <w:pStyle w:val="Heading3"/>
        <w:spacing w:line="480" w:lineRule="auto"/>
      </w:pPr>
      <w:bookmarkStart w:id="19" w:name="_Toc511311788"/>
      <w:r>
        <w:t>Factors Missing From Analysis</w:t>
      </w:r>
      <w:bookmarkEnd w:id="19"/>
    </w:p>
    <w:p w14:paraId="4A801AFB" w14:textId="49B1A7B8" w:rsidR="0092729C" w:rsidRDefault="00726A89" w:rsidP="00FE397D">
      <w:pPr>
        <w:spacing w:line="480" w:lineRule="auto"/>
        <w:ind w:firstLine="720"/>
      </w:pPr>
      <w:r>
        <w:t xml:space="preserve">This analysis does not consider any government incentives for renewable projects such as </w:t>
      </w:r>
      <w:r w:rsidR="001C6B23">
        <w:t>tax credits for renewable projects or discounted financing options which could help to reduce the cost of the proposed carbon tax.</w:t>
      </w:r>
      <w:r w:rsidR="00593FDE">
        <w:t xml:space="preserve">  This analysis only considers the </w:t>
      </w:r>
      <w:r w:rsidR="00593FDE">
        <w:lastRenderedPageBreak/>
        <w:t>maintenance and fuel costs for each plant type but does not account for any other operating costs which may impact the total cost of each plant.</w:t>
      </w:r>
      <w:r w:rsidR="004555BA">
        <w:t xml:space="preserve">  This analysis only considers carbon produced during the operation of each plant type</w:t>
      </w:r>
      <w:r w:rsidR="00DB23A7">
        <w:t xml:space="preserve"> and does not account for the carbon </w:t>
      </w:r>
      <w:r w:rsidR="00FE397D">
        <w:t>produced when manufacturing the plant.</w:t>
      </w:r>
    </w:p>
    <w:p w14:paraId="3F7C0EB1" w14:textId="77777777" w:rsidR="0092729C" w:rsidRDefault="0092729C">
      <w:r>
        <w:br w:type="page"/>
      </w:r>
    </w:p>
    <w:p w14:paraId="4C67EB10" w14:textId="7886B986" w:rsidR="00086F3C" w:rsidRDefault="0092729C" w:rsidP="0092729C">
      <w:pPr>
        <w:pStyle w:val="Heading1"/>
      </w:pPr>
      <w:bookmarkStart w:id="20" w:name="_Toc511311789"/>
      <w:r>
        <w:lastRenderedPageBreak/>
        <w:t xml:space="preserve">Appendix </w:t>
      </w:r>
      <w:proofErr w:type="gramStart"/>
      <w:r>
        <w:t>A</w:t>
      </w:r>
      <w:proofErr w:type="gramEnd"/>
      <w:r w:rsidR="00914FC1">
        <w:t xml:space="preserve"> – Present Worth Analysis </w:t>
      </w:r>
      <w:r w:rsidR="00887888">
        <w:t>Calculations</w:t>
      </w:r>
      <w:bookmarkEnd w:id="20"/>
    </w:p>
    <w:p w14:paraId="284E2957" w14:textId="77777777" w:rsidR="0092729C" w:rsidRDefault="0092729C" w:rsidP="0092729C">
      <w:pPr>
        <w:keepNext/>
        <w:jc w:val="center"/>
      </w:pPr>
      <w:r w:rsidRPr="0092729C">
        <w:rPr>
          <w:noProof/>
        </w:rPr>
        <w:drawing>
          <wp:inline distT="0" distB="0" distL="0" distR="0" wp14:anchorId="6287C040" wp14:editId="177D3C48">
            <wp:extent cx="5486400" cy="261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3E0C" w14:textId="2CA10376" w:rsidR="0092729C" w:rsidRPr="0092729C" w:rsidRDefault="0092729C" w:rsidP="0092729C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22C">
        <w:rPr>
          <w:noProof/>
        </w:rPr>
        <w:t>3</w:t>
      </w:r>
      <w:r>
        <w:fldChar w:fldCharType="end"/>
      </w:r>
      <w:r>
        <w:t xml:space="preserve"> - </w:t>
      </w:r>
      <w:r>
        <w:rPr>
          <w:noProof/>
        </w:rPr>
        <w:t>Present worth of annuities, Wind + Diesel Option</w:t>
      </w:r>
    </w:p>
    <w:p w14:paraId="6EAC19BF" w14:textId="77777777" w:rsidR="0092729C" w:rsidRDefault="0092729C" w:rsidP="0092729C">
      <w:pPr>
        <w:keepNext/>
        <w:jc w:val="center"/>
      </w:pPr>
      <w:r w:rsidRPr="0092729C">
        <w:rPr>
          <w:noProof/>
        </w:rPr>
        <w:drawing>
          <wp:inline distT="0" distB="0" distL="0" distR="0" wp14:anchorId="72842333" wp14:editId="5A2886AC">
            <wp:extent cx="5486400" cy="25896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9485" w14:textId="1B061C13" w:rsidR="0092729C" w:rsidRDefault="0092729C" w:rsidP="009272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22C">
        <w:rPr>
          <w:noProof/>
        </w:rPr>
        <w:t>4</w:t>
      </w:r>
      <w:r>
        <w:fldChar w:fldCharType="end"/>
      </w:r>
      <w:r>
        <w:t xml:space="preserve"> - </w:t>
      </w:r>
      <w:r w:rsidRPr="00654B87">
        <w:t xml:space="preserve">Present worth of annuities, </w:t>
      </w:r>
      <w:r>
        <w:t>Solar</w:t>
      </w:r>
      <w:r w:rsidRPr="00654B87">
        <w:t xml:space="preserve"> + Diesel Option</w:t>
      </w:r>
    </w:p>
    <w:p w14:paraId="5E3742F0" w14:textId="77777777" w:rsidR="00463183" w:rsidRPr="00463183" w:rsidRDefault="00463183" w:rsidP="00463183"/>
    <w:p w14:paraId="6B466380" w14:textId="77777777" w:rsidR="00463183" w:rsidRDefault="00463183" w:rsidP="00463183">
      <w:pPr>
        <w:keepNext/>
        <w:jc w:val="center"/>
      </w:pPr>
      <w:r w:rsidRPr="00463183">
        <w:rPr>
          <w:noProof/>
        </w:rPr>
        <w:lastRenderedPageBreak/>
        <w:drawing>
          <wp:inline distT="0" distB="0" distL="0" distR="0" wp14:anchorId="7E1C6AC2" wp14:editId="473E5A71">
            <wp:extent cx="5486400" cy="258966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83A1" w14:textId="2F388BB1" w:rsidR="00463183" w:rsidRDefault="00463183" w:rsidP="00DF06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22C">
        <w:rPr>
          <w:noProof/>
        </w:rPr>
        <w:t>5</w:t>
      </w:r>
      <w:r>
        <w:fldChar w:fldCharType="end"/>
      </w:r>
      <w:r>
        <w:t xml:space="preserve"> - </w:t>
      </w:r>
      <w:r w:rsidRPr="00654B87">
        <w:t xml:space="preserve">Present worth of annuities, </w:t>
      </w:r>
      <w:r>
        <w:t>Solar</w:t>
      </w:r>
      <w:r w:rsidRPr="00654B87">
        <w:t xml:space="preserve"> + </w:t>
      </w:r>
      <w:r>
        <w:t xml:space="preserve">Wind + </w:t>
      </w:r>
      <w:r w:rsidRPr="00654B87">
        <w:t>Diesel Option</w:t>
      </w:r>
    </w:p>
    <w:p w14:paraId="59916D37" w14:textId="77777777" w:rsidR="00DF0657" w:rsidRDefault="00DF0657" w:rsidP="00DF0657">
      <w:pPr>
        <w:keepNext/>
        <w:jc w:val="center"/>
      </w:pPr>
      <w:r w:rsidRPr="00DF0657">
        <w:rPr>
          <w:noProof/>
        </w:rPr>
        <w:drawing>
          <wp:inline distT="0" distB="0" distL="0" distR="0" wp14:anchorId="1D086D18" wp14:editId="519D63AC">
            <wp:extent cx="5486400" cy="258966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C261" w14:textId="00C984FC" w:rsidR="00DF0657" w:rsidRDefault="00DF0657" w:rsidP="00DF06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22C">
        <w:rPr>
          <w:noProof/>
        </w:rPr>
        <w:t>6</w:t>
      </w:r>
      <w:r>
        <w:fldChar w:fldCharType="end"/>
      </w:r>
      <w:r>
        <w:t xml:space="preserve"> - </w:t>
      </w:r>
      <w:r w:rsidRPr="00654B87">
        <w:t>Present worth of annuities, Diesel Option</w:t>
      </w:r>
    </w:p>
    <w:p w14:paraId="561D0221" w14:textId="77777777" w:rsidR="00A03CCF" w:rsidRDefault="00A03CC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12053A3" w14:textId="63653221" w:rsidR="00914FC1" w:rsidRDefault="00A03CCF" w:rsidP="00A03CCF">
      <w:pPr>
        <w:pStyle w:val="Heading1"/>
      </w:pPr>
      <w:bookmarkStart w:id="21" w:name="_Toc511311790"/>
      <w:r>
        <w:lastRenderedPageBreak/>
        <w:t>Appendix B – Incremental Internal Rate of Return Analysis Calculations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03CCF" w14:paraId="25CCB21C" w14:textId="77777777" w:rsidTr="00A03CCF">
        <w:tc>
          <w:tcPr>
            <w:tcW w:w="4315" w:type="dxa"/>
          </w:tcPr>
          <w:p w14:paraId="6DBE8925" w14:textId="277588BB" w:rsidR="00A03CCF" w:rsidRDefault="00D074FA" w:rsidP="00D074FA">
            <w:pPr>
              <w:keepNext/>
              <w:jc w:val="center"/>
            </w:pPr>
            <w:r w:rsidRPr="00D074FA">
              <w:drawing>
                <wp:inline distT="0" distB="0" distL="0" distR="0" wp14:anchorId="630B3A5C" wp14:editId="22549B41">
                  <wp:extent cx="1493705" cy="3200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70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88B5B" w14:textId="4921C533" w:rsidR="00A03CCF" w:rsidRDefault="00A03CCF" w:rsidP="00A03CC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2322C">
              <w:rPr>
                <w:noProof/>
              </w:rPr>
              <w:t>7</w:t>
            </w:r>
            <w:r>
              <w:fldChar w:fldCharType="end"/>
            </w:r>
            <w:r>
              <w:t xml:space="preserve"> - Incremental IRR for Wind + Diesel vs. Diesel, No Carbon Tax</w:t>
            </w:r>
          </w:p>
        </w:tc>
        <w:tc>
          <w:tcPr>
            <w:tcW w:w="4315" w:type="dxa"/>
          </w:tcPr>
          <w:p w14:paraId="3070F54D" w14:textId="7FA275DE" w:rsidR="00BC01AD" w:rsidRDefault="00C9686A" w:rsidP="00BC01AD">
            <w:pPr>
              <w:keepNext/>
              <w:jc w:val="center"/>
            </w:pPr>
            <w:r w:rsidRPr="00C9686A">
              <w:drawing>
                <wp:inline distT="0" distB="0" distL="0" distR="0" wp14:anchorId="1690BE70" wp14:editId="49E67AAC">
                  <wp:extent cx="1493705" cy="3200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70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6C7D2" w14:textId="4064AF7A" w:rsidR="00A03CCF" w:rsidRDefault="00BC01AD" w:rsidP="00BC01AD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2322C">
              <w:rPr>
                <w:noProof/>
              </w:rPr>
              <w:t>8</w:t>
            </w:r>
            <w:r>
              <w:fldChar w:fldCharType="end"/>
            </w:r>
            <w:r>
              <w:t xml:space="preserve"> - Incremental IRR for Wind + Diesel vs. Di</w:t>
            </w:r>
            <w:r w:rsidR="003431AB">
              <w:t>esel, Carbon Tax of $79</w:t>
            </w:r>
            <w:r>
              <w:t>/kg-CO2</w:t>
            </w:r>
          </w:p>
        </w:tc>
      </w:tr>
      <w:tr w:rsidR="003431AB" w14:paraId="2261B73A" w14:textId="77777777" w:rsidTr="00A03CCF">
        <w:tc>
          <w:tcPr>
            <w:tcW w:w="4315" w:type="dxa"/>
          </w:tcPr>
          <w:p w14:paraId="4F87B097" w14:textId="77777777" w:rsidR="003431AB" w:rsidRDefault="003431AB" w:rsidP="003431AB">
            <w:pPr>
              <w:keepNext/>
              <w:jc w:val="center"/>
            </w:pPr>
            <w:r w:rsidRPr="003431AB">
              <w:drawing>
                <wp:inline distT="0" distB="0" distL="0" distR="0" wp14:anchorId="00F94055" wp14:editId="2C6F976F">
                  <wp:extent cx="1493705" cy="3200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70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1CA49" w14:textId="61B3FFA6" w:rsidR="003431AB" w:rsidRPr="00D074FA" w:rsidRDefault="003431AB" w:rsidP="003431AB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2322C">
              <w:rPr>
                <w:noProof/>
              </w:rPr>
              <w:t>9</w:t>
            </w:r>
            <w:r>
              <w:fldChar w:fldCharType="end"/>
            </w:r>
            <w:r>
              <w:t xml:space="preserve"> - Incremental IRR for Wind + Solar + Diesel vs. Wind + Diesel, Carbon Tax of $79/kg-CO2</w:t>
            </w:r>
          </w:p>
        </w:tc>
        <w:tc>
          <w:tcPr>
            <w:tcW w:w="4315" w:type="dxa"/>
          </w:tcPr>
          <w:p w14:paraId="545A2C48" w14:textId="77777777" w:rsidR="003431AB" w:rsidRPr="00C9686A" w:rsidRDefault="003431AB" w:rsidP="00BC01AD">
            <w:pPr>
              <w:keepNext/>
              <w:jc w:val="center"/>
            </w:pPr>
          </w:p>
        </w:tc>
      </w:tr>
    </w:tbl>
    <w:p w14:paraId="3C40FE85" w14:textId="2D8409FA" w:rsidR="00A03CCF" w:rsidRDefault="00A03CCF" w:rsidP="00A03CCF"/>
    <w:p w14:paraId="3D7F9210" w14:textId="3096454F" w:rsidR="00BC01AD" w:rsidRPr="00A03CCF" w:rsidRDefault="00BC01AD" w:rsidP="00A03CCF"/>
    <w:p w14:paraId="3E2BC0FB" w14:textId="49803FF2" w:rsidR="00A03CCF" w:rsidRPr="00A03CCF" w:rsidRDefault="00A03CCF" w:rsidP="00A03CCF"/>
    <w:p w14:paraId="3BA61190" w14:textId="77777777" w:rsidR="00DF0657" w:rsidRDefault="00DF0657" w:rsidP="00DF0657">
      <w:pPr>
        <w:pStyle w:val="Caption"/>
      </w:pPr>
    </w:p>
    <w:p w14:paraId="75AE5F96" w14:textId="58B2AC86" w:rsidR="0092729C" w:rsidRPr="0092729C" w:rsidRDefault="0092729C" w:rsidP="0092729C">
      <w:pPr>
        <w:jc w:val="center"/>
      </w:pPr>
    </w:p>
    <w:p w14:paraId="6935A97E" w14:textId="590D16EF" w:rsidR="00086F3C" w:rsidRDefault="00086F3C">
      <w:r>
        <w:br w:type="page"/>
      </w:r>
    </w:p>
    <w:bookmarkStart w:id="22" w:name="_Toc511311791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</w:rPr>
        <w:id w:val="-414774341"/>
        <w:docPartObj>
          <w:docPartGallery w:val="Bibliographies"/>
          <w:docPartUnique/>
        </w:docPartObj>
      </w:sdtPr>
      <w:sdtEndPr/>
      <w:sdtContent>
        <w:p w14:paraId="1446002D" w14:textId="60189BF5" w:rsidR="0080561C" w:rsidRDefault="0080561C" w:rsidP="00086F3C">
          <w:pPr>
            <w:pStyle w:val="Heading1"/>
            <w:spacing w:line="240" w:lineRule="auto"/>
          </w:pPr>
          <w:r>
            <w:t>Bibliography</w:t>
          </w:r>
          <w:bookmarkEnd w:id="22"/>
        </w:p>
        <w:sdt>
          <w:sdtPr>
            <w:id w:val="111145805"/>
            <w:bibliography/>
          </w:sdtPr>
          <w:sdtEndPr/>
          <w:sdtContent>
            <w:p w14:paraId="0CCADBE7" w14:textId="77777777" w:rsidR="00DB23A7" w:rsidRDefault="0080561C" w:rsidP="00DB23A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B23A7">
                <w:rPr>
                  <w:noProof/>
                </w:rPr>
                <w:t xml:space="preserve">U.S. Energy Information Administration. (2018). </w:t>
              </w:r>
              <w:r w:rsidR="00DB23A7">
                <w:rPr>
                  <w:i/>
                  <w:iCs/>
                  <w:noProof/>
                </w:rPr>
                <w:t>Levelized Cost and Levelized Avoided Cost of New Generation Resources in the Annual Energy Outlook 2018.</w:t>
              </w:r>
              <w:r w:rsidR="00DB23A7">
                <w:rPr>
                  <w:noProof/>
                </w:rPr>
                <w:t xml:space="preserve"> U.S. Energy Information Administration.</w:t>
              </w:r>
            </w:p>
            <w:p w14:paraId="5C817126" w14:textId="6F0FAF47" w:rsidR="0080561C" w:rsidRDefault="0080561C" w:rsidP="00DB23A7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76F3A1" w14:textId="77777777" w:rsidR="0080561C" w:rsidRPr="000C3ABF" w:rsidRDefault="0080561C" w:rsidP="00086F3C">
      <w:pPr>
        <w:spacing w:line="240" w:lineRule="auto"/>
      </w:pPr>
    </w:p>
    <w:sectPr w:rsidR="0080561C" w:rsidRPr="000C3ABF">
      <w:headerReference w:type="default" r:id="rId22"/>
      <w:footerReference w:type="default" r:id="rId2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9ECDD" w14:textId="77777777" w:rsidR="00850ED4" w:rsidRDefault="00850ED4" w:rsidP="00C6554A">
      <w:pPr>
        <w:spacing w:before="0" w:after="0" w:line="240" w:lineRule="auto"/>
      </w:pPr>
      <w:r>
        <w:separator/>
      </w:r>
    </w:p>
  </w:endnote>
  <w:endnote w:type="continuationSeparator" w:id="0">
    <w:p w14:paraId="2C3CB0AD" w14:textId="77777777" w:rsidR="00850ED4" w:rsidRDefault="00850E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9E70" w14:textId="59F5F88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C7CC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BD0B" w14:textId="77777777" w:rsidR="00850ED4" w:rsidRDefault="00850ED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F31F673" w14:textId="77777777" w:rsidR="00850ED4" w:rsidRDefault="00850ED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BEAC6" w14:textId="01EAD58B" w:rsidR="00EA1C7C" w:rsidRDefault="00EA1C7C">
    <w:pPr>
      <w:pStyle w:val="Header"/>
    </w:pPr>
    <w:r>
      <w:t xml:space="preserve">ECON74000 Course Project </w:t>
    </w:r>
    <w:r>
      <w:ptab w:relativeTo="margin" w:alignment="center" w:leader="none"/>
    </w:r>
    <w:r>
      <w:ptab w:relativeTo="margin" w:alignment="right" w:leader="none"/>
    </w:r>
    <w:proofErr w:type="spellStart"/>
    <w:r>
      <w:t>Eelman</w:t>
    </w:r>
    <w:proofErr w:type="spellEnd"/>
    <w:r>
      <w:t xml:space="preserve">, </w:t>
    </w:r>
    <w:proofErr w:type="spellStart"/>
    <w:r>
      <w:t>Rashevskyi</w:t>
    </w:r>
    <w:proofErr w:type="spellEnd"/>
    <w:r>
      <w:t>, Abdallah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B91565"/>
    <w:multiLevelType w:val="hybridMultilevel"/>
    <w:tmpl w:val="C0062A9A"/>
    <w:lvl w:ilvl="0" w:tplc="4E5ED0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9"/>
    <w:rsid w:val="00014017"/>
    <w:rsid w:val="00033C68"/>
    <w:rsid w:val="000374C6"/>
    <w:rsid w:val="00040955"/>
    <w:rsid w:val="00051891"/>
    <w:rsid w:val="00086F3C"/>
    <w:rsid w:val="00094239"/>
    <w:rsid w:val="000A0FCD"/>
    <w:rsid w:val="000B4D93"/>
    <w:rsid w:val="000B5FB1"/>
    <w:rsid w:val="000B71E9"/>
    <w:rsid w:val="000C3ABF"/>
    <w:rsid w:val="000E6A19"/>
    <w:rsid w:val="000F0BF5"/>
    <w:rsid w:val="00100F13"/>
    <w:rsid w:val="00125BC7"/>
    <w:rsid w:val="00145949"/>
    <w:rsid w:val="00156520"/>
    <w:rsid w:val="00171A87"/>
    <w:rsid w:val="001C5EB7"/>
    <w:rsid w:val="001C6B23"/>
    <w:rsid w:val="001D57BF"/>
    <w:rsid w:val="00204911"/>
    <w:rsid w:val="00204D31"/>
    <w:rsid w:val="00246942"/>
    <w:rsid w:val="002554CD"/>
    <w:rsid w:val="00284769"/>
    <w:rsid w:val="0028579C"/>
    <w:rsid w:val="00293B83"/>
    <w:rsid w:val="002A2F5D"/>
    <w:rsid w:val="002A348E"/>
    <w:rsid w:val="002A3D57"/>
    <w:rsid w:val="002B3DE0"/>
    <w:rsid w:val="002B4294"/>
    <w:rsid w:val="002B704A"/>
    <w:rsid w:val="002C3729"/>
    <w:rsid w:val="002D1565"/>
    <w:rsid w:val="002E41DC"/>
    <w:rsid w:val="002E6986"/>
    <w:rsid w:val="002F16EE"/>
    <w:rsid w:val="002F6025"/>
    <w:rsid w:val="00327E89"/>
    <w:rsid w:val="00333D0D"/>
    <w:rsid w:val="003431AB"/>
    <w:rsid w:val="00345CA9"/>
    <w:rsid w:val="003539E6"/>
    <w:rsid w:val="003750F8"/>
    <w:rsid w:val="00385630"/>
    <w:rsid w:val="003932E7"/>
    <w:rsid w:val="00397E84"/>
    <w:rsid w:val="003A2F65"/>
    <w:rsid w:val="003A5C17"/>
    <w:rsid w:val="003B69D8"/>
    <w:rsid w:val="003C41F7"/>
    <w:rsid w:val="003E44E0"/>
    <w:rsid w:val="003F2176"/>
    <w:rsid w:val="00404585"/>
    <w:rsid w:val="004117CB"/>
    <w:rsid w:val="00432AC5"/>
    <w:rsid w:val="00446E1C"/>
    <w:rsid w:val="004555BA"/>
    <w:rsid w:val="00457218"/>
    <w:rsid w:val="00463183"/>
    <w:rsid w:val="00465853"/>
    <w:rsid w:val="004812E4"/>
    <w:rsid w:val="00485B67"/>
    <w:rsid w:val="004A1EA9"/>
    <w:rsid w:val="004A3FC4"/>
    <w:rsid w:val="004A7D09"/>
    <w:rsid w:val="004C049F"/>
    <w:rsid w:val="005000E2"/>
    <w:rsid w:val="00503D5A"/>
    <w:rsid w:val="00520214"/>
    <w:rsid w:val="0052549F"/>
    <w:rsid w:val="00542A40"/>
    <w:rsid w:val="005531E9"/>
    <w:rsid w:val="00573912"/>
    <w:rsid w:val="00574C2D"/>
    <w:rsid w:val="005759F8"/>
    <w:rsid w:val="00593FDE"/>
    <w:rsid w:val="005A1A2A"/>
    <w:rsid w:val="005A253D"/>
    <w:rsid w:val="005A6276"/>
    <w:rsid w:val="00616AD1"/>
    <w:rsid w:val="0062322C"/>
    <w:rsid w:val="00644FC1"/>
    <w:rsid w:val="006A3CE7"/>
    <w:rsid w:val="006C4D26"/>
    <w:rsid w:val="006E050C"/>
    <w:rsid w:val="00715E57"/>
    <w:rsid w:val="00717F8E"/>
    <w:rsid w:val="00722599"/>
    <w:rsid w:val="00726A89"/>
    <w:rsid w:val="00780A10"/>
    <w:rsid w:val="00785C36"/>
    <w:rsid w:val="007B2692"/>
    <w:rsid w:val="007B4E9B"/>
    <w:rsid w:val="007D3688"/>
    <w:rsid w:val="007F0370"/>
    <w:rsid w:val="0080561C"/>
    <w:rsid w:val="00816253"/>
    <w:rsid w:val="008228A7"/>
    <w:rsid w:val="00850ED4"/>
    <w:rsid w:val="008731F4"/>
    <w:rsid w:val="00887888"/>
    <w:rsid w:val="008C59F9"/>
    <w:rsid w:val="00907F6D"/>
    <w:rsid w:val="00914FC1"/>
    <w:rsid w:val="0092729C"/>
    <w:rsid w:val="00935BBA"/>
    <w:rsid w:val="009421BC"/>
    <w:rsid w:val="009644A5"/>
    <w:rsid w:val="009E07C0"/>
    <w:rsid w:val="009F3623"/>
    <w:rsid w:val="00A03CCF"/>
    <w:rsid w:val="00A30C60"/>
    <w:rsid w:val="00A47419"/>
    <w:rsid w:val="00AA1D3E"/>
    <w:rsid w:val="00AA4265"/>
    <w:rsid w:val="00AB25C5"/>
    <w:rsid w:val="00AC47DB"/>
    <w:rsid w:val="00AC60D5"/>
    <w:rsid w:val="00AD6B9C"/>
    <w:rsid w:val="00AE5943"/>
    <w:rsid w:val="00AF41A0"/>
    <w:rsid w:val="00AF4A1D"/>
    <w:rsid w:val="00B41EF9"/>
    <w:rsid w:val="00B507E5"/>
    <w:rsid w:val="00B56223"/>
    <w:rsid w:val="00B83C0D"/>
    <w:rsid w:val="00B86341"/>
    <w:rsid w:val="00BB0DC2"/>
    <w:rsid w:val="00BB2F97"/>
    <w:rsid w:val="00BC000B"/>
    <w:rsid w:val="00BC01AD"/>
    <w:rsid w:val="00BC41B7"/>
    <w:rsid w:val="00BE3EEE"/>
    <w:rsid w:val="00BF5B3B"/>
    <w:rsid w:val="00BF78F8"/>
    <w:rsid w:val="00C40726"/>
    <w:rsid w:val="00C502A8"/>
    <w:rsid w:val="00C6554A"/>
    <w:rsid w:val="00C8448E"/>
    <w:rsid w:val="00C85EBF"/>
    <w:rsid w:val="00C9686A"/>
    <w:rsid w:val="00CA3357"/>
    <w:rsid w:val="00CA3C11"/>
    <w:rsid w:val="00D074FA"/>
    <w:rsid w:val="00D27D02"/>
    <w:rsid w:val="00D510DE"/>
    <w:rsid w:val="00D61E01"/>
    <w:rsid w:val="00D66720"/>
    <w:rsid w:val="00DA2EEB"/>
    <w:rsid w:val="00DA48B1"/>
    <w:rsid w:val="00DB23A7"/>
    <w:rsid w:val="00DC1755"/>
    <w:rsid w:val="00DC1E6B"/>
    <w:rsid w:val="00DF0657"/>
    <w:rsid w:val="00DF3071"/>
    <w:rsid w:val="00E22B83"/>
    <w:rsid w:val="00E62A19"/>
    <w:rsid w:val="00E90AFB"/>
    <w:rsid w:val="00EA1C7C"/>
    <w:rsid w:val="00EC2C65"/>
    <w:rsid w:val="00ED0AB6"/>
    <w:rsid w:val="00ED2974"/>
    <w:rsid w:val="00ED7C44"/>
    <w:rsid w:val="00EF6989"/>
    <w:rsid w:val="00F57AD9"/>
    <w:rsid w:val="00F64DAF"/>
    <w:rsid w:val="00F73267"/>
    <w:rsid w:val="00F82252"/>
    <w:rsid w:val="00F94D08"/>
    <w:rsid w:val="00FA1438"/>
    <w:rsid w:val="00FA4C8F"/>
    <w:rsid w:val="00FC7CC9"/>
    <w:rsid w:val="00F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86A4"/>
  <w15:chartTrackingRefBased/>
  <w15:docId w15:val="{29EAD2B4-EB38-47A6-87F9-BD41DC07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41EF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1E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EF9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38563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03D5A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80561C"/>
  </w:style>
  <w:style w:type="table" w:styleId="TableGrid">
    <w:name w:val="Table Grid"/>
    <w:basedOn w:val="TableNormal"/>
    <w:uiPriority w:val="39"/>
    <w:rsid w:val="00F64D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bdallah151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USE18</b:Tag>
    <b:SourceType>Report</b:SourceType>
    <b:Guid>{5620B9D8-5A3C-4D00-A7A9-F6805E4489CE}</b:Guid>
    <b:Title>Levelized Cost and Levelized Avoided Cost of New Generation Resources in the Annual Energy Outlook 2018</b:Title>
    <b:Year>2018</b:Year>
    <b:Publisher>U.S. Energy Information Administration</b:Publisher>
    <b:Author>
      <b:Author>
        <b:Corporate>U.S. Energy Information Administration</b:Corporate>
      </b:Author>
    </b:Author>
    <b:RefOrder>1</b:RefOrder>
  </b:Source>
  <b:Source>
    <b:Tag>Pea17</b:Tag>
    <b:SourceType>Book</b:SourceType>
    <b:Guid>{42A2F1AF-D085-4445-A63D-B92E1CED7606}</b:Guid>
    <b:Title>Engineering Economics, Sixth Edition</b:Title>
    <b:Year>2017</b:Year>
    <b:Author>
      <b:Author>
        <b:Corporate>Pearson Canada, Inc.</b:Corporate>
      </b:Author>
    </b:Author>
    <b:Publisher>Pearson Canada, Inc.</b:Publisher>
    <b:RefOrder>2</b:RefOrder>
  </b:Source>
</b:Sources>
</file>

<file path=customXml/itemProps1.xml><?xml version="1.0" encoding="utf-8"?>
<ds:datastoreItem xmlns:ds="http://schemas.openxmlformats.org/officeDocument/2006/customXml" ds:itemID="{881260CC-90B0-496C-8281-05ADD5A8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1458</TotalTime>
  <Pages>15</Pages>
  <Words>1700</Words>
  <Characters>9303</Characters>
  <Application>Microsoft Office Word</Application>
  <DocSecurity>0</DocSecurity>
  <Lines>258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Thomas Abdallah</cp:lastModifiedBy>
  <cp:revision>165</cp:revision>
  <dcterms:created xsi:type="dcterms:W3CDTF">2018-04-11T18:32:00Z</dcterms:created>
  <dcterms:modified xsi:type="dcterms:W3CDTF">2018-04-13T16:10:00Z</dcterms:modified>
</cp:coreProperties>
</file>