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CC5972" w14:textId="77777777" w:rsidR="00C6554A" w:rsidRPr="008B5277" w:rsidRDefault="00B41EF9" w:rsidP="00C6554A">
      <w:pPr>
        <w:pStyle w:val="Photo"/>
      </w:pPr>
      <w:bookmarkStart w:id="0" w:name="_Toc321147149"/>
      <w:bookmarkStart w:id="1" w:name="_Toc318188227"/>
      <w:bookmarkStart w:id="2" w:name="_Toc318188327"/>
      <w:bookmarkStart w:id="3" w:name="_Toc318189312"/>
      <w:bookmarkStart w:id="4" w:name="_Toc321147011"/>
      <w:r>
        <w:rPr>
          <w:noProof/>
        </w:rPr>
        <w:drawing>
          <wp:inline distT="0" distB="0" distL="0" distR="0" wp14:anchorId="0EF16ECD" wp14:editId="5F346A7D">
            <wp:extent cx="5486400" cy="2742910"/>
            <wp:effectExtent l="0" t="0" r="0" b="635"/>
            <wp:docPr id="1" name="Picture 1" descr="Image result for emis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missi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742910"/>
                    </a:xfrm>
                    <a:prstGeom prst="rect">
                      <a:avLst/>
                    </a:prstGeom>
                    <a:noFill/>
                    <a:ln>
                      <a:noFill/>
                    </a:ln>
                  </pic:spPr>
                </pic:pic>
              </a:graphicData>
            </a:graphic>
          </wp:inline>
        </w:drawing>
      </w:r>
    </w:p>
    <w:bookmarkEnd w:id="0"/>
    <w:bookmarkEnd w:id="1"/>
    <w:bookmarkEnd w:id="2"/>
    <w:bookmarkEnd w:id="3"/>
    <w:bookmarkEnd w:id="4"/>
    <w:p w14:paraId="419044ED" w14:textId="77777777" w:rsidR="00C6554A" w:rsidRPr="00B41EF9" w:rsidRDefault="00B41EF9" w:rsidP="00C6554A">
      <w:pPr>
        <w:pStyle w:val="Title"/>
        <w:rPr>
          <w:sz w:val="50"/>
          <w:szCs w:val="50"/>
        </w:rPr>
      </w:pPr>
      <w:r w:rsidRPr="00B41EF9">
        <w:rPr>
          <w:sz w:val="50"/>
          <w:szCs w:val="50"/>
        </w:rPr>
        <w:t>Engineering Economics Course Project</w:t>
      </w:r>
    </w:p>
    <w:p w14:paraId="56B1221F" w14:textId="77777777" w:rsidR="00C6554A" w:rsidRPr="00D5413C" w:rsidRDefault="00B41EF9" w:rsidP="00C6554A">
      <w:pPr>
        <w:pStyle w:val="Subtitle"/>
      </w:pPr>
      <w:r>
        <w:t>Carbon Taxes to minimize cO2 emissions in a micro-grid</w:t>
      </w:r>
    </w:p>
    <w:p w14:paraId="6476D9EC" w14:textId="77777777" w:rsidR="00C6554A" w:rsidRDefault="00B41EF9" w:rsidP="00C6554A">
      <w:pPr>
        <w:pStyle w:val="ContactInfo"/>
      </w:pPr>
      <w:r>
        <w:t>Prepared for ECON74000, Winter 2018</w:t>
      </w:r>
    </w:p>
    <w:p w14:paraId="3E932AB2" w14:textId="77777777" w:rsidR="00B41EF9" w:rsidRDefault="00B41EF9" w:rsidP="00C6554A">
      <w:pPr>
        <w:pStyle w:val="ContactInfo"/>
      </w:pPr>
      <w:r>
        <w:t>David Eelman (</w:t>
      </w:r>
      <w:r w:rsidRPr="00B41EF9">
        <w:t>6365316</w:t>
      </w:r>
      <w:r>
        <w:t>)</w:t>
      </w:r>
    </w:p>
    <w:p w14:paraId="2ED9C116" w14:textId="77777777" w:rsidR="00B41EF9" w:rsidRDefault="00B41EF9" w:rsidP="00C6554A">
      <w:pPr>
        <w:pStyle w:val="ContactInfo"/>
      </w:pPr>
      <w:r>
        <w:t>Stanislav Rashevskyi (</w:t>
      </w:r>
      <w:r w:rsidRPr="00B41EF9">
        <w:t>7028178</w:t>
      </w:r>
      <w:r>
        <w:t>)</w:t>
      </w:r>
    </w:p>
    <w:p w14:paraId="72D13B56" w14:textId="77777777" w:rsidR="00B41EF9" w:rsidRDefault="00B41EF9" w:rsidP="00B41EF9">
      <w:pPr>
        <w:pStyle w:val="ContactInfo"/>
      </w:pPr>
      <w:r>
        <w:t>Thomas Abdallah (7141518)</w:t>
      </w:r>
    </w:p>
    <w:p w14:paraId="5FDE43FB" w14:textId="77777777" w:rsidR="00B41EF9" w:rsidRDefault="00B41EF9">
      <w:r>
        <w:br w:type="page"/>
      </w:r>
    </w:p>
    <w:sdt>
      <w:sdtPr>
        <w:id w:val="881288728"/>
        <w:docPartObj>
          <w:docPartGallery w:val="Table of Contents"/>
          <w:docPartUnique/>
        </w:docPartObj>
      </w:sdtPr>
      <w:sdtEndPr>
        <w:rPr>
          <w:rFonts w:asciiTheme="minorHAnsi" w:eastAsiaTheme="minorHAnsi" w:hAnsiTheme="minorHAnsi" w:cstheme="minorBidi"/>
          <w:b/>
          <w:bCs/>
          <w:noProof/>
          <w:color w:val="595959" w:themeColor="text1" w:themeTint="A6"/>
          <w:sz w:val="22"/>
          <w:szCs w:val="22"/>
        </w:rPr>
      </w:sdtEndPr>
      <w:sdtContent>
        <w:p w14:paraId="6CE2EA31" w14:textId="77777777" w:rsidR="00B41EF9" w:rsidRDefault="00B41EF9">
          <w:pPr>
            <w:pStyle w:val="TOCHeading"/>
          </w:pPr>
          <w:r>
            <w:t>Contents</w:t>
          </w:r>
        </w:p>
        <w:p w14:paraId="25E7257C" w14:textId="37C91BF6" w:rsidR="00397E84" w:rsidRDefault="00B41EF9">
          <w:pPr>
            <w:pStyle w:val="TOC1"/>
            <w:tabs>
              <w:tab w:val="right" w:leader="dot" w:pos="8630"/>
            </w:tabs>
            <w:rPr>
              <w:rFonts w:eastAsiaTheme="minorEastAsia"/>
              <w:noProof/>
              <w:color w:val="auto"/>
            </w:rPr>
          </w:pPr>
          <w:r>
            <w:fldChar w:fldCharType="begin"/>
          </w:r>
          <w:r>
            <w:instrText xml:space="preserve"> TOC \o "1-3" \h \z \u </w:instrText>
          </w:r>
          <w:r>
            <w:fldChar w:fldCharType="separate"/>
          </w:r>
          <w:hyperlink w:anchor="_Toc511222334" w:history="1">
            <w:r w:rsidR="00397E84" w:rsidRPr="00F94899">
              <w:rPr>
                <w:rStyle w:val="Hyperlink"/>
                <w:noProof/>
              </w:rPr>
              <w:t>Introduction</w:t>
            </w:r>
            <w:r w:rsidR="00397E84">
              <w:rPr>
                <w:noProof/>
                <w:webHidden/>
              </w:rPr>
              <w:tab/>
            </w:r>
            <w:r w:rsidR="00397E84">
              <w:rPr>
                <w:noProof/>
                <w:webHidden/>
              </w:rPr>
              <w:fldChar w:fldCharType="begin"/>
            </w:r>
            <w:r w:rsidR="00397E84">
              <w:rPr>
                <w:noProof/>
                <w:webHidden/>
              </w:rPr>
              <w:instrText xml:space="preserve"> PAGEREF _Toc511222334 \h </w:instrText>
            </w:r>
            <w:r w:rsidR="00397E84">
              <w:rPr>
                <w:noProof/>
                <w:webHidden/>
              </w:rPr>
            </w:r>
            <w:r w:rsidR="00397E84">
              <w:rPr>
                <w:noProof/>
                <w:webHidden/>
              </w:rPr>
              <w:fldChar w:fldCharType="separate"/>
            </w:r>
            <w:r w:rsidR="00397E84">
              <w:rPr>
                <w:noProof/>
                <w:webHidden/>
              </w:rPr>
              <w:t>2</w:t>
            </w:r>
            <w:r w:rsidR="00397E84">
              <w:rPr>
                <w:noProof/>
                <w:webHidden/>
              </w:rPr>
              <w:fldChar w:fldCharType="end"/>
            </w:r>
          </w:hyperlink>
        </w:p>
        <w:p w14:paraId="2F95C942" w14:textId="596B0530" w:rsidR="00397E84" w:rsidRDefault="00397E84">
          <w:pPr>
            <w:pStyle w:val="TOC1"/>
            <w:tabs>
              <w:tab w:val="right" w:leader="dot" w:pos="8630"/>
            </w:tabs>
            <w:rPr>
              <w:rFonts w:eastAsiaTheme="minorEastAsia"/>
              <w:noProof/>
              <w:color w:val="auto"/>
            </w:rPr>
          </w:pPr>
          <w:hyperlink w:anchor="_Toc511222335" w:history="1">
            <w:r w:rsidRPr="00F94899">
              <w:rPr>
                <w:rStyle w:val="Hyperlink"/>
                <w:noProof/>
              </w:rPr>
              <w:t>Problem Statement</w:t>
            </w:r>
            <w:r>
              <w:rPr>
                <w:noProof/>
                <w:webHidden/>
              </w:rPr>
              <w:tab/>
            </w:r>
            <w:r>
              <w:rPr>
                <w:noProof/>
                <w:webHidden/>
              </w:rPr>
              <w:fldChar w:fldCharType="begin"/>
            </w:r>
            <w:r>
              <w:rPr>
                <w:noProof/>
                <w:webHidden/>
              </w:rPr>
              <w:instrText xml:space="preserve"> PAGEREF _Toc511222335 \h </w:instrText>
            </w:r>
            <w:r>
              <w:rPr>
                <w:noProof/>
                <w:webHidden/>
              </w:rPr>
            </w:r>
            <w:r>
              <w:rPr>
                <w:noProof/>
                <w:webHidden/>
              </w:rPr>
              <w:fldChar w:fldCharType="separate"/>
            </w:r>
            <w:r>
              <w:rPr>
                <w:noProof/>
                <w:webHidden/>
              </w:rPr>
              <w:t>2</w:t>
            </w:r>
            <w:r>
              <w:rPr>
                <w:noProof/>
                <w:webHidden/>
              </w:rPr>
              <w:fldChar w:fldCharType="end"/>
            </w:r>
          </w:hyperlink>
        </w:p>
        <w:p w14:paraId="2056C032" w14:textId="40B4611B" w:rsidR="00397E84" w:rsidRDefault="00397E84">
          <w:pPr>
            <w:pStyle w:val="TOC3"/>
            <w:tabs>
              <w:tab w:val="right" w:leader="dot" w:pos="8630"/>
            </w:tabs>
            <w:rPr>
              <w:rFonts w:eastAsiaTheme="minorEastAsia"/>
              <w:noProof/>
              <w:color w:val="auto"/>
            </w:rPr>
          </w:pPr>
          <w:hyperlink w:anchor="_Toc511222336" w:history="1">
            <w:r w:rsidRPr="00F94899">
              <w:rPr>
                <w:rStyle w:val="Hyperlink"/>
                <w:noProof/>
              </w:rPr>
              <w:t>Assumptions</w:t>
            </w:r>
            <w:r>
              <w:rPr>
                <w:noProof/>
                <w:webHidden/>
              </w:rPr>
              <w:tab/>
            </w:r>
            <w:r>
              <w:rPr>
                <w:noProof/>
                <w:webHidden/>
              </w:rPr>
              <w:fldChar w:fldCharType="begin"/>
            </w:r>
            <w:r>
              <w:rPr>
                <w:noProof/>
                <w:webHidden/>
              </w:rPr>
              <w:instrText xml:space="preserve"> PAGEREF _Toc511222336 \h </w:instrText>
            </w:r>
            <w:r>
              <w:rPr>
                <w:noProof/>
                <w:webHidden/>
              </w:rPr>
            </w:r>
            <w:r>
              <w:rPr>
                <w:noProof/>
                <w:webHidden/>
              </w:rPr>
              <w:fldChar w:fldCharType="separate"/>
            </w:r>
            <w:r>
              <w:rPr>
                <w:noProof/>
                <w:webHidden/>
              </w:rPr>
              <w:t>2</w:t>
            </w:r>
            <w:r>
              <w:rPr>
                <w:noProof/>
                <w:webHidden/>
              </w:rPr>
              <w:fldChar w:fldCharType="end"/>
            </w:r>
          </w:hyperlink>
        </w:p>
        <w:p w14:paraId="3B180220" w14:textId="443B2579" w:rsidR="00397E84" w:rsidRDefault="00397E84">
          <w:pPr>
            <w:pStyle w:val="TOC1"/>
            <w:tabs>
              <w:tab w:val="right" w:leader="dot" w:pos="8630"/>
            </w:tabs>
            <w:rPr>
              <w:rFonts w:eastAsiaTheme="minorEastAsia"/>
              <w:noProof/>
              <w:color w:val="auto"/>
            </w:rPr>
          </w:pPr>
          <w:hyperlink w:anchor="_Toc511222337" w:history="1">
            <w:r w:rsidRPr="00F94899">
              <w:rPr>
                <w:rStyle w:val="Hyperlink"/>
                <w:noProof/>
              </w:rPr>
              <w:t>Economic Analysis</w:t>
            </w:r>
            <w:r>
              <w:rPr>
                <w:noProof/>
                <w:webHidden/>
              </w:rPr>
              <w:tab/>
            </w:r>
            <w:r>
              <w:rPr>
                <w:noProof/>
                <w:webHidden/>
              </w:rPr>
              <w:fldChar w:fldCharType="begin"/>
            </w:r>
            <w:r>
              <w:rPr>
                <w:noProof/>
                <w:webHidden/>
              </w:rPr>
              <w:instrText xml:space="preserve"> PAGEREF _Toc511222337 \h </w:instrText>
            </w:r>
            <w:r>
              <w:rPr>
                <w:noProof/>
                <w:webHidden/>
              </w:rPr>
            </w:r>
            <w:r>
              <w:rPr>
                <w:noProof/>
                <w:webHidden/>
              </w:rPr>
              <w:fldChar w:fldCharType="separate"/>
            </w:r>
            <w:r>
              <w:rPr>
                <w:noProof/>
                <w:webHidden/>
              </w:rPr>
              <w:t>3</w:t>
            </w:r>
            <w:r>
              <w:rPr>
                <w:noProof/>
                <w:webHidden/>
              </w:rPr>
              <w:fldChar w:fldCharType="end"/>
            </w:r>
          </w:hyperlink>
        </w:p>
        <w:p w14:paraId="231655CD" w14:textId="40256E67" w:rsidR="00397E84" w:rsidRDefault="00397E84">
          <w:pPr>
            <w:pStyle w:val="TOC3"/>
            <w:tabs>
              <w:tab w:val="right" w:leader="dot" w:pos="8630"/>
            </w:tabs>
            <w:rPr>
              <w:rFonts w:eastAsiaTheme="minorEastAsia"/>
              <w:noProof/>
              <w:color w:val="auto"/>
            </w:rPr>
          </w:pPr>
          <w:hyperlink w:anchor="_Toc511222338" w:history="1">
            <w:r w:rsidRPr="00F94899">
              <w:rPr>
                <w:rStyle w:val="Hyperlink"/>
                <w:noProof/>
              </w:rPr>
              <w:t>Levelized Cost of Energy (LCOE)</w:t>
            </w:r>
            <w:r>
              <w:rPr>
                <w:noProof/>
                <w:webHidden/>
              </w:rPr>
              <w:tab/>
            </w:r>
            <w:r>
              <w:rPr>
                <w:noProof/>
                <w:webHidden/>
              </w:rPr>
              <w:fldChar w:fldCharType="begin"/>
            </w:r>
            <w:r>
              <w:rPr>
                <w:noProof/>
                <w:webHidden/>
              </w:rPr>
              <w:instrText xml:space="preserve"> PAGEREF _Toc511222338 \h </w:instrText>
            </w:r>
            <w:r>
              <w:rPr>
                <w:noProof/>
                <w:webHidden/>
              </w:rPr>
            </w:r>
            <w:r>
              <w:rPr>
                <w:noProof/>
                <w:webHidden/>
              </w:rPr>
              <w:fldChar w:fldCharType="separate"/>
            </w:r>
            <w:r>
              <w:rPr>
                <w:noProof/>
                <w:webHidden/>
              </w:rPr>
              <w:t>3</w:t>
            </w:r>
            <w:r>
              <w:rPr>
                <w:noProof/>
                <w:webHidden/>
              </w:rPr>
              <w:fldChar w:fldCharType="end"/>
            </w:r>
          </w:hyperlink>
        </w:p>
        <w:p w14:paraId="2AE65A96" w14:textId="2CFED1DB" w:rsidR="00397E84" w:rsidRDefault="00397E84">
          <w:pPr>
            <w:pStyle w:val="TOC1"/>
            <w:tabs>
              <w:tab w:val="right" w:leader="dot" w:pos="8630"/>
            </w:tabs>
            <w:rPr>
              <w:rFonts w:eastAsiaTheme="minorEastAsia"/>
              <w:noProof/>
              <w:color w:val="auto"/>
            </w:rPr>
          </w:pPr>
          <w:hyperlink w:anchor="_Toc511222339" w:history="1">
            <w:r w:rsidRPr="00F94899">
              <w:rPr>
                <w:rStyle w:val="Hyperlink"/>
                <w:noProof/>
              </w:rPr>
              <w:t>Bibliography</w:t>
            </w:r>
            <w:r>
              <w:rPr>
                <w:noProof/>
                <w:webHidden/>
              </w:rPr>
              <w:tab/>
            </w:r>
            <w:r>
              <w:rPr>
                <w:noProof/>
                <w:webHidden/>
              </w:rPr>
              <w:fldChar w:fldCharType="begin"/>
            </w:r>
            <w:r>
              <w:rPr>
                <w:noProof/>
                <w:webHidden/>
              </w:rPr>
              <w:instrText xml:space="preserve"> PAGEREF _Toc511222339 \h </w:instrText>
            </w:r>
            <w:r>
              <w:rPr>
                <w:noProof/>
                <w:webHidden/>
              </w:rPr>
            </w:r>
            <w:r>
              <w:rPr>
                <w:noProof/>
                <w:webHidden/>
              </w:rPr>
              <w:fldChar w:fldCharType="separate"/>
            </w:r>
            <w:r>
              <w:rPr>
                <w:noProof/>
                <w:webHidden/>
              </w:rPr>
              <w:t>4</w:t>
            </w:r>
            <w:r>
              <w:rPr>
                <w:noProof/>
                <w:webHidden/>
              </w:rPr>
              <w:fldChar w:fldCharType="end"/>
            </w:r>
          </w:hyperlink>
        </w:p>
        <w:p w14:paraId="169D7DB4" w14:textId="4E9E31BE" w:rsidR="00B41EF9" w:rsidRDefault="00B41EF9">
          <w:r>
            <w:rPr>
              <w:b/>
              <w:bCs/>
              <w:noProof/>
            </w:rPr>
            <w:fldChar w:fldCharType="end"/>
          </w:r>
        </w:p>
      </w:sdtContent>
    </w:sdt>
    <w:p w14:paraId="32EC121F" w14:textId="77777777" w:rsidR="00B41EF9" w:rsidRDefault="00B41EF9">
      <w:r>
        <w:br w:type="page"/>
      </w:r>
    </w:p>
    <w:p w14:paraId="257FFDCA" w14:textId="77777777" w:rsidR="00C6554A" w:rsidRDefault="00B41EF9" w:rsidP="00A47419">
      <w:pPr>
        <w:pStyle w:val="Heading1"/>
        <w:spacing w:line="480" w:lineRule="auto"/>
      </w:pPr>
      <w:bookmarkStart w:id="5" w:name="_Toc511222334"/>
      <w:r>
        <w:t>Introduction</w:t>
      </w:r>
      <w:bookmarkEnd w:id="5"/>
    </w:p>
    <w:p w14:paraId="330EF0D2" w14:textId="195DAB05" w:rsidR="00404585" w:rsidRDefault="008731F4" w:rsidP="00404585">
      <w:pPr>
        <w:spacing w:line="480" w:lineRule="auto"/>
        <w:ind w:firstLine="720"/>
      </w:pPr>
      <w:r>
        <w:t xml:space="preserve">This report will identify the best </w:t>
      </w:r>
      <w:r w:rsidR="000F0BF5">
        <w:t xml:space="preserve">energy production </w:t>
      </w:r>
      <w:r>
        <w:t xml:space="preserve">option and carbon tax price to incent the adoption of renewable energy sources and minimize the use of diesel fuel generation in a micro-grid application for a remote Northern Ontario community.  The analysis will consider four </w:t>
      </w:r>
      <w:r w:rsidR="000F0BF5">
        <w:t xml:space="preserve">energy production options </w:t>
      </w:r>
      <w:r w:rsidR="00125BC7">
        <w:t>(</w:t>
      </w:r>
      <w:r w:rsidR="00125BC7">
        <w:fldChar w:fldCharType="begin"/>
      </w:r>
      <w:r w:rsidR="00125BC7">
        <w:instrText xml:space="preserve"> REF _Ref511223791 \h </w:instrText>
      </w:r>
      <w:r w:rsidR="00125BC7">
        <w:fldChar w:fldCharType="separate"/>
      </w:r>
      <w:r w:rsidR="00125BC7">
        <w:t xml:space="preserve">Table </w:t>
      </w:r>
      <w:r w:rsidR="00125BC7">
        <w:rPr>
          <w:noProof/>
        </w:rPr>
        <w:t>1</w:t>
      </w:r>
      <w:r w:rsidR="00125BC7">
        <w:fldChar w:fldCharType="end"/>
      </w:r>
      <w:r w:rsidR="00125BC7">
        <w:t xml:space="preserve">) </w:t>
      </w:r>
      <w:r w:rsidR="000F0BF5">
        <w:t>that could be purchased today in order to become operational in 2019.  These options include a mix of wind, solar, and diesel energy production.</w:t>
      </w:r>
      <w:r w:rsidR="008228A7">
        <w:t xml:space="preserve">  The analysis for this project will consider the present worth, the incremental internal rate of return, and the equivalent annual cost for each energy production option.  A dollar value for the CO2 tax will be proposed that shall minimize diesel fuel generation and increase the feasibility of the options that include renewable energy sources.  </w:t>
      </w:r>
      <w:r w:rsidR="00033C68">
        <w:t>The same analysis will be performed using the tax rules of the United Kingdom to provide comparison on the feasibility of the project in that country.</w:t>
      </w:r>
    </w:p>
    <w:p w14:paraId="5F3972B1" w14:textId="1838F097" w:rsidR="00404585" w:rsidRDefault="00404585" w:rsidP="00404585">
      <w:pPr>
        <w:pStyle w:val="Caption"/>
        <w:keepNext/>
        <w:jc w:val="center"/>
      </w:pPr>
      <w:bookmarkStart w:id="6" w:name="_Ref511223791"/>
      <w:r>
        <w:t xml:space="preserve">Table </w:t>
      </w:r>
      <w:r>
        <w:fldChar w:fldCharType="begin"/>
      </w:r>
      <w:r>
        <w:instrText xml:space="preserve"> SEQ Table \* ARABIC </w:instrText>
      </w:r>
      <w:r>
        <w:fldChar w:fldCharType="separate"/>
      </w:r>
      <w:r w:rsidR="00FA4C8F">
        <w:rPr>
          <w:noProof/>
        </w:rPr>
        <w:t>1</w:t>
      </w:r>
      <w:r>
        <w:fldChar w:fldCharType="end"/>
      </w:r>
      <w:bookmarkEnd w:id="6"/>
      <w:r>
        <w:t xml:space="preserve"> - Generation Options</w:t>
      </w:r>
    </w:p>
    <w:p w14:paraId="55A60975" w14:textId="1E591FA4" w:rsidR="00404585" w:rsidRDefault="00715E57" w:rsidP="00404585">
      <w:pPr>
        <w:spacing w:line="480" w:lineRule="auto"/>
        <w:jc w:val="center"/>
      </w:pPr>
      <w:r>
        <w:rPr>
          <w:noProof/>
        </w:rPr>
        <w:drawing>
          <wp:inline distT="0" distB="0" distL="0" distR="0" wp14:anchorId="5C1F9046" wp14:editId="458579D4">
            <wp:extent cx="5486400" cy="1905635"/>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1905635"/>
                    </a:xfrm>
                    <a:prstGeom prst="rect">
                      <a:avLst/>
                    </a:prstGeom>
                    <a:noFill/>
                    <a:extLst/>
                  </pic:spPr>
                </pic:pic>
              </a:graphicData>
            </a:graphic>
          </wp:inline>
        </w:drawing>
      </w:r>
    </w:p>
    <w:p w14:paraId="737C2635" w14:textId="45F6A3E0" w:rsidR="00E90AFB" w:rsidRDefault="00E90AFB" w:rsidP="00A47419">
      <w:pPr>
        <w:pStyle w:val="Heading1"/>
        <w:spacing w:line="480" w:lineRule="auto"/>
      </w:pPr>
      <w:bookmarkStart w:id="7" w:name="_Toc511222335"/>
      <w:r>
        <w:t>Problem Statement</w:t>
      </w:r>
      <w:bookmarkEnd w:id="7"/>
    </w:p>
    <w:p w14:paraId="21F9A01F" w14:textId="7C8B85C4" w:rsidR="00E90AFB" w:rsidRDefault="00E90AFB" w:rsidP="00A47419">
      <w:pPr>
        <w:spacing w:line="480" w:lineRule="auto"/>
      </w:pPr>
      <w:r>
        <w:tab/>
        <w:t>This report will determine an appropriate CO2 tax to be applied that will minimize the use of diesel fuel generation in a theoretical micro-grid application in Northern Ontario and compare the feasibility of this project to the same project if it were undertaken in the United Kingdom.</w:t>
      </w:r>
    </w:p>
    <w:p w14:paraId="0F979C67" w14:textId="3D00A0E5" w:rsidR="00385630" w:rsidRDefault="00385630" w:rsidP="00A47419">
      <w:pPr>
        <w:pStyle w:val="Heading3"/>
        <w:spacing w:line="480" w:lineRule="auto"/>
      </w:pPr>
      <w:bookmarkStart w:id="8" w:name="_Toc511222336"/>
      <w:r>
        <w:t>Assumptions</w:t>
      </w:r>
      <w:bookmarkEnd w:id="8"/>
    </w:p>
    <w:p w14:paraId="5C293766" w14:textId="401165D1" w:rsidR="00385630" w:rsidRPr="00B507E5" w:rsidRDefault="00385630" w:rsidP="00A47419">
      <w:pPr>
        <w:pStyle w:val="ListParagraph"/>
        <w:numPr>
          <w:ilvl w:val="0"/>
          <w:numId w:val="16"/>
        </w:numPr>
        <w:spacing w:line="480" w:lineRule="auto"/>
      </w:pPr>
      <w:r w:rsidRPr="00B507E5">
        <w:t>Yearly maintenance cost increase is 5% of the previous year’s maintenance cost.</w:t>
      </w:r>
    </w:p>
    <w:p w14:paraId="571D6972" w14:textId="0CB3BC4C" w:rsidR="00385630" w:rsidRPr="00B507E5" w:rsidRDefault="00385630" w:rsidP="00A47419">
      <w:pPr>
        <w:pStyle w:val="ListParagraph"/>
        <w:numPr>
          <w:ilvl w:val="0"/>
          <w:numId w:val="16"/>
        </w:numPr>
        <w:spacing w:line="480" w:lineRule="auto"/>
      </w:pPr>
      <w:r w:rsidRPr="00B507E5">
        <w:t>Yearly CO2 emissions increase is 2% of the previous year’s CO2 emissions.</w:t>
      </w:r>
    </w:p>
    <w:p w14:paraId="664B5658" w14:textId="4B5B6642" w:rsidR="00385630" w:rsidRPr="00B507E5" w:rsidRDefault="000E6A19" w:rsidP="00726A89">
      <w:pPr>
        <w:pStyle w:val="ListParagraph"/>
        <w:numPr>
          <w:ilvl w:val="0"/>
          <w:numId w:val="16"/>
        </w:numPr>
        <w:spacing w:line="480" w:lineRule="auto"/>
      </w:pPr>
      <w:r w:rsidRPr="00B507E5">
        <w:t>Yearly diesel fuel cost increase is 2% of the previous year’s diesel fuel cost.</w:t>
      </w:r>
    </w:p>
    <w:p w14:paraId="0C6ED988" w14:textId="46D99DD5" w:rsidR="000E6A19" w:rsidRDefault="00726A89" w:rsidP="00A47419">
      <w:pPr>
        <w:pStyle w:val="ListParagraph"/>
        <w:numPr>
          <w:ilvl w:val="0"/>
          <w:numId w:val="16"/>
        </w:numPr>
        <w:spacing w:line="480" w:lineRule="auto"/>
      </w:pPr>
      <w:r>
        <w:t>No tax credits or other government incentives for any generation option.</w:t>
      </w:r>
    </w:p>
    <w:p w14:paraId="12713421" w14:textId="31305036" w:rsidR="004117CB" w:rsidRDefault="00284769" w:rsidP="00785C36">
      <w:pPr>
        <w:pStyle w:val="ListParagraph"/>
        <w:numPr>
          <w:ilvl w:val="0"/>
          <w:numId w:val="16"/>
        </w:numPr>
        <w:spacing w:line="480" w:lineRule="auto"/>
      </w:pPr>
      <w:r>
        <w:t xml:space="preserve">100% utilization rate for all </w:t>
      </w:r>
      <w:r w:rsidR="00785C36">
        <w:t>generation options.</w:t>
      </w:r>
    </w:p>
    <w:p w14:paraId="2581E86F" w14:textId="7614E544" w:rsidR="00AA1D3E" w:rsidRDefault="00AA1D3E" w:rsidP="00785C36">
      <w:pPr>
        <w:pStyle w:val="ListParagraph"/>
        <w:numPr>
          <w:ilvl w:val="0"/>
          <w:numId w:val="16"/>
        </w:numPr>
        <w:spacing w:line="480" w:lineRule="auto"/>
      </w:pPr>
      <w:r>
        <w:t>Same cost of financing for all generation options.</w:t>
      </w:r>
    </w:p>
    <w:p w14:paraId="37FC62A5" w14:textId="04947EC7" w:rsidR="00816253" w:rsidRDefault="00816253" w:rsidP="00A47419">
      <w:pPr>
        <w:pStyle w:val="Heading1"/>
        <w:spacing w:line="480" w:lineRule="auto"/>
      </w:pPr>
      <w:bookmarkStart w:id="9" w:name="_Toc511222337"/>
      <w:r>
        <w:t>Economic Analysis</w:t>
      </w:r>
      <w:bookmarkEnd w:id="9"/>
    </w:p>
    <w:p w14:paraId="2150CF6C" w14:textId="1BFB3F1B" w:rsidR="00816253" w:rsidRDefault="00816253" w:rsidP="00284769">
      <w:pPr>
        <w:pStyle w:val="Heading3"/>
        <w:spacing w:line="480" w:lineRule="auto"/>
      </w:pPr>
      <w:bookmarkStart w:id="10" w:name="_Toc511222338"/>
      <w:r>
        <w:t>Levelized Cost of Energy (LCOE)</w:t>
      </w:r>
      <w:bookmarkEnd w:id="10"/>
    </w:p>
    <w:p w14:paraId="0FFE188D" w14:textId="3F5B62CF" w:rsidR="0080561C" w:rsidRDefault="001D57BF" w:rsidP="009421BC">
      <w:pPr>
        <w:spacing w:line="480" w:lineRule="auto"/>
        <w:ind w:firstLine="720"/>
      </w:pPr>
      <w:r>
        <w:t>The concept of LCOE represents the total cost per unit of energy of constructing and operating a power plant over its lifetime</w:t>
      </w:r>
      <w:r w:rsidR="0080561C">
        <w:t xml:space="preserve"> </w:t>
      </w:r>
      <w:sdt>
        <w:sdtPr>
          <w:id w:val="1703217015"/>
          <w:citation/>
        </w:sdtPr>
        <w:sdtContent>
          <w:r w:rsidR="0080561C">
            <w:fldChar w:fldCharType="begin"/>
          </w:r>
          <w:r w:rsidR="0080561C">
            <w:instrText xml:space="preserve"> CITATION USE18 \l 1033 </w:instrText>
          </w:r>
          <w:r w:rsidR="0080561C">
            <w:fldChar w:fldCharType="separate"/>
          </w:r>
          <w:r w:rsidR="00DB23A7">
            <w:rPr>
              <w:noProof/>
            </w:rPr>
            <w:t>(U.S. Energy Information Administration, 2018)</w:t>
          </w:r>
          <w:r w:rsidR="0080561C">
            <w:fldChar w:fldCharType="end"/>
          </w:r>
        </w:sdtContent>
      </w:sdt>
      <w:r>
        <w:t xml:space="preserve">.  </w:t>
      </w:r>
      <w:r w:rsidR="00DC1755">
        <w:t xml:space="preserve">LCOE provides a convenient mechanism for comparing </w:t>
      </w:r>
      <w:r w:rsidR="00F94D08">
        <w:t>the competitiveness of different generation technologies.</w:t>
      </w:r>
      <w:r w:rsidR="00C502A8">
        <w:t xml:space="preserve">  In this report we </w:t>
      </w:r>
      <w:r w:rsidR="004555BA">
        <w:t>only consider the capital costs, fuel costs, and maintenance costs w</w:t>
      </w:r>
      <w:r w:rsidR="0052549F">
        <w:t xml:space="preserve">hen evaluating </w:t>
      </w:r>
      <w:r w:rsidR="00ED2974">
        <w:t>each generation option, although a full LCOE analysis would include the cost of financing, operation, and utilization rates for each generation option.</w:t>
      </w:r>
    </w:p>
    <w:p w14:paraId="2FEA6782" w14:textId="128E8F42" w:rsidR="00AF4A1D" w:rsidRDefault="000A0FCD" w:rsidP="000A0FCD">
      <w:pPr>
        <w:pStyle w:val="Heading3"/>
      </w:pPr>
      <w:r>
        <w:t>Present Worth Analysis</w:t>
      </w:r>
    </w:p>
    <w:p w14:paraId="021A8F54" w14:textId="09267247" w:rsidR="000A0FCD" w:rsidRDefault="00051891" w:rsidP="00B86341">
      <w:r>
        <w:tab/>
        <w:t xml:space="preserve">The present worth of each option from </w:t>
      </w:r>
      <w:r>
        <w:fldChar w:fldCharType="begin"/>
      </w:r>
      <w:r>
        <w:instrText xml:space="preserve"> REF _Ref511223791 \h </w:instrText>
      </w:r>
      <w:r>
        <w:fldChar w:fldCharType="separate"/>
      </w:r>
      <w:r>
        <w:t xml:space="preserve">Table </w:t>
      </w:r>
      <w:r>
        <w:rPr>
          <w:noProof/>
        </w:rPr>
        <w:t>1</w:t>
      </w:r>
      <w:r>
        <w:fldChar w:fldCharType="end"/>
      </w:r>
      <w:r>
        <w:t xml:space="preserve"> was conducted utilizing </w:t>
      </w:r>
      <w:r w:rsidR="00D510DE">
        <w:t xml:space="preserve">the corporate tax rate in Canada of %36.1 </w:t>
      </w:r>
      <w:sdt>
        <w:sdtPr>
          <w:id w:val="999004714"/>
          <w:citation/>
        </w:sdtPr>
        <w:sdtContent>
          <w:r w:rsidR="00B86341">
            <w:fldChar w:fldCharType="begin"/>
          </w:r>
          <w:r w:rsidR="00B86341">
            <w:instrText xml:space="preserve"> CITATION Pea17 \l 1033 </w:instrText>
          </w:r>
          <w:r w:rsidR="00B86341">
            <w:fldChar w:fldCharType="separate"/>
          </w:r>
          <w:r w:rsidR="00B86341">
            <w:rPr>
              <w:noProof/>
            </w:rPr>
            <w:t>(Pearson Canada, Inc., 2017)</w:t>
          </w:r>
          <w:r w:rsidR="00B86341">
            <w:fldChar w:fldCharType="end"/>
          </w:r>
        </w:sdtContent>
      </w:sdt>
      <w:r w:rsidR="00ED0AB6">
        <w:t xml:space="preserve">, </w:t>
      </w:r>
      <w:r w:rsidR="00D510DE">
        <w:t>a before-tax MARR of 20%</w:t>
      </w:r>
      <w:r w:rsidR="00ED0AB6">
        <w:t xml:space="preserve">, and a </w:t>
      </w:r>
      <w:r w:rsidR="003539E6">
        <w:t>C</w:t>
      </w:r>
      <w:r w:rsidR="00ED0AB6">
        <w:t xml:space="preserve">apital </w:t>
      </w:r>
      <w:r w:rsidR="003539E6">
        <w:t>C</w:t>
      </w:r>
      <w:r w:rsidR="00ED0AB6">
        <w:t xml:space="preserve">ost </w:t>
      </w:r>
      <w:r w:rsidR="003539E6">
        <w:t>A</w:t>
      </w:r>
      <w:r w:rsidR="00ED0AB6">
        <w:t xml:space="preserve">llowance </w:t>
      </w:r>
      <w:r w:rsidR="003539E6">
        <w:t xml:space="preserve">(CCA) </w:t>
      </w:r>
      <w:r w:rsidR="00ED0AB6">
        <w:t xml:space="preserve">of 20% (Class 8).  </w:t>
      </w:r>
      <w:r w:rsidR="00717F8E">
        <w:t>After-tax MARR is calculated to be 12.78%.</w:t>
      </w:r>
      <w:r w:rsidR="00F57AD9">
        <w:t xml:space="preserve">  Analysis was conducted assuming a 20 year lifetime for each option.</w:t>
      </w:r>
    </w:p>
    <w:p w14:paraId="471567F2" w14:textId="5D2E54AC" w:rsidR="00717F8E" w:rsidRPr="000A0FCD" w:rsidRDefault="00717F8E" w:rsidP="00B86341">
      <m:oMathPara>
        <m:oMath>
          <m:sSub>
            <m:sSubPr>
              <m:ctrlPr>
                <w:rPr>
                  <w:rFonts w:ascii="Cambria Math" w:hAnsi="Cambria Math"/>
                  <w:i/>
                </w:rPr>
              </m:ctrlPr>
            </m:sSubPr>
            <m:e>
              <m:r>
                <w:rPr>
                  <w:rFonts w:ascii="Cambria Math" w:hAnsi="Cambria Math"/>
                </w:rPr>
                <m:t>MARR</m:t>
              </m:r>
            </m:e>
            <m:sub>
              <m:r>
                <w:rPr>
                  <w:rFonts w:ascii="Cambria Math" w:hAnsi="Cambria Math"/>
                </w:rPr>
                <m:t>after-tax</m:t>
              </m:r>
            </m:sub>
          </m:sSub>
          <m:r>
            <w:rPr>
              <w:rFonts w:ascii="Cambria Math" w:hAnsi="Cambria Math"/>
            </w:rPr>
            <m:t xml:space="preserve">= </m:t>
          </m:r>
          <m:sSub>
            <m:sSubPr>
              <m:ctrlPr>
                <w:rPr>
                  <w:rFonts w:ascii="Cambria Math" w:hAnsi="Cambria Math"/>
                  <w:i/>
                </w:rPr>
              </m:ctrlPr>
            </m:sSubPr>
            <m:e>
              <m:r>
                <w:rPr>
                  <w:rFonts w:ascii="Cambria Math" w:hAnsi="Cambria Math"/>
                </w:rPr>
                <m:t>MARR</m:t>
              </m:r>
            </m:e>
            <m:sub>
              <m:r>
                <w:rPr>
                  <w:rFonts w:ascii="Cambria Math" w:hAnsi="Cambria Math"/>
                </w:rPr>
                <m:t>before-tax</m:t>
              </m:r>
            </m:sub>
          </m:sSub>
          <m:r>
            <w:rPr>
              <w:rFonts w:ascii="Cambria Math" w:hAnsi="Cambria Math"/>
            </w:rPr>
            <m:t>*</m:t>
          </m:r>
          <m:d>
            <m:dPr>
              <m:ctrlPr>
                <w:rPr>
                  <w:rFonts w:ascii="Cambria Math" w:hAnsi="Cambria Math"/>
                  <w:i/>
                </w:rPr>
              </m:ctrlPr>
            </m:dPr>
            <m:e>
              <m:r>
                <w:rPr>
                  <w:rFonts w:ascii="Cambria Math" w:hAnsi="Cambria Math"/>
                </w:rPr>
                <m:t>1-tax rate</m:t>
              </m:r>
            </m:e>
          </m:d>
          <m:r>
            <w:rPr>
              <w:rFonts w:ascii="Cambria Math" w:hAnsi="Cambria Math"/>
            </w:rPr>
            <m:t>=20%*</m:t>
          </m:r>
          <m:d>
            <m:dPr>
              <m:ctrlPr>
                <w:rPr>
                  <w:rFonts w:ascii="Cambria Math" w:hAnsi="Cambria Math"/>
                  <w:i/>
                </w:rPr>
              </m:ctrlPr>
            </m:dPr>
            <m:e>
              <m:r>
                <w:rPr>
                  <w:rFonts w:ascii="Cambria Math" w:hAnsi="Cambria Math"/>
                </w:rPr>
                <m:t>1-0.361</m:t>
              </m:r>
            </m:e>
          </m:d>
          <m:r>
            <w:rPr>
              <w:rFonts w:ascii="Cambria Math" w:hAnsi="Cambria Math"/>
            </w:rPr>
            <m:t>=12.78%</m:t>
          </m:r>
        </m:oMath>
      </m:oMathPara>
    </w:p>
    <w:p w14:paraId="772626BB" w14:textId="675A063F" w:rsidR="000A0FCD" w:rsidRDefault="003539E6" w:rsidP="002B3DE0">
      <w:r>
        <w:t xml:space="preserve">The Capital Tax Factor (CTF) is calculated to be </w:t>
      </w:r>
    </w:p>
    <w:p w14:paraId="03AE8851" w14:textId="44153AF8" w:rsidR="003539E6" w:rsidRDefault="003539E6" w:rsidP="003539E6">
      <m:oMathPara>
        <m:oMath>
          <m:r>
            <w:rPr>
              <w:rFonts w:ascii="Cambria Math" w:hAnsi="Cambria Math"/>
            </w:rPr>
            <m:t xml:space="preserve">CTF=1- </m:t>
          </m:r>
          <m:f>
            <m:fPr>
              <m:ctrlPr>
                <w:rPr>
                  <w:rFonts w:ascii="Cambria Math" w:hAnsi="Cambria Math"/>
                  <w:i/>
                </w:rPr>
              </m:ctrlPr>
            </m:fPr>
            <m:num>
              <m:d>
                <m:dPr>
                  <m:ctrlPr>
                    <w:rPr>
                      <w:rFonts w:ascii="Cambria Math" w:hAnsi="Cambria Math"/>
                      <w:i/>
                    </w:rPr>
                  </m:ctrlPr>
                </m:dPr>
                <m:e>
                  <m:r>
                    <w:rPr>
                      <w:rFonts w:ascii="Cambria Math" w:hAnsi="Cambria Math"/>
                    </w:rPr>
                    <m:t>tax rate</m:t>
                  </m:r>
                </m:e>
              </m:d>
              <m:r>
                <w:rPr>
                  <w:rFonts w:ascii="Cambria Math" w:hAnsi="Cambria Math"/>
                </w:rPr>
                <m:t>*</m:t>
              </m:r>
              <m:d>
                <m:dPr>
                  <m:ctrlPr>
                    <w:rPr>
                      <w:rFonts w:ascii="Cambria Math" w:hAnsi="Cambria Math"/>
                      <w:i/>
                    </w:rPr>
                  </m:ctrlPr>
                </m:dPr>
                <m:e>
                  <m:r>
                    <w:rPr>
                      <w:rFonts w:ascii="Cambria Math" w:hAnsi="Cambria Math"/>
                    </w:rPr>
                    <m:t>CCA</m:t>
                  </m:r>
                </m:e>
              </m:d>
              <m:r>
                <w:rPr>
                  <w:rFonts w:ascii="Cambria Math" w:hAnsi="Cambria Math"/>
                </w:rPr>
                <m:t>*</m:t>
              </m:r>
              <m:d>
                <m:dPr>
                  <m:ctrlPr>
                    <w:rPr>
                      <w:rFonts w:ascii="Cambria Math" w:hAnsi="Cambria Math"/>
                      <w:i/>
                    </w:rPr>
                  </m:ctrlPr>
                </m:dPr>
                <m:e>
                  <m:r>
                    <w:rPr>
                      <w:rFonts w:ascii="Cambria Math" w:hAnsi="Cambria Math"/>
                    </w:rPr>
                    <m:t xml:space="preserve">1+ </m:t>
                  </m:r>
                  <m:f>
                    <m:fPr>
                      <m:ctrlPr>
                        <w:rPr>
                          <w:rFonts w:ascii="Cambria Math" w:hAnsi="Cambria Math"/>
                          <w:i/>
                        </w:rPr>
                      </m:ctrlPr>
                    </m:fPr>
                    <m:num/>
                    <m:den>
                      <m:r>
                        <w:rPr>
                          <w:rFonts w:ascii="Cambria Math" w:hAnsi="Cambria Math"/>
                        </w:rPr>
                        <m:t>2</m:t>
                      </m:r>
                    </m:den>
                  </m:f>
                </m:e>
              </m:d>
            </m:num>
            <m:den>
              <m:d>
                <m:dPr>
                  <m:ctrlPr>
                    <w:rPr>
                      <w:rFonts w:ascii="Cambria Math" w:hAnsi="Cambria Math"/>
                      <w:i/>
                    </w:rPr>
                  </m:ctrlPr>
                </m:dPr>
                <m:e>
                  <m:sSub>
                    <m:sSubPr>
                      <m:ctrlPr>
                        <w:rPr>
                          <w:rFonts w:ascii="Cambria Math" w:hAnsi="Cambria Math"/>
                          <w:i/>
                        </w:rPr>
                      </m:ctrlPr>
                    </m:sSubPr>
                    <m:e>
                      <m:r>
                        <w:rPr>
                          <w:rFonts w:ascii="Cambria Math" w:hAnsi="Cambria Math"/>
                        </w:rPr>
                        <m:t>MARR</m:t>
                      </m:r>
                    </m:e>
                    <m:sub>
                      <m:r>
                        <w:rPr>
                          <w:rFonts w:ascii="Cambria Math" w:hAnsi="Cambria Math"/>
                        </w:rPr>
                        <m:t>after-tax</m:t>
                      </m:r>
                    </m:sub>
                  </m:sSub>
                  <m:r>
                    <w:rPr>
                      <w:rFonts w:ascii="Cambria Math" w:hAnsi="Cambria Math"/>
                    </w:rPr>
                    <m:t>+CCA</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MARR</m:t>
                      </m:r>
                    </m:e>
                    <m:sub>
                      <m:r>
                        <w:rPr>
                          <w:rFonts w:ascii="Cambria Math" w:hAnsi="Cambria Math"/>
                        </w:rPr>
                        <m:t>after-tax</m:t>
                      </m:r>
                    </m:sub>
                  </m:sSub>
                </m:e>
              </m:d>
            </m:den>
          </m:f>
          <m:r>
            <w:rPr>
              <w:rFonts w:ascii="Cambria Math" w:hAnsi="Cambria Math"/>
            </w:rPr>
            <m:t xml:space="preserve">= </m:t>
          </m:r>
          <m:r>
            <w:rPr>
              <w:rFonts w:ascii="Cambria Math" w:hAnsi="Cambria Math"/>
            </w:rPr>
            <m:t>0.792</m:t>
          </m:r>
        </m:oMath>
      </m:oMathPara>
    </w:p>
    <w:p w14:paraId="2BA0CC2F" w14:textId="66C50297" w:rsidR="00457218" w:rsidRDefault="00457218" w:rsidP="006C4D26">
      <w:r>
        <w:t>The present worth of the capital cost for each generation option is calculated as follows.</w:t>
      </w:r>
    </w:p>
    <w:p w14:paraId="2F014D92" w14:textId="316C7269" w:rsidR="006C4D26" w:rsidRDefault="002A2F5D" w:rsidP="006C4D26">
      <m:oMathPara>
        <m:oMath>
          <m:sSub>
            <m:sSubPr>
              <m:ctrlPr>
                <w:rPr>
                  <w:rFonts w:ascii="Cambria Math" w:hAnsi="Cambria Math"/>
                  <w:i/>
                </w:rPr>
              </m:ctrlPr>
            </m:sSubPr>
            <m:e>
              <m:r>
                <w:rPr>
                  <w:rFonts w:ascii="Cambria Math" w:hAnsi="Cambria Math"/>
                </w:rPr>
                <m:t>Present Worth</m:t>
              </m:r>
            </m:e>
            <m:sub>
              <m:r>
                <w:rPr>
                  <w:rFonts w:ascii="Cambria Math" w:hAnsi="Cambria Math"/>
                </w:rPr>
                <m:t>Capital Cost</m:t>
              </m:r>
            </m:sub>
          </m:sSub>
          <m:r>
            <w:rPr>
              <w:rFonts w:ascii="Cambria Math" w:hAnsi="Cambria Math"/>
            </w:rPr>
            <m:t>=CTF*Capital Cost</m:t>
          </m:r>
        </m:oMath>
      </m:oMathPara>
    </w:p>
    <w:p w14:paraId="4C2B0243" w14:textId="64C59CED" w:rsidR="00AC60D5" w:rsidRDefault="00AC60D5" w:rsidP="00AC60D5">
      <w:pPr>
        <w:pStyle w:val="Caption"/>
        <w:keepNext/>
        <w:jc w:val="center"/>
      </w:pPr>
      <w:r>
        <w:t xml:space="preserve">Table </w:t>
      </w:r>
      <w:r>
        <w:fldChar w:fldCharType="begin"/>
      </w:r>
      <w:r>
        <w:instrText xml:space="preserve"> SEQ Table \* ARABIC </w:instrText>
      </w:r>
      <w:r>
        <w:fldChar w:fldCharType="separate"/>
      </w:r>
      <w:r w:rsidR="00FA4C8F">
        <w:rPr>
          <w:noProof/>
        </w:rPr>
        <w:t>2</w:t>
      </w:r>
      <w:r>
        <w:fldChar w:fldCharType="end"/>
      </w:r>
      <w:r>
        <w:t xml:space="preserve"> - Present worth of capital cost</w:t>
      </w:r>
    </w:p>
    <w:p w14:paraId="411E0B15" w14:textId="4A8BEC3F" w:rsidR="00AC60D5" w:rsidRDefault="00FA4C8F" w:rsidP="00AC60D5">
      <w:pPr>
        <w:jc w:val="center"/>
      </w:pPr>
      <w:r w:rsidRPr="00FA4C8F">
        <w:drawing>
          <wp:inline distT="0" distB="0" distL="0" distR="0" wp14:anchorId="32636836" wp14:editId="3845B4CA">
            <wp:extent cx="5486400" cy="7001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700170"/>
                    </a:xfrm>
                    <a:prstGeom prst="rect">
                      <a:avLst/>
                    </a:prstGeom>
                    <a:noFill/>
                    <a:ln>
                      <a:noFill/>
                    </a:ln>
                  </pic:spPr>
                </pic:pic>
              </a:graphicData>
            </a:graphic>
          </wp:inline>
        </w:drawing>
      </w:r>
    </w:p>
    <w:p w14:paraId="4AC8F71C" w14:textId="2CBCC743" w:rsidR="00574C2D" w:rsidRDefault="00171A87" w:rsidP="000A0FCD">
      <w:r>
        <w:tab/>
        <w:t>The present worth for all annuities associated with each generation option are calculated as follows.</w:t>
      </w:r>
      <w:r w:rsidR="00E62A19">
        <w:t xml:space="preserve">  </w:t>
      </w:r>
      <w:r w:rsidR="00520214">
        <w:fldChar w:fldCharType="begin"/>
      </w:r>
      <w:r w:rsidR="00520214">
        <w:instrText xml:space="preserve"> REF _Ref511226316 \h </w:instrText>
      </w:r>
      <w:r w:rsidR="00520214">
        <w:fldChar w:fldCharType="separate"/>
      </w:r>
      <w:r w:rsidR="00520214">
        <w:t xml:space="preserve">Table </w:t>
      </w:r>
      <w:r w:rsidR="00520214">
        <w:rPr>
          <w:noProof/>
        </w:rPr>
        <w:t>3</w:t>
      </w:r>
      <w:r w:rsidR="00520214">
        <w:fldChar w:fldCharType="end"/>
      </w:r>
      <w:r w:rsidR="00520214">
        <w:t xml:space="preserve"> shows the present worth of all annuities over a 20 year period for each option.  Appendix A shows the Excel calculations used to generate these </w:t>
      </w:r>
      <w:r w:rsidR="00A30C60">
        <w:t>values</w:t>
      </w:r>
      <w:r w:rsidR="00520214">
        <w:t>.</w:t>
      </w:r>
    </w:p>
    <w:p w14:paraId="181C1EEB" w14:textId="71F5ED32" w:rsidR="003932E7" w:rsidRDefault="00171A87" w:rsidP="000A0FCD">
      <m:oMathPara>
        <m:oMath>
          <m:sSub>
            <m:sSubPr>
              <m:ctrlPr>
                <w:rPr>
                  <w:rFonts w:ascii="Cambria Math" w:hAnsi="Cambria Math"/>
                  <w:i/>
                </w:rPr>
              </m:ctrlPr>
            </m:sSubPr>
            <m:e>
              <m:r>
                <w:rPr>
                  <w:rFonts w:ascii="Cambria Math" w:hAnsi="Cambria Math"/>
                </w:rPr>
                <m:t>Present Worth</m:t>
              </m:r>
              <m:r>
                <w:rPr>
                  <w:rFonts w:ascii="Cambria Math" w:hAnsi="Cambria Math"/>
                  <w:i/>
                  <w:color w:val="auto"/>
                </w:rPr>
              </m:r>
            </m:e>
            <m:sub>
              <m:r>
                <w:rPr>
                  <w:rFonts w:ascii="Cambria Math" w:hAnsi="Cambria Math"/>
                </w:rPr>
                <m:t>Annuities</m:t>
              </m:r>
            </m:sub>
          </m:sSub>
          <m:r>
            <w:rPr>
              <w:rFonts w:ascii="Cambria Math" w:hAnsi="Cambria Math"/>
            </w:rPr>
            <m:t>=</m:t>
          </m:r>
          <m:d>
            <m:dPr>
              <m:ctrlPr>
                <w:rPr>
                  <w:rFonts w:ascii="Cambria Math" w:hAnsi="Cambria Math"/>
                  <w:i/>
                </w:rPr>
              </m:ctrlPr>
            </m:dPr>
            <m:e>
              <m:r>
                <w:rPr>
                  <w:rFonts w:ascii="Cambria Math" w:hAnsi="Cambria Math"/>
                </w:rPr>
                <m:t>Income-Expenses</m:t>
              </m:r>
            </m:e>
          </m:d>
          <m:r>
            <w:rPr>
              <w:rFonts w:ascii="Cambria Math" w:hAnsi="Cambria Math"/>
            </w:rPr>
            <m:t>*</m:t>
          </m:r>
          <m:d>
            <m:dPr>
              <m:ctrlPr>
                <w:rPr>
                  <w:rFonts w:ascii="Cambria Math" w:hAnsi="Cambria Math"/>
                  <w:i/>
                </w:rPr>
              </m:ctrlPr>
            </m:dPr>
            <m:e>
              <m:r>
                <w:rPr>
                  <w:rFonts w:ascii="Cambria Math" w:hAnsi="Cambria Math"/>
                </w:rPr>
                <m:t>1-tax rate</m:t>
              </m:r>
            </m:e>
          </m:d>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F</m:t>
              </m:r>
            </m:den>
          </m:f>
          <m:r>
            <w:rPr>
              <w:rFonts w:ascii="Cambria Math" w:hAnsi="Cambria Math"/>
            </w:rPr>
            <m:t xml:space="preserve">, </m:t>
          </m:r>
          <m:sSub>
            <m:sSubPr>
              <m:ctrlPr>
                <w:rPr>
                  <w:rFonts w:ascii="Cambria Math" w:hAnsi="Cambria Math"/>
                  <w:i/>
                </w:rPr>
              </m:ctrlPr>
            </m:sSubPr>
            <m:e>
              <m:r>
                <w:rPr>
                  <w:rFonts w:ascii="Cambria Math" w:hAnsi="Cambria Math"/>
                </w:rPr>
                <m:t>MARR</m:t>
              </m:r>
            </m:e>
            <m:sub>
              <m:r>
                <w:rPr>
                  <w:rFonts w:ascii="Cambria Math" w:hAnsi="Cambria Math"/>
                </w:rPr>
                <m:t>after-tax</m:t>
              </m:r>
            </m:sub>
          </m:sSub>
          <m:r>
            <w:rPr>
              <w:rFonts w:ascii="Cambria Math" w:hAnsi="Cambria Math"/>
            </w:rPr>
            <m:t>, 20)</m:t>
          </m:r>
        </m:oMath>
      </m:oMathPara>
    </w:p>
    <w:p w14:paraId="0CD22667" w14:textId="699BC8EB" w:rsidR="00520214" w:rsidRDefault="00520214" w:rsidP="00520214">
      <w:pPr>
        <w:pStyle w:val="Caption"/>
        <w:keepNext/>
        <w:jc w:val="center"/>
      </w:pPr>
      <w:bookmarkStart w:id="11" w:name="_Ref511226316"/>
      <w:r>
        <w:t xml:space="preserve">Table </w:t>
      </w:r>
      <w:r>
        <w:fldChar w:fldCharType="begin"/>
      </w:r>
      <w:r>
        <w:instrText xml:space="preserve"> SEQ Table \* ARABIC </w:instrText>
      </w:r>
      <w:r>
        <w:fldChar w:fldCharType="separate"/>
      </w:r>
      <w:r w:rsidR="00FA4C8F">
        <w:rPr>
          <w:noProof/>
        </w:rPr>
        <w:t>3</w:t>
      </w:r>
      <w:r>
        <w:fldChar w:fldCharType="end"/>
      </w:r>
      <w:bookmarkEnd w:id="11"/>
      <w:r>
        <w:t xml:space="preserve"> - Present worth of annuities</w:t>
      </w:r>
    </w:p>
    <w:tbl>
      <w:tblPr>
        <w:tblStyle w:val="TableGrid"/>
        <w:tblW w:w="0" w:type="auto"/>
        <w:tblLook w:val="04A0" w:firstRow="1" w:lastRow="0" w:firstColumn="1" w:lastColumn="0" w:noHBand="0" w:noVBand="1"/>
      </w:tblPr>
      <w:tblGrid>
        <w:gridCol w:w="1630"/>
        <w:gridCol w:w="1789"/>
        <w:gridCol w:w="1790"/>
        <w:gridCol w:w="1790"/>
        <w:gridCol w:w="1631"/>
      </w:tblGrid>
      <w:tr w:rsidR="00F64DAF" w14:paraId="3BDCB8C7" w14:textId="5A8243ED" w:rsidTr="00F64DAF">
        <w:tc>
          <w:tcPr>
            <w:tcW w:w="1630" w:type="dxa"/>
          </w:tcPr>
          <w:p w14:paraId="278036CF" w14:textId="77777777" w:rsidR="00F64DAF" w:rsidRDefault="00F64DAF" w:rsidP="000A0FCD"/>
        </w:tc>
        <w:tc>
          <w:tcPr>
            <w:tcW w:w="1789" w:type="dxa"/>
          </w:tcPr>
          <w:p w14:paraId="7CC36FB3" w14:textId="211189D5" w:rsidR="00F64DAF" w:rsidRDefault="00F64DAF" w:rsidP="000A0FCD">
            <w:r>
              <w:t>Wind + Diesel</w:t>
            </w:r>
          </w:p>
        </w:tc>
        <w:tc>
          <w:tcPr>
            <w:tcW w:w="1790" w:type="dxa"/>
          </w:tcPr>
          <w:p w14:paraId="70A11152" w14:textId="1D7F5E01" w:rsidR="00F64DAF" w:rsidRDefault="00F64DAF" w:rsidP="000A0FCD">
            <w:r>
              <w:t>Solar + Diesel</w:t>
            </w:r>
          </w:p>
        </w:tc>
        <w:tc>
          <w:tcPr>
            <w:tcW w:w="1790" w:type="dxa"/>
          </w:tcPr>
          <w:p w14:paraId="6E227B2F" w14:textId="4BC7FAAD" w:rsidR="00F64DAF" w:rsidRDefault="00F64DAF" w:rsidP="000A0FCD">
            <w:r>
              <w:t>Solar + Wind + Diesel</w:t>
            </w:r>
          </w:p>
        </w:tc>
        <w:tc>
          <w:tcPr>
            <w:tcW w:w="1631" w:type="dxa"/>
          </w:tcPr>
          <w:p w14:paraId="5274CD23" w14:textId="47125C13" w:rsidR="00F64DAF" w:rsidRDefault="00F64DAF" w:rsidP="000A0FCD">
            <w:r>
              <w:t>Diesel</w:t>
            </w:r>
          </w:p>
        </w:tc>
      </w:tr>
      <w:tr w:rsidR="00F64DAF" w14:paraId="636629F9" w14:textId="65EEA316" w:rsidTr="00F64DAF">
        <w:tc>
          <w:tcPr>
            <w:tcW w:w="1630" w:type="dxa"/>
          </w:tcPr>
          <w:p w14:paraId="1DA98A21" w14:textId="5DEBB026" w:rsidR="00F64DAF" w:rsidRDefault="00F64DAF" w:rsidP="000A0FCD">
            <w:r>
              <w:t>Present Worth (Annuities)</w:t>
            </w:r>
          </w:p>
        </w:tc>
        <w:tc>
          <w:tcPr>
            <w:tcW w:w="1789" w:type="dxa"/>
          </w:tcPr>
          <w:p w14:paraId="0C24D3AE" w14:textId="7912D0ED" w:rsidR="00F64DAF" w:rsidRDefault="00327E89" w:rsidP="000A0FCD">
            <w:r>
              <w:t>$133,262.85</w:t>
            </w:r>
          </w:p>
        </w:tc>
        <w:tc>
          <w:tcPr>
            <w:tcW w:w="1790" w:type="dxa"/>
          </w:tcPr>
          <w:p w14:paraId="7BD97CD2" w14:textId="7433BC56" w:rsidR="00F64DAF" w:rsidRDefault="00EF6989" w:rsidP="000A0FCD">
            <w:r>
              <w:t>$111,650.51</w:t>
            </w:r>
          </w:p>
        </w:tc>
        <w:tc>
          <w:tcPr>
            <w:tcW w:w="1790" w:type="dxa"/>
          </w:tcPr>
          <w:p w14:paraId="6196707C" w14:textId="23B05EDE" w:rsidR="00F64DAF" w:rsidRDefault="00BB0DC2" w:rsidP="000A0FCD">
            <w:r>
              <w:t>$164,417.83</w:t>
            </w:r>
          </w:p>
        </w:tc>
        <w:tc>
          <w:tcPr>
            <w:tcW w:w="1631" w:type="dxa"/>
          </w:tcPr>
          <w:p w14:paraId="0EF36800" w14:textId="6C80843B" w:rsidR="00F64DAF" w:rsidRDefault="00E62A19" w:rsidP="000A0FCD">
            <w:r>
              <w:t>$109,299.76</w:t>
            </w:r>
          </w:p>
        </w:tc>
      </w:tr>
    </w:tbl>
    <w:p w14:paraId="4A083E19" w14:textId="7410EE76" w:rsidR="00FA4C8F" w:rsidRDefault="00FA4C8F" w:rsidP="000A0FCD"/>
    <w:p w14:paraId="48991110" w14:textId="430D8EFA" w:rsidR="00FA4C8F" w:rsidRDefault="00FA4C8F" w:rsidP="00FA4C8F">
      <w:pPr>
        <w:ind w:firstLine="720"/>
      </w:pPr>
      <w:r>
        <w:t xml:space="preserve">The total present worth for each option is sum of the present worth of the annuities and the present worth of the capital cost.  </w:t>
      </w:r>
      <w:r>
        <w:fldChar w:fldCharType="begin"/>
      </w:r>
      <w:r>
        <w:instrText xml:space="preserve"> REF _Ref511226578 \h </w:instrText>
      </w:r>
      <w:r>
        <w:fldChar w:fldCharType="separate"/>
      </w:r>
      <w:r>
        <w:t xml:space="preserve">Table </w:t>
      </w:r>
      <w:r>
        <w:rPr>
          <w:noProof/>
        </w:rPr>
        <w:t>4</w:t>
      </w:r>
      <w:r>
        <w:fldChar w:fldCharType="end"/>
      </w:r>
      <w:r>
        <w:t xml:space="preserve"> shows the total present worth </w:t>
      </w:r>
      <w:r w:rsidR="00246942">
        <w:t xml:space="preserve">after taxes </w:t>
      </w:r>
      <w:r>
        <w:t>for each option with no carbon tax implemented.</w:t>
      </w:r>
    </w:p>
    <w:p w14:paraId="34CC1D82" w14:textId="1FA3026A" w:rsidR="00FA4C8F" w:rsidRDefault="00FA4C8F" w:rsidP="00FA4C8F">
      <w:pPr>
        <w:pStyle w:val="Caption"/>
        <w:keepNext/>
        <w:jc w:val="center"/>
      </w:pPr>
      <w:bookmarkStart w:id="12" w:name="_Ref511226578"/>
      <w:r>
        <w:t xml:space="preserve">Table </w:t>
      </w:r>
      <w:r>
        <w:fldChar w:fldCharType="begin"/>
      </w:r>
      <w:r>
        <w:instrText xml:space="preserve"> SEQ Table \* ARABIC </w:instrText>
      </w:r>
      <w:r>
        <w:fldChar w:fldCharType="separate"/>
      </w:r>
      <w:r>
        <w:rPr>
          <w:noProof/>
        </w:rPr>
        <w:t>4</w:t>
      </w:r>
      <w:r>
        <w:fldChar w:fldCharType="end"/>
      </w:r>
      <w:bookmarkEnd w:id="12"/>
      <w:r>
        <w:t xml:space="preserve"> - Total Present Worth</w:t>
      </w:r>
    </w:p>
    <w:tbl>
      <w:tblPr>
        <w:tblStyle w:val="TableGrid"/>
        <w:tblW w:w="8725" w:type="dxa"/>
        <w:tblLook w:val="04A0" w:firstRow="1" w:lastRow="0" w:firstColumn="1" w:lastColumn="0" w:noHBand="0" w:noVBand="1"/>
      </w:tblPr>
      <w:tblGrid>
        <w:gridCol w:w="1630"/>
        <w:gridCol w:w="1789"/>
        <w:gridCol w:w="1790"/>
        <w:gridCol w:w="1790"/>
        <w:gridCol w:w="1726"/>
      </w:tblGrid>
      <w:tr w:rsidR="00FA4C8F" w14:paraId="2EC5AC66" w14:textId="77777777" w:rsidTr="00CA3357">
        <w:tc>
          <w:tcPr>
            <w:tcW w:w="1630" w:type="dxa"/>
          </w:tcPr>
          <w:p w14:paraId="55A391BE" w14:textId="77777777" w:rsidR="00FA4C8F" w:rsidRDefault="00FA4C8F" w:rsidP="00183B90"/>
        </w:tc>
        <w:tc>
          <w:tcPr>
            <w:tcW w:w="1789" w:type="dxa"/>
          </w:tcPr>
          <w:p w14:paraId="7F1B0F5E" w14:textId="77777777" w:rsidR="00FA4C8F" w:rsidRDefault="00FA4C8F" w:rsidP="00183B90">
            <w:r>
              <w:t>Wind + Diesel</w:t>
            </w:r>
          </w:p>
        </w:tc>
        <w:tc>
          <w:tcPr>
            <w:tcW w:w="1790" w:type="dxa"/>
          </w:tcPr>
          <w:p w14:paraId="4C299830" w14:textId="77777777" w:rsidR="00FA4C8F" w:rsidRDefault="00FA4C8F" w:rsidP="00183B90">
            <w:r>
              <w:t>Solar + Diesel</w:t>
            </w:r>
          </w:p>
        </w:tc>
        <w:tc>
          <w:tcPr>
            <w:tcW w:w="1790" w:type="dxa"/>
          </w:tcPr>
          <w:p w14:paraId="72C039D5" w14:textId="77777777" w:rsidR="00FA4C8F" w:rsidRDefault="00FA4C8F" w:rsidP="00183B90">
            <w:r>
              <w:t>Solar + Wind + Diesel</w:t>
            </w:r>
          </w:p>
        </w:tc>
        <w:tc>
          <w:tcPr>
            <w:tcW w:w="1726" w:type="dxa"/>
          </w:tcPr>
          <w:p w14:paraId="53779CC2" w14:textId="77777777" w:rsidR="00FA4C8F" w:rsidRDefault="00FA4C8F" w:rsidP="00183B90">
            <w:r>
              <w:t>Diesel</w:t>
            </w:r>
          </w:p>
        </w:tc>
      </w:tr>
      <w:tr w:rsidR="00FA4C8F" w14:paraId="53FB31C1" w14:textId="77777777" w:rsidTr="00CA3357">
        <w:tc>
          <w:tcPr>
            <w:tcW w:w="1630" w:type="dxa"/>
          </w:tcPr>
          <w:p w14:paraId="70738A70" w14:textId="3A5438D5" w:rsidR="00FA4C8F" w:rsidRDefault="00FA4C8F" w:rsidP="00FA4C8F">
            <w:r>
              <w:t>Present Worth (Total)</w:t>
            </w:r>
          </w:p>
        </w:tc>
        <w:tc>
          <w:tcPr>
            <w:tcW w:w="1789" w:type="dxa"/>
          </w:tcPr>
          <w:p w14:paraId="1B92CC2C" w14:textId="4AC941E1" w:rsidR="00FA4C8F" w:rsidRDefault="00CA3357" w:rsidP="00183B90">
            <w:r>
              <w:t>-$74,481,057.15</w:t>
            </w:r>
          </w:p>
        </w:tc>
        <w:tc>
          <w:tcPr>
            <w:tcW w:w="1790" w:type="dxa"/>
          </w:tcPr>
          <w:p w14:paraId="69AF7399" w14:textId="1E468862" w:rsidR="00FA4C8F" w:rsidRDefault="00CA3357" w:rsidP="00183B90">
            <w:r>
              <w:t>-$79,583,349.49</w:t>
            </w:r>
          </w:p>
        </w:tc>
        <w:tc>
          <w:tcPr>
            <w:tcW w:w="1790" w:type="dxa"/>
          </w:tcPr>
          <w:p w14:paraId="0AF29698" w14:textId="2F569978" w:rsidR="00FA4C8F" w:rsidRDefault="00CA3357" w:rsidP="00183B90">
            <w:r>
              <w:t>-$76,301,598.17</w:t>
            </w:r>
          </w:p>
        </w:tc>
        <w:tc>
          <w:tcPr>
            <w:tcW w:w="1726" w:type="dxa"/>
          </w:tcPr>
          <w:p w14:paraId="1787E8D0" w14:textId="213068AD" w:rsidR="00FA4C8F" w:rsidRDefault="00CA3357" w:rsidP="00183B90">
            <w:r>
              <w:t>-$44,242,700.24</w:t>
            </w:r>
          </w:p>
        </w:tc>
      </w:tr>
    </w:tbl>
    <w:p w14:paraId="098A0E25" w14:textId="06EEA9B5" w:rsidR="00FA4C8F" w:rsidRPr="000A0FCD" w:rsidRDefault="00AE5943" w:rsidP="00AE5943">
      <w:pPr>
        <w:ind w:firstLine="720"/>
      </w:pPr>
      <w:r>
        <w:t>T</w:t>
      </w:r>
      <w:r>
        <w:t>he diesel only option is considerably more cost-effective than th</w:t>
      </w:r>
      <w:r>
        <w:t>e others without the inclusion of a carbon tax.</w:t>
      </w:r>
      <w:bookmarkStart w:id="13" w:name="_GoBack"/>
      <w:bookmarkEnd w:id="13"/>
    </w:p>
    <w:p w14:paraId="2B23F87F" w14:textId="186DE1E7" w:rsidR="007B2692" w:rsidRDefault="00726A89" w:rsidP="00086F3C">
      <w:pPr>
        <w:pStyle w:val="Heading3"/>
        <w:spacing w:line="480" w:lineRule="auto"/>
      </w:pPr>
      <w:r>
        <w:t>Factors Missing From Analysis</w:t>
      </w:r>
    </w:p>
    <w:p w14:paraId="4A801AFB" w14:textId="49B1A7B8" w:rsidR="0092729C" w:rsidRDefault="00726A89" w:rsidP="00FE397D">
      <w:pPr>
        <w:spacing w:line="480" w:lineRule="auto"/>
        <w:ind w:firstLine="720"/>
      </w:pPr>
      <w:r>
        <w:t xml:space="preserve">This analysis does not consider any government incentives for renewable projects such as </w:t>
      </w:r>
      <w:r w:rsidR="001C6B23">
        <w:t>tax credits for renewable projects or discounted financing options which could help to reduce the cost of the proposed carbon tax.</w:t>
      </w:r>
      <w:r w:rsidR="00593FDE">
        <w:t xml:space="preserve">  This analysis only considers the maintenance and fuel costs for each plant type but does not account for any other operating costs which may impact the total cost of each plant.</w:t>
      </w:r>
      <w:r w:rsidR="004555BA">
        <w:t xml:space="preserve">  This analysis only considers carbon produced during the operation of each plant type</w:t>
      </w:r>
      <w:r w:rsidR="00DB23A7">
        <w:t xml:space="preserve"> and does not account for the carbon </w:t>
      </w:r>
      <w:r w:rsidR="00FE397D">
        <w:t>produced when manufacturing the plant.</w:t>
      </w:r>
    </w:p>
    <w:p w14:paraId="3F7C0EB1" w14:textId="77777777" w:rsidR="0092729C" w:rsidRDefault="0092729C">
      <w:r>
        <w:br w:type="page"/>
      </w:r>
    </w:p>
    <w:p w14:paraId="4C67EB10" w14:textId="155EECC8" w:rsidR="00086F3C" w:rsidRDefault="0092729C" w:rsidP="0092729C">
      <w:pPr>
        <w:pStyle w:val="Heading1"/>
      </w:pPr>
      <w:r>
        <w:t>Appendix A</w:t>
      </w:r>
    </w:p>
    <w:p w14:paraId="284E2957" w14:textId="77777777" w:rsidR="0092729C" w:rsidRDefault="0092729C" w:rsidP="0092729C">
      <w:pPr>
        <w:keepNext/>
        <w:jc w:val="center"/>
      </w:pPr>
      <w:r w:rsidRPr="0092729C">
        <w:drawing>
          <wp:inline distT="0" distB="0" distL="0" distR="0" wp14:anchorId="6287C040" wp14:editId="177D3C48">
            <wp:extent cx="5486400" cy="26123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612385"/>
                    </a:xfrm>
                    <a:prstGeom prst="rect">
                      <a:avLst/>
                    </a:prstGeom>
                    <a:noFill/>
                    <a:ln>
                      <a:noFill/>
                    </a:ln>
                  </pic:spPr>
                </pic:pic>
              </a:graphicData>
            </a:graphic>
          </wp:inline>
        </w:drawing>
      </w:r>
    </w:p>
    <w:p w14:paraId="68993E0C" w14:textId="6E2194E0" w:rsidR="0092729C" w:rsidRPr="0092729C" w:rsidRDefault="0092729C" w:rsidP="0092729C">
      <w:pPr>
        <w:pStyle w:val="Caption"/>
        <w:jc w:val="center"/>
        <w:rPr>
          <w:noProof/>
        </w:rPr>
      </w:pPr>
      <w:r>
        <w:t xml:space="preserve">Figure </w:t>
      </w:r>
      <w:r>
        <w:fldChar w:fldCharType="begin"/>
      </w:r>
      <w:r>
        <w:instrText xml:space="preserve"> SEQ Figure \* ARABIC </w:instrText>
      </w:r>
      <w:r>
        <w:fldChar w:fldCharType="separate"/>
      </w:r>
      <w:r w:rsidR="00DF0657">
        <w:rPr>
          <w:noProof/>
        </w:rPr>
        <w:t>1</w:t>
      </w:r>
      <w:r>
        <w:fldChar w:fldCharType="end"/>
      </w:r>
      <w:r>
        <w:t xml:space="preserve"> - </w:t>
      </w:r>
      <w:r>
        <w:rPr>
          <w:noProof/>
        </w:rPr>
        <w:t>Present worth of annuities, Wind + Diesel Option</w:t>
      </w:r>
    </w:p>
    <w:p w14:paraId="6EAC19BF" w14:textId="77777777" w:rsidR="0092729C" w:rsidRDefault="0092729C" w:rsidP="0092729C">
      <w:pPr>
        <w:keepNext/>
        <w:jc w:val="center"/>
      </w:pPr>
      <w:r w:rsidRPr="0092729C">
        <w:drawing>
          <wp:inline distT="0" distB="0" distL="0" distR="0" wp14:anchorId="72842333" wp14:editId="5A2886AC">
            <wp:extent cx="5486400" cy="258966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589669"/>
                    </a:xfrm>
                    <a:prstGeom prst="rect">
                      <a:avLst/>
                    </a:prstGeom>
                    <a:noFill/>
                    <a:ln>
                      <a:noFill/>
                    </a:ln>
                  </pic:spPr>
                </pic:pic>
              </a:graphicData>
            </a:graphic>
          </wp:inline>
        </w:drawing>
      </w:r>
    </w:p>
    <w:p w14:paraId="5B649485" w14:textId="64C9F4D1" w:rsidR="0092729C" w:rsidRDefault="0092729C" w:rsidP="0092729C">
      <w:pPr>
        <w:pStyle w:val="Caption"/>
        <w:jc w:val="center"/>
      </w:pPr>
      <w:r>
        <w:t xml:space="preserve">Figure </w:t>
      </w:r>
      <w:r>
        <w:fldChar w:fldCharType="begin"/>
      </w:r>
      <w:r>
        <w:instrText xml:space="preserve"> SEQ Figure \* ARABIC </w:instrText>
      </w:r>
      <w:r>
        <w:fldChar w:fldCharType="separate"/>
      </w:r>
      <w:r w:rsidR="00DF0657">
        <w:rPr>
          <w:noProof/>
        </w:rPr>
        <w:t>2</w:t>
      </w:r>
      <w:r>
        <w:fldChar w:fldCharType="end"/>
      </w:r>
      <w:r>
        <w:t xml:space="preserve"> - </w:t>
      </w:r>
      <w:r w:rsidRPr="00654B87">
        <w:t xml:space="preserve">Present worth of annuities, </w:t>
      </w:r>
      <w:r>
        <w:t>Solar</w:t>
      </w:r>
      <w:r w:rsidRPr="00654B87">
        <w:t xml:space="preserve"> + Diesel Option</w:t>
      </w:r>
    </w:p>
    <w:p w14:paraId="5E3742F0" w14:textId="77777777" w:rsidR="00463183" w:rsidRPr="00463183" w:rsidRDefault="00463183" w:rsidP="00463183"/>
    <w:p w14:paraId="6B466380" w14:textId="77777777" w:rsidR="00463183" w:rsidRDefault="00463183" w:rsidP="00463183">
      <w:pPr>
        <w:keepNext/>
        <w:jc w:val="center"/>
      </w:pPr>
      <w:r w:rsidRPr="00463183">
        <w:drawing>
          <wp:inline distT="0" distB="0" distL="0" distR="0" wp14:anchorId="7E1C6AC2" wp14:editId="473E5A71">
            <wp:extent cx="5486400" cy="2589669"/>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589669"/>
                    </a:xfrm>
                    <a:prstGeom prst="rect">
                      <a:avLst/>
                    </a:prstGeom>
                    <a:noFill/>
                    <a:ln>
                      <a:noFill/>
                    </a:ln>
                  </pic:spPr>
                </pic:pic>
              </a:graphicData>
            </a:graphic>
          </wp:inline>
        </w:drawing>
      </w:r>
    </w:p>
    <w:p w14:paraId="3F9B83A1" w14:textId="4E1E371E" w:rsidR="00463183" w:rsidRDefault="00463183" w:rsidP="00DF0657">
      <w:pPr>
        <w:pStyle w:val="Caption"/>
        <w:jc w:val="center"/>
      </w:pPr>
      <w:r>
        <w:t xml:space="preserve">Figure </w:t>
      </w:r>
      <w:r>
        <w:fldChar w:fldCharType="begin"/>
      </w:r>
      <w:r>
        <w:instrText xml:space="preserve"> SEQ Figure \* ARABIC </w:instrText>
      </w:r>
      <w:r>
        <w:fldChar w:fldCharType="separate"/>
      </w:r>
      <w:r w:rsidR="00DF0657">
        <w:rPr>
          <w:noProof/>
        </w:rPr>
        <w:t>3</w:t>
      </w:r>
      <w:r>
        <w:fldChar w:fldCharType="end"/>
      </w:r>
      <w:r>
        <w:t xml:space="preserve"> - </w:t>
      </w:r>
      <w:r w:rsidRPr="00654B87">
        <w:t xml:space="preserve">Present worth of annuities, </w:t>
      </w:r>
      <w:r>
        <w:t>Solar</w:t>
      </w:r>
      <w:r w:rsidRPr="00654B87">
        <w:t xml:space="preserve"> + </w:t>
      </w:r>
      <w:r>
        <w:t xml:space="preserve">Wind + </w:t>
      </w:r>
      <w:r w:rsidRPr="00654B87">
        <w:t>Diesel Option</w:t>
      </w:r>
    </w:p>
    <w:p w14:paraId="59916D37" w14:textId="77777777" w:rsidR="00DF0657" w:rsidRDefault="00DF0657" w:rsidP="00DF0657">
      <w:pPr>
        <w:keepNext/>
        <w:jc w:val="center"/>
      </w:pPr>
      <w:r w:rsidRPr="00DF0657">
        <w:drawing>
          <wp:inline distT="0" distB="0" distL="0" distR="0" wp14:anchorId="1D086D18" wp14:editId="519D63AC">
            <wp:extent cx="5486400" cy="2589669"/>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2589669"/>
                    </a:xfrm>
                    <a:prstGeom prst="rect">
                      <a:avLst/>
                    </a:prstGeom>
                    <a:noFill/>
                    <a:ln>
                      <a:noFill/>
                    </a:ln>
                  </pic:spPr>
                </pic:pic>
              </a:graphicData>
            </a:graphic>
          </wp:inline>
        </w:drawing>
      </w:r>
    </w:p>
    <w:p w14:paraId="116FC261" w14:textId="1E0379CB" w:rsidR="00DF0657" w:rsidRDefault="00DF0657" w:rsidP="00DF0657">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 xml:space="preserve"> - </w:t>
      </w:r>
      <w:r w:rsidRPr="00654B87">
        <w:t>Present worth of annuities, Diesel Option</w:t>
      </w:r>
    </w:p>
    <w:p w14:paraId="3BA61190" w14:textId="264CDCA4" w:rsidR="00DF0657" w:rsidRDefault="00DF0657" w:rsidP="00DF0657">
      <w:pPr>
        <w:pStyle w:val="Caption"/>
      </w:pPr>
    </w:p>
    <w:p w14:paraId="75AE5F96" w14:textId="58B2AC86" w:rsidR="0092729C" w:rsidRPr="0092729C" w:rsidRDefault="0092729C" w:rsidP="0092729C">
      <w:pPr>
        <w:jc w:val="center"/>
      </w:pPr>
    </w:p>
    <w:p w14:paraId="6935A97E" w14:textId="77777777" w:rsidR="00086F3C" w:rsidRDefault="00086F3C">
      <w:r>
        <w:br w:type="page"/>
      </w:r>
    </w:p>
    <w:bookmarkStart w:id="14" w:name="_Toc511222339" w:displacedByCustomXml="next"/>
    <w:sdt>
      <w:sdtPr>
        <w:id w:val="-414774341"/>
        <w:docPartObj>
          <w:docPartGallery w:val="Bibliographies"/>
          <w:docPartUnique/>
        </w:docPartObj>
      </w:sdtPr>
      <w:sdtEndPr>
        <w:rPr>
          <w:rFonts w:asciiTheme="minorHAnsi" w:eastAsiaTheme="minorHAnsi" w:hAnsiTheme="minorHAnsi" w:cstheme="minorBidi"/>
          <w:color w:val="595959" w:themeColor="text1" w:themeTint="A6"/>
          <w:sz w:val="22"/>
        </w:rPr>
      </w:sdtEndPr>
      <w:sdtContent>
        <w:p w14:paraId="1446002D" w14:textId="60189BF5" w:rsidR="0080561C" w:rsidRDefault="0080561C" w:rsidP="00086F3C">
          <w:pPr>
            <w:pStyle w:val="Heading1"/>
            <w:spacing w:line="240" w:lineRule="auto"/>
          </w:pPr>
          <w:r>
            <w:t>Bibliography</w:t>
          </w:r>
          <w:bookmarkEnd w:id="14"/>
        </w:p>
        <w:sdt>
          <w:sdtPr>
            <w:id w:val="111145805"/>
            <w:bibliography/>
          </w:sdtPr>
          <w:sdtContent>
            <w:p w14:paraId="0CCADBE7" w14:textId="77777777" w:rsidR="00DB23A7" w:rsidRDefault="0080561C" w:rsidP="00DB23A7">
              <w:pPr>
                <w:pStyle w:val="Bibliography"/>
                <w:ind w:left="720" w:hanging="720"/>
                <w:rPr>
                  <w:noProof/>
                  <w:sz w:val="24"/>
                  <w:szCs w:val="24"/>
                </w:rPr>
              </w:pPr>
              <w:r>
                <w:fldChar w:fldCharType="begin"/>
              </w:r>
              <w:r>
                <w:instrText xml:space="preserve"> BIBLIOGRAPHY </w:instrText>
              </w:r>
              <w:r>
                <w:fldChar w:fldCharType="separate"/>
              </w:r>
              <w:r w:rsidR="00DB23A7">
                <w:rPr>
                  <w:noProof/>
                </w:rPr>
                <w:t xml:space="preserve">U.S. Energy Information Administration. (2018). </w:t>
              </w:r>
              <w:r w:rsidR="00DB23A7">
                <w:rPr>
                  <w:i/>
                  <w:iCs/>
                  <w:noProof/>
                </w:rPr>
                <w:t>Levelized Cost and Levelized Avoided Cost of New Generation Resources in the Annual Energy Outlook 2018.</w:t>
              </w:r>
              <w:r w:rsidR="00DB23A7">
                <w:rPr>
                  <w:noProof/>
                </w:rPr>
                <w:t xml:space="preserve"> U.S. Energy Information Administration.</w:t>
              </w:r>
            </w:p>
            <w:p w14:paraId="5C817126" w14:textId="6F0FAF47" w:rsidR="0080561C" w:rsidRDefault="0080561C" w:rsidP="00DB23A7">
              <w:pPr>
                <w:spacing w:line="240" w:lineRule="auto"/>
              </w:pPr>
              <w:r>
                <w:rPr>
                  <w:b/>
                  <w:bCs/>
                  <w:noProof/>
                </w:rPr>
                <w:fldChar w:fldCharType="end"/>
              </w:r>
            </w:p>
          </w:sdtContent>
        </w:sdt>
      </w:sdtContent>
    </w:sdt>
    <w:p w14:paraId="2576F3A1" w14:textId="77777777" w:rsidR="0080561C" w:rsidRPr="000C3ABF" w:rsidRDefault="0080561C" w:rsidP="00086F3C">
      <w:pPr>
        <w:spacing w:line="240" w:lineRule="auto"/>
      </w:pPr>
    </w:p>
    <w:sectPr w:rsidR="0080561C" w:rsidRPr="000C3ABF">
      <w:headerReference w:type="default" r:id="rId15"/>
      <w:footerReference w:type="default" r:id="rId16"/>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4DF682" w14:textId="77777777" w:rsidR="00B41EF9" w:rsidRDefault="00B41EF9" w:rsidP="00C6554A">
      <w:pPr>
        <w:spacing w:before="0" w:after="0" w:line="240" w:lineRule="auto"/>
      </w:pPr>
      <w:r>
        <w:separator/>
      </w:r>
    </w:p>
  </w:endnote>
  <w:endnote w:type="continuationSeparator" w:id="0">
    <w:p w14:paraId="243AFC21" w14:textId="77777777" w:rsidR="00B41EF9" w:rsidRDefault="00B41EF9"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3E9E70" w14:textId="0B067E5F" w:rsidR="002163EE" w:rsidRDefault="00ED7C44">
    <w:pPr>
      <w:pStyle w:val="Footer"/>
    </w:pPr>
    <w:r>
      <w:t xml:space="preserve">Page </w:t>
    </w:r>
    <w:r>
      <w:fldChar w:fldCharType="begin"/>
    </w:r>
    <w:r>
      <w:instrText xml:space="preserve"> PAGE  \* Arabic  \* MERGEFORMAT </w:instrText>
    </w:r>
    <w:r>
      <w:fldChar w:fldCharType="separate"/>
    </w:r>
    <w:r w:rsidR="00AE5943">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42A433" w14:textId="77777777" w:rsidR="00B41EF9" w:rsidRDefault="00B41EF9" w:rsidP="00C6554A">
      <w:pPr>
        <w:spacing w:before="0" w:after="0" w:line="240" w:lineRule="auto"/>
      </w:pPr>
      <w:r>
        <w:separator/>
      </w:r>
    </w:p>
  </w:footnote>
  <w:footnote w:type="continuationSeparator" w:id="0">
    <w:p w14:paraId="44B85A19" w14:textId="77777777" w:rsidR="00B41EF9" w:rsidRDefault="00B41EF9" w:rsidP="00C655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ABEAC6" w14:textId="01EAD58B" w:rsidR="00EA1C7C" w:rsidRDefault="00EA1C7C">
    <w:pPr>
      <w:pStyle w:val="Header"/>
    </w:pPr>
    <w:r>
      <w:t xml:space="preserve">ECON74000 Course Project </w:t>
    </w:r>
    <w:r>
      <w:ptab w:relativeTo="margin" w:alignment="center" w:leader="none"/>
    </w:r>
    <w:r>
      <w:ptab w:relativeTo="margin" w:alignment="right" w:leader="none"/>
    </w:r>
    <w:r>
      <w:t>Eelman, Rashevskyi, Abdallah</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0B91565"/>
    <w:multiLevelType w:val="hybridMultilevel"/>
    <w:tmpl w:val="C0062A9A"/>
    <w:lvl w:ilvl="0" w:tplc="4E5ED0E0">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EF9"/>
    <w:rsid w:val="00014017"/>
    <w:rsid w:val="00033C68"/>
    <w:rsid w:val="000374C6"/>
    <w:rsid w:val="00040955"/>
    <w:rsid w:val="00051891"/>
    <w:rsid w:val="00086F3C"/>
    <w:rsid w:val="000A0FCD"/>
    <w:rsid w:val="000B5FB1"/>
    <w:rsid w:val="000C3ABF"/>
    <w:rsid w:val="000E6A19"/>
    <w:rsid w:val="000F0BF5"/>
    <w:rsid w:val="00100F13"/>
    <w:rsid w:val="00125BC7"/>
    <w:rsid w:val="00171A87"/>
    <w:rsid w:val="001C6B23"/>
    <w:rsid w:val="001D57BF"/>
    <w:rsid w:val="00246942"/>
    <w:rsid w:val="002554CD"/>
    <w:rsid w:val="00284769"/>
    <w:rsid w:val="0028579C"/>
    <w:rsid w:val="00293B83"/>
    <w:rsid w:val="002A2F5D"/>
    <w:rsid w:val="002A348E"/>
    <w:rsid w:val="002B3DE0"/>
    <w:rsid w:val="002B4294"/>
    <w:rsid w:val="002B704A"/>
    <w:rsid w:val="002F16EE"/>
    <w:rsid w:val="00327E89"/>
    <w:rsid w:val="00333D0D"/>
    <w:rsid w:val="003539E6"/>
    <w:rsid w:val="003750F8"/>
    <w:rsid w:val="00385630"/>
    <w:rsid w:val="003932E7"/>
    <w:rsid w:val="00397E84"/>
    <w:rsid w:val="003A5C17"/>
    <w:rsid w:val="003B69D8"/>
    <w:rsid w:val="003E44E0"/>
    <w:rsid w:val="00404585"/>
    <w:rsid w:val="004117CB"/>
    <w:rsid w:val="00446E1C"/>
    <w:rsid w:val="004555BA"/>
    <w:rsid w:val="00457218"/>
    <w:rsid w:val="00463183"/>
    <w:rsid w:val="004812E4"/>
    <w:rsid w:val="00485B67"/>
    <w:rsid w:val="004A1EA9"/>
    <w:rsid w:val="004C049F"/>
    <w:rsid w:val="005000E2"/>
    <w:rsid w:val="00503D5A"/>
    <w:rsid w:val="00520214"/>
    <w:rsid w:val="0052549F"/>
    <w:rsid w:val="00574C2D"/>
    <w:rsid w:val="00593FDE"/>
    <w:rsid w:val="005A6276"/>
    <w:rsid w:val="006A3CE7"/>
    <w:rsid w:val="006C4D26"/>
    <w:rsid w:val="00715E57"/>
    <w:rsid w:val="00717F8E"/>
    <w:rsid w:val="00726A89"/>
    <w:rsid w:val="00785C36"/>
    <w:rsid w:val="007B2692"/>
    <w:rsid w:val="0080561C"/>
    <w:rsid w:val="00816253"/>
    <w:rsid w:val="008228A7"/>
    <w:rsid w:val="008731F4"/>
    <w:rsid w:val="0092729C"/>
    <w:rsid w:val="009421BC"/>
    <w:rsid w:val="00A30C60"/>
    <w:rsid w:val="00A47419"/>
    <w:rsid w:val="00AA1D3E"/>
    <w:rsid w:val="00AA4265"/>
    <w:rsid w:val="00AB25C5"/>
    <w:rsid w:val="00AC60D5"/>
    <w:rsid w:val="00AE5943"/>
    <w:rsid w:val="00AF4A1D"/>
    <w:rsid w:val="00B41EF9"/>
    <w:rsid w:val="00B507E5"/>
    <w:rsid w:val="00B83C0D"/>
    <w:rsid w:val="00B86341"/>
    <w:rsid w:val="00BB0DC2"/>
    <w:rsid w:val="00BB2F97"/>
    <w:rsid w:val="00BC000B"/>
    <w:rsid w:val="00BC41B7"/>
    <w:rsid w:val="00C502A8"/>
    <w:rsid w:val="00C6554A"/>
    <w:rsid w:val="00CA3357"/>
    <w:rsid w:val="00CA3C11"/>
    <w:rsid w:val="00D27D02"/>
    <w:rsid w:val="00D510DE"/>
    <w:rsid w:val="00D61E01"/>
    <w:rsid w:val="00D66720"/>
    <w:rsid w:val="00DB23A7"/>
    <w:rsid w:val="00DC1755"/>
    <w:rsid w:val="00DF0657"/>
    <w:rsid w:val="00E62A19"/>
    <w:rsid w:val="00E90AFB"/>
    <w:rsid w:val="00EA1C7C"/>
    <w:rsid w:val="00EC2C65"/>
    <w:rsid w:val="00ED0AB6"/>
    <w:rsid w:val="00ED2974"/>
    <w:rsid w:val="00ED7C44"/>
    <w:rsid w:val="00EF6989"/>
    <w:rsid w:val="00F57AD9"/>
    <w:rsid w:val="00F64DAF"/>
    <w:rsid w:val="00F82252"/>
    <w:rsid w:val="00F94D08"/>
    <w:rsid w:val="00FA1438"/>
    <w:rsid w:val="00FA4C8F"/>
    <w:rsid w:val="00FE3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E986A4"/>
  <w15:chartTrackingRefBased/>
  <w15:docId w15:val="{29EAD2B4-EB38-47A6-87F9-BD41DC075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TOCHeading">
    <w:name w:val="TOC Heading"/>
    <w:basedOn w:val="Heading1"/>
    <w:next w:val="Normal"/>
    <w:uiPriority w:val="39"/>
    <w:unhideWhenUsed/>
    <w:qFormat/>
    <w:rsid w:val="00B41EF9"/>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B41EF9"/>
    <w:pPr>
      <w:spacing w:after="100"/>
    </w:pPr>
  </w:style>
  <w:style w:type="paragraph" w:styleId="TOC2">
    <w:name w:val="toc 2"/>
    <w:basedOn w:val="Normal"/>
    <w:next w:val="Normal"/>
    <w:autoRedefine/>
    <w:uiPriority w:val="39"/>
    <w:unhideWhenUsed/>
    <w:rsid w:val="00B41EF9"/>
    <w:pPr>
      <w:spacing w:after="100"/>
      <w:ind w:left="220"/>
    </w:pPr>
  </w:style>
  <w:style w:type="paragraph" w:styleId="ListParagraph">
    <w:name w:val="List Paragraph"/>
    <w:basedOn w:val="Normal"/>
    <w:uiPriority w:val="34"/>
    <w:unhideWhenUsed/>
    <w:qFormat/>
    <w:rsid w:val="00385630"/>
    <w:pPr>
      <w:ind w:left="720"/>
      <w:contextualSpacing/>
    </w:pPr>
  </w:style>
  <w:style w:type="paragraph" w:styleId="TOC3">
    <w:name w:val="toc 3"/>
    <w:basedOn w:val="Normal"/>
    <w:next w:val="Normal"/>
    <w:autoRedefine/>
    <w:uiPriority w:val="39"/>
    <w:unhideWhenUsed/>
    <w:rsid w:val="00503D5A"/>
    <w:pPr>
      <w:spacing w:after="100"/>
      <w:ind w:left="440"/>
    </w:pPr>
  </w:style>
  <w:style w:type="paragraph" w:styleId="Bibliography">
    <w:name w:val="Bibliography"/>
    <w:basedOn w:val="Normal"/>
    <w:next w:val="Normal"/>
    <w:uiPriority w:val="37"/>
    <w:unhideWhenUsed/>
    <w:rsid w:val="0080561C"/>
  </w:style>
  <w:style w:type="table" w:styleId="TableGrid">
    <w:name w:val="Table Grid"/>
    <w:basedOn w:val="TableNormal"/>
    <w:uiPriority w:val="39"/>
    <w:rsid w:val="00F64DA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346840">
      <w:bodyDiv w:val="1"/>
      <w:marLeft w:val="0"/>
      <w:marRight w:val="0"/>
      <w:marTop w:val="0"/>
      <w:marBottom w:val="0"/>
      <w:divBdr>
        <w:top w:val="none" w:sz="0" w:space="0" w:color="auto"/>
        <w:left w:val="none" w:sz="0" w:space="0" w:color="auto"/>
        <w:bottom w:val="none" w:sz="0" w:space="0" w:color="auto"/>
        <w:right w:val="none" w:sz="0" w:space="0" w:color="auto"/>
      </w:divBdr>
    </w:div>
    <w:div w:id="189730940">
      <w:bodyDiv w:val="1"/>
      <w:marLeft w:val="0"/>
      <w:marRight w:val="0"/>
      <w:marTop w:val="0"/>
      <w:marBottom w:val="0"/>
      <w:divBdr>
        <w:top w:val="none" w:sz="0" w:space="0" w:color="auto"/>
        <w:left w:val="none" w:sz="0" w:space="0" w:color="auto"/>
        <w:bottom w:val="none" w:sz="0" w:space="0" w:color="auto"/>
        <w:right w:val="none" w:sz="0" w:space="0" w:color="auto"/>
      </w:divBdr>
    </w:div>
    <w:div w:id="223805824">
      <w:bodyDiv w:val="1"/>
      <w:marLeft w:val="0"/>
      <w:marRight w:val="0"/>
      <w:marTop w:val="0"/>
      <w:marBottom w:val="0"/>
      <w:divBdr>
        <w:top w:val="none" w:sz="0" w:space="0" w:color="auto"/>
        <w:left w:val="none" w:sz="0" w:space="0" w:color="auto"/>
        <w:bottom w:val="none" w:sz="0" w:space="0" w:color="auto"/>
        <w:right w:val="none" w:sz="0" w:space="0" w:color="auto"/>
      </w:divBdr>
    </w:div>
    <w:div w:id="245384143">
      <w:bodyDiv w:val="1"/>
      <w:marLeft w:val="0"/>
      <w:marRight w:val="0"/>
      <w:marTop w:val="0"/>
      <w:marBottom w:val="0"/>
      <w:divBdr>
        <w:top w:val="none" w:sz="0" w:space="0" w:color="auto"/>
        <w:left w:val="none" w:sz="0" w:space="0" w:color="auto"/>
        <w:bottom w:val="none" w:sz="0" w:space="0" w:color="auto"/>
        <w:right w:val="none" w:sz="0" w:space="0" w:color="auto"/>
      </w:divBdr>
    </w:div>
    <w:div w:id="318582205">
      <w:bodyDiv w:val="1"/>
      <w:marLeft w:val="0"/>
      <w:marRight w:val="0"/>
      <w:marTop w:val="0"/>
      <w:marBottom w:val="0"/>
      <w:divBdr>
        <w:top w:val="none" w:sz="0" w:space="0" w:color="auto"/>
        <w:left w:val="none" w:sz="0" w:space="0" w:color="auto"/>
        <w:bottom w:val="none" w:sz="0" w:space="0" w:color="auto"/>
        <w:right w:val="none" w:sz="0" w:space="0" w:color="auto"/>
      </w:divBdr>
    </w:div>
    <w:div w:id="661397677">
      <w:bodyDiv w:val="1"/>
      <w:marLeft w:val="0"/>
      <w:marRight w:val="0"/>
      <w:marTop w:val="0"/>
      <w:marBottom w:val="0"/>
      <w:divBdr>
        <w:top w:val="none" w:sz="0" w:space="0" w:color="auto"/>
        <w:left w:val="none" w:sz="0" w:space="0" w:color="auto"/>
        <w:bottom w:val="none" w:sz="0" w:space="0" w:color="auto"/>
        <w:right w:val="none" w:sz="0" w:space="0" w:color="auto"/>
      </w:divBdr>
    </w:div>
    <w:div w:id="668556201">
      <w:bodyDiv w:val="1"/>
      <w:marLeft w:val="0"/>
      <w:marRight w:val="0"/>
      <w:marTop w:val="0"/>
      <w:marBottom w:val="0"/>
      <w:divBdr>
        <w:top w:val="none" w:sz="0" w:space="0" w:color="auto"/>
        <w:left w:val="none" w:sz="0" w:space="0" w:color="auto"/>
        <w:bottom w:val="none" w:sz="0" w:space="0" w:color="auto"/>
        <w:right w:val="none" w:sz="0" w:space="0" w:color="auto"/>
      </w:divBdr>
    </w:div>
    <w:div w:id="679432135">
      <w:bodyDiv w:val="1"/>
      <w:marLeft w:val="0"/>
      <w:marRight w:val="0"/>
      <w:marTop w:val="0"/>
      <w:marBottom w:val="0"/>
      <w:divBdr>
        <w:top w:val="none" w:sz="0" w:space="0" w:color="auto"/>
        <w:left w:val="none" w:sz="0" w:space="0" w:color="auto"/>
        <w:bottom w:val="none" w:sz="0" w:space="0" w:color="auto"/>
        <w:right w:val="none" w:sz="0" w:space="0" w:color="auto"/>
      </w:divBdr>
    </w:div>
    <w:div w:id="744453062">
      <w:bodyDiv w:val="1"/>
      <w:marLeft w:val="0"/>
      <w:marRight w:val="0"/>
      <w:marTop w:val="0"/>
      <w:marBottom w:val="0"/>
      <w:divBdr>
        <w:top w:val="none" w:sz="0" w:space="0" w:color="auto"/>
        <w:left w:val="none" w:sz="0" w:space="0" w:color="auto"/>
        <w:bottom w:val="none" w:sz="0" w:space="0" w:color="auto"/>
        <w:right w:val="none" w:sz="0" w:space="0" w:color="auto"/>
      </w:divBdr>
    </w:div>
    <w:div w:id="839082187">
      <w:bodyDiv w:val="1"/>
      <w:marLeft w:val="0"/>
      <w:marRight w:val="0"/>
      <w:marTop w:val="0"/>
      <w:marBottom w:val="0"/>
      <w:divBdr>
        <w:top w:val="none" w:sz="0" w:space="0" w:color="auto"/>
        <w:left w:val="none" w:sz="0" w:space="0" w:color="auto"/>
        <w:bottom w:val="none" w:sz="0" w:space="0" w:color="auto"/>
        <w:right w:val="none" w:sz="0" w:space="0" w:color="auto"/>
      </w:divBdr>
    </w:div>
    <w:div w:id="859201466">
      <w:bodyDiv w:val="1"/>
      <w:marLeft w:val="0"/>
      <w:marRight w:val="0"/>
      <w:marTop w:val="0"/>
      <w:marBottom w:val="0"/>
      <w:divBdr>
        <w:top w:val="none" w:sz="0" w:space="0" w:color="auto"/>
        <w:left w:val="none" w:sz="0" w:space="0" w:color="auto"/>
        <w:bottom w:val="none" w:sz="0" w:space="0" w:color="auto"/>
        <w:right w:val="none" w:sz="0" w:space="0" w:color="auto"/>
      </w:divBdr>
    </w:div>
    <w:div w:id="956329708">
      <w:bodyDiv w:val="1"/>
      <w:marLeft w:val="0"/>
      <w:marRight w:val="0"/>
      <w:marTop w:val="0"/>
      <w:marBottom w:val="0"/>
      <w:divBdr>
        <w:top w:val="none" w:sz="0" w:space="0" w:color="auto"/>
        <w:left w:val="none" w:sz="0" w:space="0" w:color="auto"/>
        <w:bottom w:val="none" w:sz="0" w:space="0" w:color="auto"/>
        <w:right w:val="none" w:sz="0" w:space="0" w:color="auto"/>
      </w:divBdr>
    </w:div>
    <w:div w:id="1066417197">
      <w:bodyDiv w:val="1"/>
      <w:marLeft w:val="0"/>
      <w:marRight w:val="0"/>
      <w:marTop w:val="0"/>
      <w:marBottom w:val="0"/>
      <w:divBdr>
        <w:top w:val="none" w:sz="0" w:space="0" w:color="auto"/>
        <w:left w:val="none" w:sz="0" w:space="0" w:color="auto"/>
        <w:bottom w:val="none" w:sz="0" w:space="0" w:color="auto"/>
        <w:right w:val="none" w:sz="0" w:space="0" w:color="auto"/>
      </w:divBdr>
    </w:div>
    <w:div w:id="1465543439">
      <w:bodyDiv w:val="1"/>
      <w:marLeft w:val="0"/>
      <w:marRight w:val="0"/>
      <w:marTop w:val="0"/>
      <w:marBottom w:val="0"/>
      <w:divBdr>
        <w:top w:val="none" w:sz="0" w:space="0" w:color="auto"/>
        <w:left w:val="none" w:sz="0" w:space="0" w:color="auto"/>
        <w:bottom w:val="none" w:sz="0" w:space="0" w:color="auto"/>
        <w:right w:val="none" w:sz="0" w:space="0" w:color="auto"/>
      </w:divBdr>
    </w:div>
    <w:div w:id="1583829576">
      <w:bodyDiv w:val="1"/>
      <w:marLeft w:val="0"/>
      <w:marRight w:val="0"/>
      <w:marTop w:val="0"/>
      <w:marBottom w:val="0"/>
      <w:divBdr>
        <w:top w:val="none" w:sz="0" w:space="0" w:color="auto"/>
        <w:left w:val="none" w:sz="0" w:space="0" w:color="auto"/>
        <w:bottom w:val="none" w:sz="0" w:space="0" w:color="auto"/>
        <w:right w:val="none" w:sz="0" w:space="0" w:color="auto"/>
      </w:divBdr>
    </w:div>
    <w:div w:id="1826435955">
      <w:bodyDiv w:val="1"/>
      <w:marLeft w:val="0"/>
      <w:marRight w:val="0"/>
      <w:marTop w:val="0"/>
      <w:marBottom w:val="0"/>
      <w:divBdr>
        <w:top w:val="none" w:sz="0" w:space="0" w:color="auto"/>
        <w:left w:val="none" w:sz="0" w:space="0" w:color="auto"/>
        <w:bottom w:val="none" w:sz="0" w:space="0" w:color="auto"/>
        <w:right w:val="none" w:sz="0" w:space="0" w:color="auto"/>
      </w:divBdr>
    </w:div>
    <w:div w:id="2022195833">
      <w:bodyDiv w:val="1"/>
      <w:marLeft w:val="0"/>
      <w:marRight w:val="0"/>
      <w:marTop w:val="0"/>
      <w:marBottom w:val="0"/>
      <w:divBdr>
        <w:top w:val="none" w:sz="0" w:space="0" w:color="auto"/>
        <w:left w:val="none" w:sz="0" w:space="0" w:color="auto"/>
        <w:bottom w:val="none" w:sz="0" w:space="0" w:color="auto"/>
        <w:right w:val="none" w:sz="0" w:space="0" w:color="auto"/>
      </w:divBdr>
    </w:div>
    <w:div w:id="2028290174">
      <w:bodyDiv w:val="1"/>
      <w:marLeft w:val="0"/>
      <w:marRight w:val="0"/>
      <w:marTop w:val="0"/>
      <w:marBottom w:val="0"/>
      <w:divBdr>
        <w:top w:val="none" w:sz="0" w:space="0" w:color="auto"/>
        <w:left w:val="none" w:sz="0" w:space="0" w:color="auto"/>
        <w:bottom w:val="none" w:sz="0" w:space="0" w:color="auto"/>
        <w:right w:val="none" w:sz="0" w:space="0" w:color="auto"/>
      </w:divBdr>
    </w:div>
    <w:div w:id="2066447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emf"/><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bdallah1518\AppData\Roaming\Microsoft\Templates\Student%20report%20with%20cover%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6AF"/>
    <w:rsid w:val="00D84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C70E9D6B4144E3A8CE494C3053E621F">
    <w:name w:val="1C70E9D6B4144E3A8CE494C3053E621F"/>
  </w:style>
  <w:style w:type="paragraph" w:customStyle="1" w:styleId="3B7076D83ABD47C7B48E9F5EC9CF6DD1">
    <w:name w:val="3B7076D83ABD47C7B48E9F5EC9CF6DD1"/>
  </w:style>
  <w:style w:type="paragraph" w:customStyle="1" w:styleId="13E03725866945AE8DEF16357789A691">
    <w:name w:val="13E03725866945AE8DEF16357789A691"/>
  </w:style>
  <w:style w:type="paragraph" w:customStyle="1" w:styleId="E47ACB21A774458CB90EF2892CC56931">
    <w:name w:val="E47ACB21A774458CB90EF2892CC56931"/>
  </w:style>
  <w:style w:type="paragraph" w:customStyle="1" w:styleId="EC0D59A886A84DF2B29242DABECA3729">
    <w:name w:val="EC0D59A886A84DF2B29242DABECA3729"/>
  </w:style>
  <w:style w:type="paragraph" w:customStyle="1" w:styleId="F4FE46B28C1C466A932D9E679A8771A6">
    <w:name w:val="F4FE46B28C1C466A932D9E679A8771A6"/>
  </w:style>
  <w:style w:type="paragraph" w:customStyle="1" w:styleId="AB09DCDA5BDD401A837012160A82E702">
    <w:name w:val="AB09DCDA5BDD401A837012160A82E702"/>
  </w:style>
  <w:style w:type="paragraph" w:styleId="ListBullet">
    <w:name w:val="List Bullet"/>
    <w:basedOn w:val="Normal"/>
    <w:uiPriority w:val="10"/>
    <w:unhideWhenUsed/>
    <w:qFormat/>
    <w:pPr>
      <w:numPr>
        <w:numId w:val="1"/>
      </w:numPr>
      <w:spacing w:before="120" w:after="200" w:line="264" w:lineRule="auto"/>
    </w:pPr>
    <w:rPr>
      <w:rFonts w:eastAsiaTheme="minorHAnsi"/>
      <w:color w:val="595959" w:themeColor="text1" w:themeTint="A6"/>
    </w:rPr>
  </w:style>
  <w:style w:type="paragraph" w:customStyle="1" w:styleId="77CE0B31FD43493999784AA730726121">
    <w:name w:val="77CE0B31FD43493999784AA730726121"/>
  </w:style>
  <w:style w:type="paragraph" w:customStyle="1" w:styleId="EAD6A8B813FA4A038502821F1A6353BF">
    <w:name w:val="EAD6A8B813FA4A038502821F1A6353BF"/>
  </w:style>
  <w:style w:type="paragraph" w:customStyle="1" w:styleId="B563D0104ABA46529F896BC527431179">
    <w:name w:val="B563D0104ABA46529F896BC527431179"/>
  </w:style>
  <w:style w:type="paragraph" w:customStyle="1" w:styleId="A09E1FE6686140C9B6365ACF8B0E67A2">
    <w:name w:val="A09E1FE6686140C9B6365ACF8B0E67A2"/>
    <w:rsid w:val="00D846AF"/>
  </w:style>
  <w:style w:type="character" w:styleId="PlaceholderText">
    <w:name w:val="Placeholder Text"/>
    <w:basedOn w:val="DefaultParagraphFont"/>
    <w:uiPriority w:val="99"/>
    <w:semiHidden/>
    <w:rsid w:val="00D846AF"/>
    <w:rPr>
      <w:color w:val="595959" w:themeColor="text1" w:themeTint="A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USE18</b:Tag>
    <b:SourceType>Report</b:SourceType>
    <b:Guid>{5620B9D8-5A3C-4D00-A7A9-F6805E4489CE}</b:Guid>
    <b:Title>Levelized Cost and Levelized Avoided Cost of New Generation Resources in the Annual Energy Outlook 2018</b:Title>
    <b:Year>2018</b:Year>
    <b:Publisher>U.S. Energy Information Administration</b:Publisher>
    <b:Author>
      <b:Author>
        <b:Corporate>U.S. Energy Information Administration</b:Corporate>
      </b:Author>
    </b:Author>
    <b:RefOrder>1</b:RefOrder>
  </b:Source>
  <b:Source>
    <b:Tag>Pea17</b:Tag>
    <b:SourceType>Book</b:SourceType>
    <b:Guid>{42A2F1AF-D085-4445-A63D-B92E1CED7606}</b:Guid>
    <b:Title>Engineering Economics, Sixth Edition</b:Title>
    <b:Year>2017</b:Year>
    <b:Author>
      <b:Author>
        <b:Corporate>Pearson Canada, Inc.</b:Corporate>
      </b:Author>
    </b:Author>
    <b:Publisher>Pearson Canada, Inc.</b:Publisher>
    <b:RefOrder>2</b:RefOrder>
  </b:Source>
</b:Sources>
</file>

<file path=customXml/itemProps1.xml><?xml version="1.0" encoding="utf-8"?>
<ds:datastoreItem xmlns:ds="http://schemas.openxmlformats.org/officeDocument/2006/customXml" ds:itemID="{B9F252A7-D2FF-454C-885F-E11AE5E23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107</TotalTime>
  <Pages>9</Pages>
  <Words>965</Words>
  <Characters>5502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"%username%"</dc:creator>
  <cp:keywords/>
  <dc:description/>
  <cp:lastModifiedBy>Thomas Abdallah</cp:lastModifiedBy>
  <cp:revision>98</cp:revision>
  <dcterms:created xsi:type="dcterms:W3CDTF">2018-04-11T18:32:00Z</dcterms:created>
  <dcterms:modified xsi:type="dcterms:W3CDTF">2018-04-11T20:19:00Z</dcterms:modified>
</cp:coreProperties>
</file>