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Calibri" w:cs="Calibri" w:eastAsia="Calibri" w:hAnsi="Calibri"/>
          <w:b/>
          <w:bCs/>
          <w:color w:val="1F4E79"/>
          <w:sz w:val="56"/>
          <w:szCs w:val="56"/>
        </w:rPr>
        <w:t xml:space="preserve">GameCube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color w:val="2E75B6"/>
          <w:sz w:val="36"/>
          <w:szCs w:val="36"/>
        </w:rPr>
        <w:t xml:space="preserve">Telepítési Dokumentáció</w:t>
      </w:r>
    </w:p>
    <w:p>
      <w:pPr>
        <w:spacing w:after="800" w:before="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Helyi és szerver alapú telepítés</w:t>
      </w:r>
    </w:p>
    <w:p>
      <w:pPr>
        <w:pBdr>
          <w:bottom w:val="single" w:color="DDDDDD" w:sz="4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1. Rendszerkövetelmények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 GameCube projekt futtatásához az alábbi szoftverek szükségesek:</w:t>
      </w:r>
    </w:p>
    <w:p>
      <w:pPr>
        <w:spacing w:after="120" w:before="120"/>
      </w:pPr>
      <w:tbl>
        <w:tblPr>
          <w:tblW w:type="dxa" w:w="9026"/>
          <w:tblBorders>
            <w:top w:val="single" w:color="auto" w:sz="4"/>
            <w:left w:val="single" w:color="auto" w:sz="4"/>
            <w:bottom w:val="single" w:color="auto" w:sz="4"/>
            <w:right w:val="single" w:color="auto" w:sz="4"/>
            <w:insideH w:val="single" w:color="auto" w:sz="4"/>
            <w:insideV w:val="single" w:color="auto" w:sz="4"/>
          </w:tblBorders>
        </w:tblPr>
        <w:tblGrid>
          <w:gridCol w:w="2600"/>
          <w:gridCol w:w="1800"/>
          <w:gridCol w:w="4626"/>
        </w:tblGrid>
        <w:tr>
          <w:tc>
            <w:tcPr>
              <w:tcW w:type="dxa" w:w="260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1F4E79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rFonts w:ascii="Calibri" w:cs="Calibri" w:eastAsia="Calibri" w:hAnsi="Calibri"/>
                  <w:b/>
                  <w:bCs/>
                  <w:color w:val="FFFFFF"/>
                  <w:sz w:val="20"/>
                  <w:szCs w:val="20"/>
                </w:rPr>
                <w:t xml:space="preserve">Komponens</w:t>
              </w:r>
            </w:p>
          </w:tc>
          <w:tc>
            <w:tcPr>
              <w:tcW w:type="dxa" w:w="180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1F4E79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rFonts w:ascii="Calibri" w:cs="Calibri" w:eastAsia="Calibri" w:hAnsi="Calibri"/>
                  <w:b/>
                  <w:bCs/>
                  <w:color w:val="FFFFFF"/>
                  <w:sz w:val="20"/>
                  <w:szCs w:val="20"/>
                </w:rPr>
                <w:t xml:space="preserve">Min. verzió</w:t>
              </w:r>
            </w:p>
          </w:tc>
          <w:tc>
            <w:tcPr>
              <w:tcW w:type="dxa" w:w="4626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1F4E79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rFonts w:ascii="Calibri" w:cs="Calibri" w:eastAsia="Calibri" w:hAnsi="Calibri"/>
                  <w:b/>
                  <w:bCs/>
                  <w:color w:val="FFFFFF"/>
                  <w:sz w:val="20"/>
                  <w:szCs w:val="20"/>
                </w:rPr>
                <w:t xml:space="preserve">Megjegyzés</w:t>
              </w:r>
            </w:p>
          </w:tc>
        </w:tr>
        <w:tr>
          <w:tc>
            <w:tcPr>
              <w:tcW w:type="dxa" w:w="260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8F9FA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rFonts w:ascii="Calibri" w:cs="Calibri" w:eastAsia="Calibri" w:hAnsi="Calibri"/>
                  <w:b w:val="false"/>
                  <w:bCs w:val="false"/>
                  <w:color w:val="000000"/>
                  <w:sz w:val="20"/>
                  <w:szCs w:val="20"/>
                </w:rPr>
                <w:t xml:space="preserve">PHP</w:t>
              </w:r>
            </w:p>
          </w:tc>
          <w:tc>
            <w:tcPr>
              <w:tcW w:type="dxa" w:w="180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8F9FA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rFonts w:ascii="Calibri" w:cs="Calibri" w:eastAsia="Calibri" w:hAnsi="Calibri"/>
                  <w:b w:val="false"/>
                  <w:bCs w:val="false"/>
                  <w:color w:val="000000"/>
                  <w:sz w:val="20"/>
                  <w:szCs w:val="20"/>
                </w:rPr>
                <w:t xml:space="preserve">8.1+</w:t>
              </w:r>
            </w:p>
          </w:tc>
          <w:tc>
            <w:tcPr>
              <w:tcW w:type="dxa" w:w="4626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8F9FA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rFonts w:ascii="Calibri" w:cs="Calibri" w:eastAsia="Calibri" w:hAnsi="Calibri"/>
                  <w:b w:val="false"/>
                  <w:bCs w:val="false"/>
                  <w:color w:val="000000"/>
                  <w:sz w:val="20"/>
                  <w:szCs w:val="20"/>
                </w:rPr>
                <w:t xml:space="preserve">PDO extension kötelező (általában alapértelmezett)</w:t>
              </w:r>
            </w:p>
          </w:tc>
        </w:tr>
        <w:tr>
          <w:tc>
            <w:tcPr>
              <w:tcW w:type="dxa" w:w="260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FFFFF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rFonts w:ascii="Calibri" w:cs="Calibri" w:eastAsia="Calibri" w:hAnsi="Calibri"/>
                  <w:b w:val="false"/>
                  <w:bCs w:val="false"/>
                  <w:color w:val="000000"/>
                  <w:sz w:val="20"/>
                  <w:szCs w:val="20"/>
                </w:rPr>
                <w:t xml:space="preserve">MySQL</w:t>
              </w:r>
            </w:p>
          </w:tc>
          <w:tc>
            <w:tcPr>
              <w:tcW w:type="dxa" w:w="180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FFFFF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rFonts w:ascii="Calibri" w:cs="Calibri" w:eastAsia="Calibri" w:hAnsi="Calibri"/>
                  <w:b w:val="false"/>
                  <w:bCs w:val="false"/>
                  <w:color w:val="000000"/>
                  <w:sz w:val="20"/>
                  <w:szCs w:val="20"/>
                </w:rPr>
                <w:t xml:space="preserve">8.0+</w:t>
              </w:r>
            </w:p>
          </w:tc>
          <w:tc>
            <w:tcPr>
              <w:tcW w:type="dxa" w:w="4626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FFFFF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rFonts w:ascii="Calibri" w:cs="Calibri" w:eastAsia="Calibri" w:hAnsi="Calibri"/>
                  <w:b w:val="false"/>
                  <w:bCs w:val="false"/>
                  <w:color w:val="000000"/>
                  <w:sz w:val="20"/>
                  <w:szCs w:val="20"/>
                </w:rPr>
                <w:t xml:space="preserve">MariaDB 10.6+ is megfelelő</w:t>
              </w:r>
            </w:p>
          </w:tc>
        </w:tr>
        <w:tr>
          <w:tc>
            <w:tcPr>
              <w:tcW w:type="dxa" w:w="260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8F9FA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rFonts w:ascii="Calibri" w:cs="Calibri" w:eastAsia="Calibri" w:hAnsi="Calibri"/>
                  <w:b w:val="false"/>
                  <w:bCs w:val="false"/>
                  <w:color w:val="000000"/>
                  <w:sz w:val="20"/>
                  <w:szCs w:val="20"/>
                </w:rPr>
                <w:t xml:space="preserve">Apache</w:t>
              </w:r>
            </w:p>
          </w:tc>
          <w:tc>
            <w:tcPr>
              <w:tcW w:type="dxa" w:w="180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8F9FA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rFonts w:ascii="Calibri" w:cs="Calibri" w:eastAsia="Calibri" w:hAnsi="Calibri"/>
                  <w:b w:val="false"/>
                  <w:bCs w:val="false"/>
                  <w:color w:val="000000"/>
                  <w:sz w:val="20"/>
                  <w:szCs w:val="20"/>
                </w:rPr>
                <w:t xml:space="preserve">2.4+</w:t>
              </w:r>
            </w:p>
          </w:tc>
          <w:tc>
            <w:tcPr>
              <w:tcW w:type="dxa" w:w="4626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8F9FA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rFonts w:ascii="Calibri" w:cs="Calibri" w:eastAsia="Calibri" w:hAnsi="Calibri"/>
                  <w:b w:val="false"/>
                  <w:bCs w:val="false"/>
                  <w:color w:val="000000"/>
                  <w:sz w:val="20"/>
                  <w:szCs w:val="20"/>
                </w:rPr>
                <w:t xml:space="preserve">mod_rewrite engedélyezve (vagy Nginx)</w:t>
              </w:r>
            </w:p>
          </w:tc>
        </w:tr>
        <w:tr>
          <w:tc>
            <w:tcPr>
              <w:tcW w:type="dxa" w:w="260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FFFFF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rFonts w:ascii="Calibri" w:cs="Calibri" w:eastAsia="Calibri" w:hAnsi="Calibri"/>
                  <w:b w:val="false"/>
                  <w:bCs w:val="false"/>
                  <w:color w:val="000000"/>
                  <w:sz w:val="20"/>
                  <w:szCs w:val="20"/>
                </w:rPr>
                <w:t xml:space="preserve">MAMP</w:t>
              </w:r>
            </w:p>
          </w:tc>
          <w:tc>
            <w:tcPr>
              <w:tcW w:type="dxa" w:w="180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FFFFF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rFonts w:ascii="Calibri" w:cs="Calibri" w:eastAsia="Calibri" w:hAnsi="Calibri"/>
                  <w:b w:val="false"/>
                  <w:bCs w:val="false"/>
                  <w:color w:val="000000"/>
                  <w:sz w:val="20"/>
                  <w:szCs w:val="20"/>
                </w:rPr>
                <w:t xml:space="preserve">6.x+</w:t>
              </w:r>
            </w:p>
          </w:tc>
          <w:tc>
            <w:tcPr>
              <w:tcW w:type="dxa" w:w="4626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FFFFF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rFonts w:ascii="Calibri" w:cs="Calibri" w:eastAsia="Calibri" w:hAnsi="Calibri"/>
                  <w:b w:val="false"/>
                  <w:bCs w:val="false"/>
                  <w:color w:val="000000"/>
                  <w:sz w:val="20"/>
                  <w:szCs w:val="20"/>
                </w:rPr>
                <w:t xml:space="preserve">Helyi fejlesztéshez ajánlott (Mac)</w:t>
              </w:r>
            </w:p>
          </w:tc>
        </w:tr>
        <w:tr>
          <w:tc>
            <w:tcPr>
              <w:tcW w:type="dxa" w:w="260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8F9FA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rFonts w:ascii="Calibri" w:cs="Calibri" w:eastAsia="Calibri" w:hAnsi="Calibri"/>
                  <w:b w:val="false"/>
                  <w:bCs w:val="false"/>
                  <w:color w:val="000000"/>
                  <w:sz w:val="20"/>
                  <w:szCs w:val="20"/>
                </w:rPr>
                <w:t xml:space="preserve">XAMPP</w:t>
              </w:r>
            </w:p>
          </w:tc>
          <w:tc>
            <w:tcPr>
              <w:tcW w:type="dxa" w:w="180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8F9FA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rFonts w:ascii="Calibri" w:cs="Calibri" w:eastAsia="Calibri" w:hAnsi="Calibri"/>
                  <w:b w:val="false"/>
                  <w:bCs w:val="false"/>
                  <w:color w:val="000000"/>
                  <w:sz w:val="20"/>
                  <w:szCs w:val="20"/>
                </w:rPr>
                <w:t xml:space="preserve">8.x+</w:t>
              </w:r>
            </w:p>
          </w:tc>
          <w:tc>
            <w:tcPr>
              <w:tcW w:type="dxa" w:w="4626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8F9FA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rFonts w:ascii="Calibri" w:cs="Calibri" w:eastAsia="Calibri" w:hAnsi="Calibri"/>
                  <w:b w:val="false"/>
                  <w:bCs w:val="false"/>
                  <w:color w:val="000000"/>
                  <w:sz w:val="20"/>
                  <w:szCs w:val="20"/>
                </w:rPr>
                <w:t xml:space="preserve">Helyi fejlesztéshez ajánlott (Windows/Linux)</w:t>
              </w:r>
            </w:p>
          </w:tc>
        </w:tr>
      </w:tbl>
    </w:p>
    <w:p>
      <w:pPr>
        <w:shd w:fill="FFF9C4" w:val="clear"/>
        <w:spacing w:after="120" w:before="120"/>
        <w:ind w:left="360"/>
      </w:pPr>
      <w:r>
        <w:rPr>
          <w:rFonts w:ascii="Calibri" w:cs="Calibri" w:eastAsia="Calibri" w:hAnsi="Calibri"/>
          <w:color w:val="856404"/>
          <w:sz w:val="19"/>
          <w:szCs w:val="19"/>
        </w:rPr>
        <w:t xml:space="preserve">⚠  PHP-nak engedélyezett extension-ök: pdo_mysql, openssl (JWT-hez), mbstring. MAMP/XAMPP esetén ezek általában alapból be vannak kapcsolva.</w:t>
      </w:r>
    </w:p>
    <w:p>
      <w:pPr>
        <w:pBdr>
          <w:bottom w:val="single" w:color="DDDDDD" w:sz="4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2. Helyi telepítés – MAMP (Mac)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2.1 MAMP előkészítés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MAMP letöltése és telepítése: https://www.mamp.info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MAMP megnyitása → Start gomb → Apache és MySQL elindítása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Ellenőrzés: http://localhost:8888 betöltődik (MAMP kezdőlap)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PHPMyAdmin elérhető: http://localhost:8888/phpMyAdmin (user: root, pass: root)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2.2 Projekt elhelyezése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A gamecube mappa másolása a MAMP htdocs mappájába: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/Applications/MAMP/htdocs/gamecube/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Ellenőrzés: a mappa tartalma legyen api/, config/, database/, public/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2.3 Adatbázis importálása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PHPMyAdmin megnyitása: http://localhost:8888/phpMyAdmin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"Új" adatbázis létrehozása → Név: gamecube → Karakterkészlet: utf8mb4_unicode_ci → Létrehozás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"gamecube" adatbázis kiválasztása bal oldalon → "Importálás" fül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"Tallózás" → database/gamecube.sql fájl kiválasztása → Végrehajtás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Sikeres importálás után 10 tábla jelenik meg a bal oldali listában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2.4 Konfigurálás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config/db.php megnyitása szövegszerkesztővel: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$db_host     = "localhost";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$db_user     = "root";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$db_password = "root";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$db_name     = "gamecube";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$db_port     = 8889;    // MAMP MySQL portja</w:t>
      </w:r>
    </w:p>
    <w:p>
      <w:pPr>
        <w:shd w:fill="FFF9C4" w:val="clear"/>
        <w:spacing w:after="120" w:before="120"/>
        <w:ind w:left="360"/>
      </w:pPr>
      <w:r>
        <w:rPr>
          <w:rFonts w:ascii="Calibri" w:cs="Calibri" w:eastAsia="Calibri" w:hAnsi="Calibri"/>
          <w:color w:val="856404"/>
          <w:sz w:val="19"/>
          <w:szCs w:val="19"/>
        </w:rPr>
        <w:t xml:space="preserve">⚠  MAMP esetén a MySQL port alapból 8889, nem 3306. Ha megváltozott, a MAMP → Preferences → Ports menüben ellenőrizhető.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2.5 Elindítás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Böngészőben: http://localhost:8888/gamecube/public/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Bejelentkezési adatok: admin / password  vagy  testuser / password</w:t>
      </w:r>
    </w:p>
    <w:p>
      <w:pPr>
        <w:shd w:fill="E2F0D9" w:val="clear"/>
        <w:spacing w:after="80" w:before="80"/>
        <w:ind w:left="360"/>
      </w:pPr>
      <w:r>
        <w:rPr>
          <w:rFonts w:ascii="Calibri" w:cs="Calibri" w:eastAsia="Calibri" w:hAnsi="Calibri"/>
          <w:color w:val="1d6f42"/>
          <w:sz w:val="19"/>
          <w:szCs w:val="19"/>
        </w:rPr>
        <w:t xml:space="preserve">✓  A főoldal betöltődik, a termékek megjelennek → sikeres telepítés</w:t>
      </w:r>
    </w:p>
    <w:p>
      <w:pPr>
        <w:pBdr>
          <w:bottom w:val="single" w:color="DDDDDD" w:sz="4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3. Helyi telepítés – XAMPP (Windows / Linux)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3.1 XAMPP előkészítés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XAMPP letöltése: https://www.apachefriends.org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XAMPP Control Panel megnyitása → Apache és MySQL Start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PHPMyAdmin: http://localhost/phpmyadmin (user: root, pass: üres)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3.2 Projekt elhelyezése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gamecube mappa másolása: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C:\xampp\htdocs\gamecube\        (Windows)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/opt/lampp/htdocs/gamecube/        (Linux)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3.3 Adatbázis importálása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Ugyanaz mint MAMP esetén (ld. 2.3 fejezet), azzal a különbséggel, hogy a PHPMyAdmin a http://localhost/phpmyadmin címen érhető el.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3.4 Konfigurálás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config/db.php módosítása: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$db_host     = "localhost";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$db_user     = "root";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$db_password = "";        // XAMPP-on alapból üres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$db_name     = "gamecube";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$db_port     = 3306;      // XAMPP standard port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3.5 Elindítás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Böngészőben: http://localhost/gamecube/public/</w:t>
      </w:r>
    </w:p>
    <w:p>
      <w:pPr>
        <w:shd w:fill="E2F0D9" w:val="clear"/>
        <w:spacing w:after="80" w:before="80"/>
        <w:ind w:left="360"/>
      </w:pPr>
      <w:r>
        <w:rPr>
          <w:rFonts w:ascii="Calibri" w:cs="Calibri" w:eastAsia="Calibri" w:hAnsi="Calibri"/>
          <w:color w:val="1d6f42"/>
          <w:sz w:val="19"/>
          <w:szCs w:val="19"/>
        </w:rPr>
        <w:t xml:space="preserve">✓  A főoldal betöltődik → sikeres telepítés</w:t>
      </w:r>
    </w:p>
    <w:p>
      <w:pPr>
        <w:pBdr>
          <w:bottom w:val="single" w:color="DDDDDD" w:sz="4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4. Email konfiguráció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Az alkalmazás Gmail SMTP-n keresztül küld email értesítőket. A hitelesítő adatok a config/smtp_mailer.php fájlban találhatók: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$host    = "smtp.gmail.com";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$port    = 465;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$user    = "Gamecube172604@gmail.com";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$pass    = "acyw cyeg zpnf inmc";   // Gmail App Password</w:t>
      </w:r>
    </w:p>
    <w:p>
      <w:pPr>
        <w:shd w:fill="FFF9C4" w:val="clear"/>
        <w:spacing w:after="120" w:before="120"/>
        <w:ind w:left="360"/>
      </w:pPr>
      <w:r>
        <w:rPr>
          <w:rFonts w:ascii="Calibri" w:cs="Calibri" w:eastAsia="Calibri" w:hAnsi="Calibri"/>
          <w:color w:val="856404"/>
          <w:sz w:val="19"/>
          <w:szCs w:val="19"/>
        </w:rPr>
        <w:t xml:space="preserve">⚠  Ha az email küldés nem működik, ellenőrizd hogy a Gmail fiókban be van-e kapcsolva a kétlépéses hitelesítés és az App Password érvényes-e. Az App Password a Google Fiók → Biztonság → Alkalmazásjelszavak menüben kezelhető.</w:t>
      </w:r>
    </w:p>
    <w:p>
      <w:pPr>
        <w:pBdr>
          <w:bottom w:val="single" w:color="DDDDDD" w:sz="4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5. Alapértelmezett fiókok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4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Felhasználónév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Jelszó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Szerepkör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admin@gamecube.com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password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testuser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test@example.com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password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user</w:t>
            </w:r>
          </w:p>
        </w:tc>
      </w:tr>
    </w:tbl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Admin panel elérése: http://localhost:8888/gamecube/public/admin-login.html</w:t>
      </w:r>
    </w:p>
    <w:p>
      <w:pPr>
        <w:shd w:fill="FFF9C4" w:val="clear"/>
        <w:spacing w:after="120" w:before="120"/>
        <w:ind w:left="360"/>
      </w:pPr>
      <w:r>
        <w:rPr>
          <w:rFonts w:ascii="Calibri" w:cs="Calibri" w:eastAsia="Calibri" w:hAnsi="Calibri"/>
          <w:color w:val="856404"/>
          <w:sz w:val="19"/>
          <w:szCs w:val="19"/>
        </w:rPr>
        <w:t xml:space="preserve">⚠  Éles szervert indítás előtt az admin jelszót feltétlenül módosítsd, és a config/db.php-ban lévő adatbázis hitelesítő adatokat is cseréld le.</w:t>
      </w:r>
    </w:p>
    <w:p>
      <w:pPr>
        <w:pBdr>
          <w:bottom w:val="single" w:color="DDDDDD" w:sz="4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6. Általános hibák és megoldásuk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Hiba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Megoldás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Fehér oldal / 500 hiba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PHP hibanaplót ellenőrizd (MAMP: /Applications/MAMP/logs/php_error.log). Leggyakoribb ok: db.php portszám eltérés.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 termékek nem töltődnek be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Böngésző konzol (F12) → Network fül → products.php hívás válaszát ellenőrizd. Ha 500, az adatbázis kapcsolat hibás.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Képek nem jelennek meg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 public/assets/images/ mappának tartalmaznia kell a .png fájlokat. Ellenőrizd, hogy a zip kicsomagolásakor megmaradtak-e.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Email nem érkezik meg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config/smtp_mailer.php App Password ellenőrzése. Gmail esetén: fiók → Biztonság → Alkalmazásjelszavak.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Bejelentkezés után 403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JWT token lejárt vagy érvénytelen. Jelentkezz ki és be újra. Ellenőrizd a config/jwt_helper.php SECRET_KEY értékét.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PHPMyAdmin: 1136 hiba import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Régi gamecube.sql-t próbálsz importálni. Csak a database/gamecube.sql fájlt használd, ami tartalmazza a seller_id és is_approved oszlopokat.</w:t>
            </w:r>
          </w:p>
        </w:tc>
      </w:tr>
    </w:tbl>
    <w:sectPr>
      <w:pgSz w:w="11906" w:h="16838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alibri" w:cs="Calibri" w:eastAsia="Calibri" w:hAnsi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Calibri" w:cs="Calibri" w:eastAsia="Calibri" w:hAnsi="Calibr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2026-04-21T14:10:49.751Z</dcterms:created>
  <dcterms:modified xsi:type="dcterms:W3CDTF">2026-04-21T14:10:49.752Z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