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w:jc w:val="left"/></w:pPr><w:r><w:rPr><w:b/><w:bCs/><w:color w:val="161e39"/><w:sz w:val="36"/><w:szCs w:val="36"/></w:rPr><w:t xml:space="preserve">Curio Dashboard — Backend Handoff: MT / B2B / Credit &amp; Debit Notes</w:t></w:r></w:p><w:p><w:pPr><w:spacing w:after="100"/></w:pPr><w:r><w:rPr><w:i/><w:iCs/><w:color w:val="6b7280"/><w:sz w:val="20"/><w:szCs w:val="20"/></w:rPr><w:t xml:space="preserve">Himlahar Harvests Pvt Ltd · 14 October 2026 · For Mozam + Sahil</w:t></w:r></w:p><w:p><w:pPr><w:spacing w:after="120"/></w:pPr><w:r><w:t xml:space="preserve"></w:t></w:r></w:p><w:p><w:pPr><w:pStyle w:val="Heading1"/><w:spacing w:after="120" w:before="360"/></w:pPr><w:r><w:rPr><w:b/><w:bCs/><w:color w:val="161e39"/><w:sz w:val="28"/><w:szCs w:val="28"/></w:rPr><w:t xml:space="preserve">1. What&apos;s done — ready to use</w:t></w:r></w:p><w:p><w:pPr><w:pStyle w:val="ListParagraph"/><w:numPr><w:ilvl w:val="0"/><w:numId w:val="2"/></w:numPr><w:spacing w:after="60"/></w:pPr><w:r><w:rPr><w:b/><w:bCs/><w:sz w:val="22"/><w:szCs w:val="22"/></w:rPr><w:t xml:space="preserve">MT_Customers sheet </w:t></w:r><w:r><w:rPr><w:sz w:val="22"/><w:szCs w:val="22"/></w:rPr><w:t xml:space="preserve">— seeded with 3 confirmed MT retail chains: NEW MODERN BAZAAR, FOOD SQUARE-LANDCRAFT, PICK-N-CHOOSE SUPERMARKET BAGAAT.</w:t></w:r></w:p><w:p><w:pPr><w:pStyle w:val="ListParagraph"/><w:numPr><w:ilvl w:val="0"/><w:numId w:val="2"/></w:numPr><w:spacing w:after="60"/></w:pPr><w:r><w:rPr><w:b/><w:bCs/><w:sz w:val="22"/><w:szCs w:val="22"/></w:rPr><w:t xml:space="preserve">B2B_Customers sheet </w:t></w:r><w:r><w:rPr><w:sz w:val="22"/><w:szCs w:val="22"/></w:rPr><w:t xml:space="preserve">— seeded with 6 confirmed B2B accounts: Kissansay (biggest, ₹3.02Cr), Lulu (₹1.17Cr), Daulat Ram, Metamorphosis, Udhampur Apple, Baba Ghulam.</w:t></w:r></w:p><w:p><w:pPr><w:pStyle w:val="ListParagraph"/><w:numPr><w:ilvl w:val="0"/><w:numId w:val="2"/></w:numPr><w:spacing w:after="60"/></w:pPr><w:r><w:rPr><w:b/><w:bCs/><w:sz w:val="22"/><w:szCs w:val="22"/></w:rPr><w:t xml:space="preserve">Discontinued_Customers sheet </w:t></w:r><w:r><w:rPr><w:sz w:val="22"/><w:szCs w:val="22"/></w:rPr><w:t xml:space="preserve">— JLV, MLVC (archive, don&apos;t delete).</w:t></w:r></w:p><w:p><w:pPr><w:pStyle w:val="ListParagraph"/><w:numPr><w:ilvl w:val="0"/><w:numId w:val="2"/></w:numPr><w:spacing w:after="60"/></w:pPr><w:r><w:rPr><w:b/><w:bCs/><w:sz w:val="22"/><w:szCs w:val="22"/></w:rPr><w:t xml:space="preserve">New MT page on dashboard </w:t></w:r><w:r><w:rPr><w:sz w:val="22"/><w:szCs w:val="22"/></w:rPr><w:t xml:space="preserve">— live at dashboard.curiolifestyle.com/#mt-overview. Shows 3 chains with KPIs, chain table, open invoices with aging. Computed client-side from ?q=zoho_invoices filtered to MT_CUSTOMERS whitelist. Fully functional.</w:t></w:r></w:p><w:p><w:pPr><w:pStyle w:val="ListParagraph"/><w:numPr><w:ilvl w:val="0"/><w:numId w:val="2"/></w:numPr><w:spacing w:after="60"/></w:pPr><w:r><w:rPr><w:b/><w:bCs/><w:sz w:val="22"/><w:szCs w:val="22"/></w:rPr><w:t xml:space="preserve">New B2B page on dashboard </w:t></w:r><w:r><w:rPr><w:sz w:val="22"/><w:szCs w:val="22"/></w:rPr><w:t xml:space="preserve">— live. Shows 6 accounts with Kissansay prominent. Same KPIs + table + aging as MT. Fully functional.</w:t></w:r></w:p><w:p><w:pPr><w:pStyle w:val="ListParagraph"/><w:numPr><w:ilvl w:val="0"/><w:numId w:val="2"/></w:numPr><w:spacing w:after="60"/></w:pPr><w:r><w:rPr><w:b/><w:bCs/><w:sz w:val="22"/><w:szCs w:val="22"/></w:rPr><w:t xml:space="preserve">MT_B2B_Sync.gs file in Apps Script project </w:t></w:r><w:r><w:rPr><w:sz w:val="22"/><w:szCs w:val="22"/></w:rPr><w:t xml:space="preserve">— contains seedMtB2bCustomers (idempotent, run once if sheets missing), getMtCustomers_, getB2bCustomers_, getMtRollup_, getB2bRollup_, saveMtStoreReport, plus V2 line-item sync functions (blocked by the issue in Section 2).</w:t></w:r></w:p><w:p><w:pPr><w:spacing w:after="120"/></w:pPr><w:r><w:t xml:space="preserve"></w:t></w:r></w:p><w:p><w:pPr><w:pStyle w:val="Heading1"/><w:spacing w:after="120" w:before="360"/></w:pPr><w:r><w:rPr><w:b/><w:bCs/><w:color w:val="161e39"/><w:sz w:val="28"/><w:szCs w:val="28"/></w:rPr><w:t xml:space="preserve">2. What&apos;s blocked — the one Zoho bug</w:t></w:r></w:p><w:p><w:pPr><w:spacing w:after="100"/></w:pPr><w:r><w:rPr><w:sz w:val="22"/><w:szCs w:val="22"/></w:rPr><w:t xml:space="preserve">Zoho detail-endpoint calls (/invoices/{id}) fail with &apos;API endpoint URL is not valid&apos; when called through the existing zohoFetch_() helper in Zoho_Sync.gs. The LIST endpoint works fine. The DETAIL endpoint — needed for line_items (per-SKU breakdown) — doesn&apos;t.</w:t></w:r></w:p><w:p><w:pPr><w:pStyle w:val="Heading3"/><w:spacing w:after="80" w:before="180"/></w:pPr><w:r><w:rPr><w:b/><w:bCs/><w:color w:val="0c1731"/><w:sz w:val="20"/><w:szCs w:val="20"/></w:rPr><w:t xml:space="preserve">Root cause hypothesis</w:t></w:r></w:p><w:p><w:pPr><w:pStyle w:val="ListParagraph"/><w:numPr><w:ilvl w:val="0"/><w:numId w:val="2"/></w:numPr><w:spacing w:after="60"/></w:pPr><w:r><w:rPr><w:sz w:val="22"/><w:szCs w:val="22"/></w:rPr><w:t xml:space="preserve">The existing zohoFetch_() helper probably either (a) prepends a URL template that only works for list endpoints, (b) doesn&apos;t pass organization_id as a query param on detail endpoints, or (c) URL-encodes the path in a way that breaks /invoices/{id}.</w:t></w:r></w:p><w:p><w:pPr><w:pStyle w:val="ListParagraph"/><w:numPr><w:ilvl w:val="0"/><w:numId w:val="2"/></w:numPr><w:spacing w:after="60"/></w:pPr><w:r><w:rPr><w:sz w:val="22"/><w:szCs w:val="22"/></w:rPr><w:t xml:space="preserve">Confirmed working via Zoho MCP directly: GET https://www.zohoapis.in/books/v3/invoices/{invoice_id}?organization_id=60033504976 with Authorization: Zoho-oauthtoken {token} returns the invoice with line_items array.</w:t></w:r></w:p><w:p><w:pPr><w:pStyle w:val="ListParagraph"/><w:numPr><w:ilvl w:val="0"/><w:numId w:val="2"/></w:numPr><w:spacing w:after="60"/></w:pPr><w:r><w:rPr><w:sz w:val="22"/><w:szCs w:val="22"/></w:rPr><w:t xml:space="preserve">ORG ID (ELITE plan, live): 60033504976. The FREE plan org 60047515850 is a duplicate — ignore.</w:t></w:r></w:p><w:p><w:pPr><w:pStyle w:val="Heading3"/><w:spacing w:after="80" w:before="180"/></w:pPr><w:r><w:rPr><w:b/><w:bCs/><w:color w:val="0c1731"/><w:sz w:val="20"/><w:szCs w:val="20"/></w:rPr><w:t xml:space="preserve">What to try</w:t></w:r></w:p><w:p><w:pPr><w:pStyle w:val="ListParagraph"/><w:numPr><w:ilvl w:val="0"/><w:numId w:val="2"/></w:numPr><w:spacing w:after="60"/></w:pPr><w:r><w:rPr><w:b/><w:bCs/><w:sz w:val="22"/><w:szCs w:val="22"/></w:rPr><w:t xml:space="preserve">Open Zoho_Sync.gs </w:t></w:r><w:r><w:rPr><w:sz w:val="22"/><w:szCs w:val="22"/></w:rPr><w:t xml:space="preserve">and read the zohoFetch_() function. Check whether its URL template is hardcoded, whether it strips path segments after /invoices/, or whether it only appends organization_id to the first query level.</w:t></w:r></w:p><w:p><w:pPr><w:pStyle w:val="ListParagraph"/><w:numPr><w:ilvl w:val="0"/><w:numId w:val="2"/></w:numPr><w:spacing w:after="60"/></w:pPr><w:r><w:rPr><w:b/><w:bCs/><w:sz w:val="22"/><w:szCs w:val="22"/></w:rPr><w:t xml:space="preserve">Quick fix </w:t></w:r><w:r><w:rPr><w:sz w:val="22"/><w:szCs w:val="22"/></w:rPr><w:t xml:space="preserve">— write a parallel helper zohoFetchDetail_(path) that uses UrlFetchApp.fetch() directly:</w:t></w:r></w:p><0/><w:p><w:pPr><w:pStyle w:val="ListParagraph"/><w:numPr><w:ilvl w:val="0"/><w:numId w:val="2"/></w:numPr><w:spacing w:after="60"/></w:pPr><w:r><w:rPr><w:b/><w:bCs/><w:sz w:val="22"/><w:szCs w:val="22"/></w:rPr><w:t xml:space="preserve">Then swap </w:t></w:r><w:r><w:rPr><w:sz w:val="22"/><w:szCs w:val="22"/></w:rPr><w:t xml:space="preserve">the line in syncZohoInvoiceLinesForCustomersV2_ (in MT_B2B_Sync.gs) from zohoFetch_(&apos;/invoices/&apos; + invoiceId + &apos;?organization_id=...&apos;) to zohoFetchDetail_(&apos;/invoices/&apos; + invoiceId).</w:t></w:r></w:p><w:p><w:pPr><w:spacing w:after="120"/></w:pPr><w:r><w:t xml:space="preserve"></w:t></w:r></w:p><w:p><w:pPr><w:pStyle w:val="Heading1"/><w:spacing w:after="120" w:before="360"/></w:pPr><w:r><w:rPr><w:b/><w:bCs/><w:color w:val="161e39"/><w:sz w:val="28"/><w:szCs w:val="28"/></w:rPr><w:t xml:space="preserve">3. New sync work to add</w:t></w:r></w:p><w:p><w:pPr><w:pStyle w:val="Heading3"/><w:spacing w:after="80" w:before="180"/></w:pPr><w:r><w:rPr><w:b/><w:bCs/><w:color w:val="0c1731"/><w:sz w:val="20"/><w:szCs w:val="20"/></w:rPr><w:t xml:space="preserve">3.1 Credit notes sync (small)</w:t></w:r></w:p><w:p><w:pPr><w:spacing w:after="100"/></w:pPr><w:r><w:rPr><w:sz w:val="22"/><w:szCs w:val="22"/></w:rPr><w:t xml:space="preserve">Credit notes reduce invoice totals (returns, damages, disputes). Dashboard currently shows GROSS shipped, which overstates revenue. Fix:</w:t></w:r></w:p><w:p><w:pPr><w:spacing w:after="60"/></w:pPr><w:r><w:rPr><w:rFonts w:ascii="Courier New" w:cs="Courier New" w:eastAsia="Courier New" w:hAnsi="Courier New"/><w:color w:val="0c1731"/><w:sz w:val="20"/><w:szCs w:val="20"/></w:rPr><w:t xml:space="preserve">function syncZohoCreditNotes() {</w:t></w:r></w:p><w:p><w:pPr><w:spacing w:after="60"/></w:pPr><w:r><w:rPr><w:rFonts w:ascii="Courier New" w:cs="Courier New" w:eastAsia="Courier New" w:hAnsi="Courier New"/><w:color w:val="0c1731"/><w:sz w:val="20"/><w:szCs w:val="20"/></w:rPr><w:t xml:space="preserve">  const sh = ensureMtSheet_(&apos;Zoho_Credit_Notes&apos;, [&apos;Timestamp&apos;,&apos;ID&apos;,&apos;Number&apos;,&apos;Date&apos;,&apos;Customer_ID&apos;,&apos;Customer_Name&apos;,&apos;Reference&apos;,&apos;Status&apos;,&apos;Total&apos;,&apos;Balance&apos;]);</w:t></w:r></w:p><w:p><w:pPr><w:spacing w:after="60"/></w:pPr><w:r><w:rPr><w:rFonts w:ascii="Courier New" w:cs="Courier New" w:eastAsia="Courier New" w:hAnsi="Courier New"/><w:color w:val="0c1731"/><w:sz w:val="20"/><w:szCs w:val="20"/></w:rPr><w:t xml:space="preserve">  // clear sheet, loop with zohoFetchDetail_(&apos;/creditnotes&amp;page=N&apos;) or the list form</w:t></w:r></w:p><w:p><w:pPr><w:spacing w:after="60"/></w:pPr><w:r><w:rPr><w:rFonts w:ascii="Courier New" w:cs="Courier New" w:eastAsia="Courier New" w:hAnsi="Courier New"/><w:color w:val="0c1731"/><w:sz w:val="20"/><w:szCs w:val="20"/></w:rPr><w:t xml:space="preserve">  // write all rows</w:t></w:r></w:p><w:p><w:pPr><w:spacing w:after="60"/></w:pPr><w:r><w:rPr><w:rFonts w:ascii="Courier New" w:cs="Courier New" w:eastAsia="Courier New" w:hAnsi="Courier New"/><w:color w:val="0c1731"/><w:sz w:val="20"/><w:szCs w:val="20"/></w:rPr><w:t xml:space="preserve">}</w:t></w:r></w:p><w:p><w:pPr><w:spacing w:after="100"/></w:pPr><w:r><w:rPr><w:sz w:val="22"/><w:szCs w:val="22"/></w:rPr><w:t xml:space="preserve">Already drafted in MT_B2B_Sync.gs — just needs the fixed detail-fetch helper.</w:t></w:r></w:p><w:p><w:pPr><w:pStyle w:val="Heading3"/><w:spacing w:after="80" w:before="180"/></w:pPr><w:r><w:rPr><w:b/><w:bCs/><w:color w:val="0c1731"/><w:sz w:val="20"/><w:szCs w:val="20"/></w:rPr><w:t xml:space="preserve">3.2 Debit notes sync (small)</w:t></w:r></w:p><w:p><w:pPr><w:spacing w:after="100"/></w:pPr><w:r><w:rPr><w:sz w:val="22"/><w:szCs w:val="22"/></w:rPr><w:t xml:space="preserve">Debit notes / vendor credits. Same pattern as credit notes:</w:t></w:r></w:p><w:p><w:pPr><w:spacing w:after="60"/></w:pPr><w:r><w:rPr><w:rFonts w:ascii="Courier New" w:cs="Courier New" w:eastAsia="Courier New" w:hAnsi="Courier New"/><w:color w:val="0c1731"/><w:sz w:val="20"/><w:szCs w:val="20"/></w:rPr><w:t xml:space="preserve">zohoFetch_(&apos;/vendorcredits?organization_id=60033504976&amp;per_page=200&apos;)</w:t></w:r></w:p><w:p><w:pPr><w:spacing w:after="100"/></w:pPr><w:r><w:rPr><w:sz w:val="22"/><w:szCs w:val="22"/></w:rPr><w:t xml:space="preserve">Function is already drafted in MT_B2B_Sync.gs as syncZohoDebitNotes.</w:t></w:r></w:p><w:p><w:pPr><w:pStyle w:val="Heading3"/><w:spacing w:after="80" w:before="180"/></w:pPr><w:r><w:rPr><w:b/><w:bCs/><w:color w:val="0c1731"/><w:sz w:val="20"/><w:szCs w:val="20"/></w:rPr><w:t xml:space="preserve">3.3 Invoice line items sync (biggest value)</w:t></w:r></w:p><w:p><w:pPr><w:spacing w:after="100"/></w:pPr><w:r><w:rPr><w:sz w:val="22"/><w:szCs w:val="22"/></w:rPr><w:t xml:space="preserve">Once the detail-fetch helper is fixed, run syncMtInvoiceLinesV2() + syncB2bInvoiceLinesV2(). This populates Zoho_Invoice_Lines sheet with one row per SKU per invoice. Columns: Invoice_ID, Invoice_Number, Invoice_Date, Customer_Name, Scope (MT/B2B), Line_Item_ID, SKU, Item_Name, HSN, Qty, Rate, Discount, Line_Total.</w:t></w:r></w:p><w:p><w:pPr><w:spacing w:after="100"/></w:pPr><w:r><w:rPr><w:sz w:val="22"/><w:szCs w:val="22"/></w:rPr><w:t xml:space="preserve">Expected volumes: 3 MT customers × ~28 invoices avg = ~85 invoices. 6 B2B customers × ~13 invoices avg = ~80 invoices. Total ~165 Zoho API calls, 1 per invoice, ~2-3 minutes if sequential.</w:t></w:r></w:p><w:p><w:pPr><w:spacing w:after="120"/></w:pPr><w:r><w:t xml:space="preserve"></w:t></w:r></w:p><w:p><w:pPr><w:pStyle w:val="Heading1"/><w:spacing w:after="120" w:before="360"/></w:pPr><w:r><w:rPr><w:b/><w:bCs/><w:color w:val="161e39"/><w:sz w:val="28"/><w:szCs w:val="28"/></w:rPr><w:t xml:space="preserve">4. Store-level per-invoice table (what Tabish wants on the dashboard)</w:t></w:r></w:p><w:p><w:pPr><w:spacing w:after="100"/></w:pPr><w:r><w:rPr><w:sz w:val="22"/><w:szCs w:val="22"/></w:rPr><w:t xml:space="preserve">Target: Blinkit-style per-store table on the MT page. For each MT chain, show per-store or per-invoice:</w:t></w:r></w:p><w:p><w:pPr><w:pStyle w:val="ListParagraph"/><w:numPr><w:ilvl w:val="0"/><w:numId w:val="2"/></w:numPr><w:spacing w:after="60"/></w:pPr><w:r><w:rPr><w:sz w:val="22"/><w:szCs w:val="22"/></w:rPr><w:t xml:space="preserve">Store (from shipping_address.street + city — one row per Zoho invoice; each invoice IS a store shipment)</w:t></w:r></w:p><w:p><w:pPr><w:pStyle w:val="ListParagraph"/><w:numPr><w:ilvl w:val="0"/><w:numId w:val="2"/></w:numPr><w:spacing w:after="60"/></w:pPr><w:r><w:rPr><w:sz w:val="22"/><w:szCs w:val="22"/></w:rPr><w:t xml:space="preserve">Invoice number + date</w:t></w:r></w:p><w:p><w:pPr><w:pStyle w:val="ListParagraph"/><w:numPr><w:ilvl w:val="0"/><w:numId w:val="2"/></w:numPr><w:spacing w:after="60"/></w:pPr><w:r><w:rPr><w:sz w:val="22"/><w:szCs w:val="22"/></w:rPr><w:t xml:space="preserve">Stock in hand (shipped qty − secondary sold qty, from promoter + store reports)</w:t></w:r></w:p><w:p><w:pPr><w:pStyle w:val="ListParagraph"/><w:numPr><w:ilvl w:val="0"/><w:numId w:val="2"/></w:numPr><w:spacing w:after="60"/></w:pPr><w:r><w:rPr><w:sz w:val="22"/><w:szCs w:val="22"/></w:rPr><w:t xml:space="preserve">Sold (secondary qty)</w:t></w:r></w:p><w:p><w:pPr><w:pStyle w:val="ListParagraph"/><w:numPr><w:ilvl w:val="0"/><w:numId w:val="2"/></w:numPr><w:spacing w:after="60"/></w:pPr><w:r><w:rPr><w:sz w:val="22"/><w:szCs w:val="22"/></w:rPr><w:t xml:space="preserve">Value at hand (per-SKU unit cost × in-hand qty, or invoice-level if SKU-level too noisy)</w:t></w:r></w:p><w:p><w:pPr><w:pStyle w:val="ListParagraph"/><w:numPr><w:ilvl w:val="0"/><w:numId w:val="2"/></w:numPr><w:spacing w:after="60"/></w:pPr><w:r><w:rPr><w:sz w:val="22"/><w:szCs w:val="22"/></w:rPr><w:t xml:space="preserve">Value sold (secondary qty × selling rate)</w:t></w:r></w:p><w:p><w:pPr><w:pStyle w:val="Heading3"/><w:spacing w:after="80" w:before="180"/></w:pPr><w:r><w:rPr><w:b/><w:bCs/><w:color w:val="0c1731"/><w:sz w:val="20"/><w:szCs w:val="20"/></w:rPr><w:t xml:space="preserve">Why this needs line-items first</w:t></w:r></w:p><w:p><w:pPr><w:spacing w:after="100"/></w:pPr><w:r><w:rPr><w:sz w:val="22"/><w:szCs w:val="22"/></w:rPr><w:t xml:space="preserve">Stock-in-hand and value-at-hand per store need per-SKU shipped quantities, which only come from the invoice detail endpoint. Without line items we can only show invoice-level: ₹ shipped, ₹ outstanding, ship date — no units.</w:t></w:r></w:p><w:p><w:pPr><w:pStyle w:val="Heading3"/><w:spacing w:after="80" w:before="180"/></w:pPr><w:r><w:rPr><w:b/><w:bCs/><w:color w:val="0c1731"/><w:sz w:val="20"/><w:szCs w:val="20"/></w:rPr><w:t xml:space="preserve">UX reference: Blinkit page</w:t></w:r></w:p><w:p><w:pPr><w:spacing w:after="100"/></w:pPr><w:r><w:rPr><w:sz w:val="22"/><w:szCs w:val="22"/></w:rPr><w:t xml:space="preserve">See the current Blinkit page on the dashboard — table at the bottom showing SKU-level stock across darkstores. The MT per-chain table should follow that same visual pattern: left column = store name, then columns for Shipped, Sold, In Hand, Value at Hand, Value Sold, Last update date. Chain drill-down from the chain cards in Section 1 above.</w:t></w:r></w:p><w:p><w:pPr><w:spacing w:after="120"/></w:pPr><w:r><w:t xml:space="preserve"></w:t></w:r></w:p><w:p><w:pPr><w:pStyle w:val="Heading1"/><w:spacing w:after="120" w:before="360"/></w:pPr><w:r><w:rPr><w:b/><w:bCs/><w:color w:val="161e39"/><w:sz w:val="28"/><w:szCs w:val="28"/></w:rPr><w:t xml:space="preserve">5. Credit / debit note math on the frontend</w:t></w:r></w:p><w:p><w:pPr><w:spacing w:after="100"/></w:pPr><w:r><w:rPr><w:sz w:val="22"/><w:szCs w:val="22"/></w:rPr><w:t xml:space="preserve">Once Zoho_Credit_Notes sheet is populated, the dashboard&apos;s MT and B2B pages need to subtract credit notes from gross shipped per customer:</w:t></w:r></w:p><w:p><w:pPr><w:pStyle w:val="ListParagraph"/><w:numPr><w:ilvl w:val="0"/><w:numId w:val="2"/></w:numPr><w:spacing w:after="60"/></w:pPr><w:r><w:rPr><w:sz w:val="22"/><w:szCs w:val="22"/></w:rPr><w:t xml:space="preserve">Gross shipped = sum of Zoho_Invoices.total for that customer</w:t></w:r></w:p><w:p><w:pPr><w:pStyle w:val="ListParagraph"/><w:numPr><w:ilvl w:val="0"/><w:numId w:val="2"/></w:numPr><w:spacing w:after="60"/></w:pPr><w:r><w:rPr><w:sz w:val="22"/><w:szCs w:val="22"/></w:rPr><w:t xml:space="preserve">Credit notes = sum of Zoho_Credit_Notes.total for that customer</w:t></w:r></w:p><w:p><w:pPr><w:pStyle w:val="ListParagraph"/><w:numPr><w:ilvl w:val="0"/><w:numId w:val="2"/></w:numPr><w:spacing w:after="60"/></w:pPr><w:r><w:rPr><w:sz w:val="22"/><w:szCs w:val="22"/></w:rPr><w:t xml:space="preserve">Debit notes = sum of Zoho_Debit_Notes.total for that customer</w:t></w:r></w:p><w:p><w:pPr><w:pStyle w:val="ListParagraph"/><w:numPr><w:ilvl w:val="0"/><w:numId w:val="2"/></w:numPr><w:spacing w:after="60"/></w:pPr><w:r><w:rPr><w:sz w:val="22"/><w:szCs w:val="22"/></w:rPr><w:t xml:space="preserve">Net shipped = Gross − Credit notes + Debit notes</w:t></w:r></w:p><w:p><w:pPr><w:pStyle w:val="ListParagraph"/><w:numPr><w:ilvl w:val="0"/><w:numId w:val="2"/></w:numPr><w:spacing w:after="60"/></w:pPr><w:r><w:rPr><w:sz w:val="22"/><w:szCs w:val="22"/></w:rPr><w:t xml:space="preserve">Outstanding = sum of Zoho_Invoices.balance (already correct — balance accounts for applied credits)</w:t></w:r></w:p><w:p><w:pPr><w:pStyle w:val="ListParagraph"/><w:numPr><w:ilvl w:val="0"/><w:numId w:val="2"/></w:numPr><w:spacing w:after="60"/></w:pPr><w:r><w:rPr><w:sz w:val="22"/><w:szCs w:val="22"/></w:rPr><w:t xml:space="preserve">Display: &apos;Gross ₹3.02Cr · Net ₹2.95Cr · Outstanding ₹85.8L&apos;</w:t></w:r></w:p><w:p><w:pPr><w:spacing w:after="100"/></w:pPr><w:r><w:rPr><w:sz w:val="22"/><w:szCs w:val="22"/></w:rPr><w:t xml:space="preserve">The MT/B2B page JavaScript is at the bottom of Curio_Admin_Dashboard.html, lines ~7695-7975. The function to update is renderMtPage and renderB2bPage. Add fetches for ?q=credit_notes and ?q=debit_notes in loadInvoices().</w:t></w:r></w:p><w:p><w:pPr><w:spacing w:after="120"/></w:pPr><w:r><w:t xml:space="preserve"></w:t></w:r></w:p><w:p><w:pPr><w:pStyle w:val="Heading1"/><w:spacing w:after="120" w:before="360"/></w:pPr><w:r><w:rPr><w:b/><w:bCs/><w:color w:val="161e39"/><w:sz w:val="28"/><w:szCs w:val="28"/></w:rPr><w:t xml:space="preserve">6. New /exec dispatcher cases to add (both switches)</w:t></w:r></w:p><w:p><w:pPr><w:spacing w:after="100"/></w:pPr><w:r><w:rPr><w:sz w:val="22"/><w:szCs w:val="22"/></w:rPr><w:t xml:space="preserve">Already injected into Code.gs doPost switch(action) and doGet switch(q):</w:t></w:r></w:p><w:p><w:pPr><w:pStyle w:val="ListParagraph"/><w:numPr><w:ilvl w:val="0"/><w:numId w:val="2"/></w:numPr><w:spacing w:after="60"/></w:pPr><w:r><w:rPr><w:sz w:val="22"/><w:szCs w:val="22"/></w:rPr><w:t xml:space="preserve">case &apos;sync_mt_invoice_lines&apos;: → syncMtInvoiceLines() [V1 — delete this, use V2]</w:t></w:r></w:p><w:p><w:pPr><w:pStyle w:val="ListParagraph"/><w:numPr><w:ilvl w:val="0"/><w:numId w:val="2"/></w:numPr><w:spacing w:after="60"/></w:pPr><w:r><w:rPr><w:sz w:val="22"/><w:szCs w:val="22"/></w:rPr><w:t xml:space="preserve">case &apos;sync_b2b_invoice_lines&apos;: → syncB2bInvoiceLines() [V1 — delete]</w:t></w:r></w:p><w:p><w:pPr><w:pStyle w:val="ListParagraph"/><w:numPr><w:ilvl w:val="0"/><w:numId w:val="2"/></w:numPr><w:spacing w:after="60"/></w:pPr><w:r><w:rPr><w:sz w:val="22"/><w:szCs w:val="22"/></w:rPr><w:t xml:space="preserve">case &apos;sync_mt_b2b_all&apos;: → syncMtB2bAll() [V1 — delete]</w:t></w:r></w:p><w:p><w:pPr><w:pStyle w:val="ListParagraph"/><w:numPr><w:ilvl w:val="0"/><w:numId w:val="2"/></w:numPr><w:spacing w:after="60"/></w:pPr><w:r><w:rPr><w:sz w:val="22"/><w:szCs w:val="22"/></w:rPr><w:t xml:space="preserve">case &apos;seed_mt_b2b_customers&apos;: → seedMtB2bCustomers()</w:t></w:r></w:p><w:p><w:pPr><w:pStyle w:val="ListParagraph"/><w:numPr><w:ilvl w:val="0"/><w:numId w:val="2"/></w:numPr><w:spacing w:after="60"/></w:pPr><w:r><w:rPr><w:sz w:val="22"/><w:szCs w:val="22"/></w:rPr><w:t xml:space="preserve">case &apos;mt_customers&apos;: → getMtCustomers_()</w:t></w:r></w:p><w:p><w:pPr><w:pStyle w:val="ListParagraph"/><w:numPr><w:ilvl w:val="0"/><w:numId w:val="2"/></w:numPr><w:spacing w:after="60"/></w:pPr><w:r><w:rPr><w:sz w:val="22"/><w:szCs w:val="22"/></w:rPr><w:t xml:space="preserve">case &apos;b2b_customers&apos;: → getB2bCustomers_()</w:t></w:r></w:p><w:p><w:pPr><w:pStyle w:val="ListParagraph"/><w:numPr><w:ilvl w:val="0"/><w:numId w:val="2"/></w:numPr><w:spacing w:after="60"/></w:pPr><w:r><w:rPr><w:sz w:val="22"/><w:szCs w:val="22"/></w:rPr><w:t xml:space="preserve">case &apos;mt_rollup&apos;: → getMtRollup_()</w:t></w:r></w:p><w:p><w:pPr><w:pStyle w:val="ListParagraph"/><w:numPr><w:ilvl w:val="0"/><w:numId w:val="2"/></w:numPr><w:spacing w:after="60"/></w:pPr><w:r><w:rPr><w:sz w:val="22"/><w:szCs w:val="22"/></w:rPr><w:t xml:space="preserve">case &apos;b2b_rollup&apos;: → getB2bRollup_()</w:t></w:r></w:p><w:p><w:pPr><w:pStyle w:val="ListParagraph"/><w:numPr><w:ilvl w:val="0"/><w:numId w:val="2"/></w:numPr><w:spacing w:after="60"/></w:pPr><w:r><w:rPr><w:sz w:val="22"/><w:szCs w:val="22"/></w:rPr><w:t xml:space="preserve">case &apos;mt_store_report&apos;: → saveMtStoreReport()</w:t></w:r></w:p><w:p><w:pPr><w:spacing w:after="100"/></w:pPr><w:r><w:rPr><w:sz w:val="22"/><w:szCs w:val="22"/></w:rPr><w:t xml:space="preserve">Add these NEW cases once the Zoho fix lands:</w:t></w:r></w:p><w:p><w:pPr><w:pStyle w:val="ListParagraph"/><w:numPr><w:ilvl w:val="0"/><w:numId w:val="2"/></w:numPr><w:spacing w:after="60"/></w:pPr><w:r><w:rPr><w:sz w:val="22"/><w:szCs w:val="22"/></w:rPr><w:t xml:space="preserve">case &apos;sync_mt_b2b_lines_v2&apos;: → syncMtB2bLinesV2()</w:t></w:r></w:p><w:p><w:pPr><w:pStyle w:val="ListParagraph"/><w:numPr><w:ilvl w:val="0"/><w:numId w:val="2"/></w:numPr><w:spacing w:after="60"/></w:pPr><w:r><w:rPr><w:sz w:val="22"/><w:szCs w:val="22"/></w:rPr><w:t xml:space="preserve">case &apos;sync_credit_notes&apos;: → syncZohoCreditNotes()</w:t></w:r></w:p><w:p><w:pPr><w:pStyle w:val="ListParagraph"/><w:numPr><w:ilvl w:val="0"/><w:numId w:val="2"/></w:numPr><w:spacing w:after="60"/></w:pPr><w:r><w:rPr><w:sz w:val="22"/><w:szCs w:val="22"/></w:rPr><w:t xml:space="preserve">case &apos;sync_debit_notes&apos;: → syncZohoDebitNotes()</w:t></w:r></w:p><w:p><w:pPr><w:pStyle w:val="ListParagraph"/><w:numPr><w:ilvl w:val="0"/><w:numId w:val="2"/></w:numPr><w:spacing w:after="60"/></w:pPr><w:r><w:rPr><w:sz w:val="22"/><w:szCs w:val="22"/></w:rPr><w:t xml:space="preserve">case &apos;credit_notes&apos;: → readSheet(&apos;Zoho_Credit_Notes&apos;)</w:t></w:r></w:p><w:p><w:pPr><w:pStyle w:val="ListParagraph"/><w:numPr><w:ilvl w:val="0"/><w:numId w:val="2"/></w:numPr><w:spacing w:after="60"/></w:pPr><w:r><w:rPr><w:sz w:val="22"/><w:szCs w:val="22"/></w:rPr><w:t xml:space="preserve">case &apos;debit_notes&apos;: → readSheet(&apos;Zoho_Debit_Notes&apos;)</w:t></w:r></w:p><w:p><w:pPr><w:pStyle w:val="ListParagraph"/><w:numPr><w:ilvl w:val="0"/><w:numId w:val="2"/></w:numPr><w:spacing w:after="60"/></w:pPr><w:r><w:rPr><w:sz w:val="22"/><w:szCs w:val="22"/></w:rPr><w:t xml:space="preserve">case &apos;mt_invoice_lines&apos;: → readSheet(&apos;Zoho_Invoice_Lines&apos;) filtered to Scope=MT</w:t></w:r></w:p><w:p><w:pPr><w:pStyle w:val="ListParagraph"/><w:numPr><w:ilvl w:val="0"/><w:numId w:val="2"/></w:numPr><w:spacing w:after="60"/></w:pPr><w:r><w:rPr><w:sz w:val="22"/><w:szCs w:val="22"/></w:rPr><w:t xml:space="preserve">case &apos;b2b_invoice_lines&apos;: → readSheet(&apos;Zoho_Invoice_Lines&apos;) filtered to Scope=B2B</w:t></w:r></w:p><w:p><w:pPr><w:spacing w:after="120"/></w:pPr><w:r><w:t xml:space="preserve"></w:t></w:r></w:p><w:p><w:pPr><w:pStyle w:val="Heading1"/><w:spacing w:after="120" w:before="360"/></w:pPr><w:r><w:rPr><w:b/><w:bCs/><w:color w:val="161e39"/><w:sz w:val="28"/><w:szCs w:val="28"/></w:rPr><w:t xml:space="preserve">7. Known numbers (as of 14 Oct 2026)</w:t></w:r></w:p><w:p><w:pPr><w:pStyle w:val="ListParagraph"/><w:numPr><w:ilvl w:val="0"/><w:numId w:val="2"/></w:numPr><w:spacing w:after="60"/></w:pPr><w:r><w:rPr><w:sz w:val="22"/><w:szCs w:val="22"/></w:rPr><w:t xml:space="preserve">MT total shipped: ~₹27L across 3 chains / 95 invoices</w:t></w:r></w:p><w:p><w:pPr><w:pStyle w:val="ListParagraph"/><w:numPr><w:ilvl w:val="0"/><w:numId w:val="2"/></w:numPr><w:spacing w:after="60"/></w:pPr><w:r><w:rPr><w:sz w:val="22"/><w:szCs w:val="22"/></w:rPr><w:t xml:space="preserve">B2B total shipped: ~₹5.1Cr (Kissansay ₹3.02Cr + Lulu ₹1.17Cr + rest)</w:t></w:r></w:p><w:p><w:pPr><w:pStyle w:val="ListParagraph"/><w:numPr><w:ilvl w:val="0"/><w:numId w:val="2"/></w:numPr><w:spacing w:after="60"/></w:pPr><w:r><w:rPr><w:sz w:val="22"/><w:szCs w:val="22"/></w:rPr><w:t xml:space="preserve">B2B outstanding: Kissansay ₹85.8L (biggest problem), Lulu ₹9.6L, Modern Bazaar ₹18.9L (classed MT not B2B), Food Square ₹9.8L</w:t></w:r></w:p><w:p><w:pPr><w:pStyle w:val="ListParagraph"/><w:numPr><w:ilvl w:val="0"/><w:numId w:val="2"/></w:numPr><w:spacing w:after="60"/></w:pPr><w:r><w:rPr><w:sz w:val="22"/><w:szCs w:val="22"/></w:rPr><w:t xml:space="preserve">Credit notes impact: UNKNOWN until synced — likely ₹5-15L range based on typical FMCG return rates on retail</w:t></w:r></w:p><w:p><w:pPr><w:spacing w:after="120"/></w:pPr><w:r><w:t xml:space="preserve"></w:t></w:r></w:p><w:p><w:pPr><w:pStyle w:val="Heading1"/><w:spacing w:after="120" w:before="360"/></w:pPr><w:r><w:rPr><w:b/><w:bCs/><w:color w:val="161e39"/><w:sz w:val="28"/><w:szCs w:val="28"/></w:rPr><w:t xml:space="preserve">8. Rough estimate for completion</w:t></w:r></w:p><w:p><w:pPr><w:pStyle w:val="ListParagraph"/><w:numPr><w:ilvl w:val="0"/><w:numId w:val="2"/></w:numPr><w:spacing w:after="60"/></w:pPr><w:r><w:rPr><w:sz w:val="22"/><w:szCs w:val="22"/></w:rPr><w:t xml:space="preserve">Fix zohoFetch_ for detail endpoints: 15-30 min once you can read Zoho_Sync.gs source directly</w:t></w:r></w:p><w:p><w:pPr><w:pStyle w:val="ListParagraph"/><w:numPr><w:ilvl w:val="0"/><w:numId w:val="2"/></w:numPr><w:spacing w:after="60"/></w:pPr><w:r><w:rPr><w:sz w:val="22"/><w:szCs w:val="22"/></w:rPr><w:t xml:space="preserve">Add credit note + debit note sync: 30 min (code already drafted in MT_B2B_Sync.gs, just needs the fixed helper)</w:t></w:r></w:p><w:p><w:pPr><w:pStyle w:val="ListParagraph"/><w:numPr><w:ilvl w:val="0"/><w:numId w:val="2"/></w:numPr><w:spacing w:after="60"/></w:pPr><w:r><w:rPr><w:sz w:val="22"/><w:szCs w:val="22"/></w:rPr><w:t xml:space="preserve">Run initial sync (populate Zoho_Credit_Notes, Zoho_Debit_Notes, Zoho_Invoice_Lines): 5 min + 3 min for 165 Zoho calls</w:t></w:r></w:p><w:p><w:pPr><w:pStyle w:val="ListParagraph"/><w:numPr><w:ilvl w:val="0"/><w:numId w:val="2"/></w:numPr><w:spacing w:after="60"/></w:pPr><w:r><w:rPr><w:sz w:val="22"/><w:szCs w:val="22"/></w:rPr><w:t xml:space="preserve">Add per-store table to MT page frontend: 1 hour (follow Blinkit page pattern)</w:t></w:r></w:p><w:p><w:pPr><w:pStyle w:val="ListParagraph"/><w:numPr><w:ilvl w:val="0"/><w:numId w:val="2"/></w:numPr><w:spacing w:after="60"/></w:pPr><w:r><w:rPr><w:sz w:val="22"/><w:szCs w:val="22"/></w:rPr><w:t xml:space="preserve">Add credit/debit net adjustment to MT + B2B page KPIs: 30 min</w:t></w:r></w:p><w:p><w:pPr><w:pStyle w:val="ListParagraph"/><w:numPr><w:ilvl w:val="0"/><w:numId w:val="2"/></w:numPr><w:spacing w:after="60"/></w:pPr><w:r><w:rPr><w:sz w:val="22"/><w:szCs w:val="22"/></w:rPr><w:t xml:space="preserve">Total: ~3 hours of focused work</w:t></w:r></w:p><w:p><w:pPr><w:spacing w:after="120"/></w:pPr><w:r><w:t xml:space="preserve"></w:t></w:r></w:p><w:p><w:pPr><w:spacing w:after="100"/></w:pPr><w:r><w:rPr><w:i/><w:iCs/><w:color w:val="6b7280"/><w:sz w:val="20"/><w:szCs w:val="20"/></w:rPr><w:t xml:space="preserve">Related files to pull before starting: MT_B2B_Sync.gs (new, created this session) · Zoho_Sync.gs (existing, contains zohoFetch_) · Curio_Admin_Dashboard.html (bottom section ~7695-7975 is the new MT + B2B render code).</w:t></w:r></w:p><w:sectPr><w:pgSz w:w="11906" w:h="16838" w:orient="portrait"/><w:pgMar w:top="1000" w:right="1000" w:bottom="1000" w:left="10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2026-10-14T12:33:33.007Z</dcterms:created>
  <dcterms:modified xsi:type="dcterms:W3CDTF">2026-10-14T12:33:33.008Z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