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6E0E" w14:textId="77777777" w:rsidR="00FB1389" w:rsidRPr="005F0680" w:rsidRDefault="00FB1389" w:rsidP="00FB1389">
      <w:pPr>
        <w:jc w:val="center"/>
        <w:rPr>
          <w:rFonts w:ascii="Times New Roman" w:hAnsi="Times New Roman" w:cs="Times New Roman"/>
          <w:sz w:val="20"/>
          <w:szCs w:val="20"/>
        </w:rPr>
      </w:pPr>
      <w:r w:rsidRPr="005F0680">
        <w:rPr>
          <w:rFonts w:ascii="Times New Roman" w:hAnsi="Times New Roman" w:cs="Times New Roman"/>
          <w:noProof/>
        </w:rPr>
        <w:drawing>
          <wp:inline distT="0" distB="0" distL="0" distR="0" wp14:anchorId="7A62C90B" wp14:editId="3AC7B278">
            <wp:extent cx="2158365" cy="827405"/>
            <wp:effectExtent l="0" t="0" r="0" b="0"/>
            <wp:docPr id="1323038942" name="Image2"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black and grey logo&#10;&#10;Description automatically generated"/>
                    <pic:cNvPicPr>
                      <a:picLocks noChangeAspect="1" noChangeArrowheads="1"/>
                    </pic:cNvPicPr>
                  </pic:nvPicPr>
                  <pic:blipFill>
                    <a:blip r:embed="rId8"/>
                    <a:srcRect l="-21" t="-51" r="-21" b="-51"/>
                    <a:stretch>
                      <a:fillRect/>
                    </a:stretch>
                  </pic:blipFill>
                  <pic:spPr bwMode="auto">
                    <a:xfrm>
                      <a:off x="0" y="0"/>
                      <a:ext cx="2158365" cy="827405"/>
                    </a:xfrm>
                    <a:prstGeom prst="rect">
                      <a:avLst/>
                    </a:prstGeom>
                  </pic:spPr>
                </pic:pic>
              </a:graphicData>
            </a:graphic>
          </wp:inline>
        </w:drawing>
      </w:r>
    </w:p>
    <w:p w14:paraId="560466BD" w14:textId="77777777" w:rsidR="00E15C4B" w:rsidRDefault="00E15C4B" w:rsidP="004215F7">
      <w:pPr>
        <w:spacing w:line="360" w:lineRule="auto"/>
        <w:jc w:val="both"/>
        <w:rPr>
          <w:rFonts w:ascii="Times New Roman" w:hAnsi="Times New Roman" w:cs="Times New Roman"/>
        </w:rPr>
        <w:sectPr w:rsidR="00E15C4B" w:rsidSect="00416076">
          <w:footerReference w:type="even" r:id="rId9"/>
          <w:footerReference w:type="default" r:id="rId10"/>
          <w:footerReference w:type="first" r:id="rId11"/>
          <w:pgSz w:w="11900" w:h="16840"/>
          <w:pgMar w:top="1440" w:right="1440" w:bottom="1440" w:left="1440" w:header="1701" w:footer="454" w:gutter="0"/>
          <w:pgNumType w:fmt="lowerRoman" w:start="1"/>
          <w:cols w:space="708"/>
          <w:titlePg/>
          <w:docGrid w:linePitch="360"/>
        </w:sectPr>
      </w:pPr>
    </w:p>
    <w:p w14:paraId="6C2B80E6" w14:textId="77777777" w:rsidR="005F0680" w:rsidRDefault="005F0680" w:rsidP="004215F7">
      <w:pPr>
        <w:spacing w:line="360" w:lineRule="auto"/>
        <w:jc w:val="both"/>
        <w:rPr>
          <w:rFonts w:ascii="Times New Roman" w:hAnsi="Times New Roman" w:cs="Times New Roman"/>
        </w:rPr>
      </w:pPr>
    </w:p>
    <w:p w14:paraId="572A5FC9" w14:textId="77777777" w:rsidR="005F0680" w:rsidRDefault="005F0680" w:rsidP="004215F7">
      <w:pPr>
        <w:spacing w:line="360" w:lineRule="auto"/>
        <w:jc w:val="both"/>
        <w:rPr>
          <w:rFonts w:ascii="Times New Roman" w:hAnsi="Times New Roman" w:cs="Times New Roman"/>
        </w:rPr>
      </w:pPr>
    </w:p>
    <w:p w14:paraId="3E2407A9" w14:textId="77777777" w:rsidR="00FB1389" w:rsidRDefault="00FB1389" w:rsidP="004215F7">
      <w:pPr>
        <w:spacing w:line="360" w:lineRule="auto"/>
        <w:jc w:val="both"/>
        <w:rPr>
          <w:rFonts w:ascii="Times New Roman" w:hAnsi="Times New Roman" w:cs="Times New Roman"/>
        </w:rPr>
      </w:pPr>
    </w:p>
    <w:p w14:paraId="4135EF07" w14:textId="77777777" w:rsidR="00FB1389" w:rsidRDefault="00FB1389" w:rsidP="004215F7">
      <w:pPr>
        <w:spacing w:line="360" w:lineRule="auto"/>
        <w:jc w:val="both"/>
        <w:rPr>
          <w:rFonts w:ascii="Times New Roman" w:hAnsi="Times New Roman" w:cs="Times New Roman"/>
        </w:rPr>
      </w:pPr>
    </w:p>
    <w:p w14:paraId="5348EB18" w14:textId="77777777" w:rsidR="00FB1389" w:rsidRDefault="00FB1389" w:rsidP="004215F7">
      <w:pPr>
        <w:spacing w:line="360" w:lineRule="auto"/>
        <w:jc w:val="both"/>
        <w:rPr>
          <w:rFonts w:ascii="Times New Roman" w:hAnsi="Times New Roman" w:cs="Times New Roman"/>
        </w:rPr>
      </w:pPr>
    </w:p>
    <w:p w14:paraId="7167F9DE" w14:textId="77777777" w:rsidR="00FB1389" w:rsidRDefault="00FB1389" w:rsidP="004215F7">
      <w:pPr>
        <w:spacing w:line="360" w:lineRule="auto"/>
        <w:jc w:val="both"/>
        <w:rPr>
          <w:rFonts w:ascii="Times New Roman" w:hAnsi="Times New Roman" w:cs="Times New Roman"/>
        </w:rPr>
      </w:pPr>
    </w:p>
    <w:p w14:paraId="6A2A78F1" w14:textId="77777777" w:rsidR="00FB1389" w:rsidRDefault="00FB1389" w:rsidP="004215F7">
      <w:pPr>
        <w:spacing w:line="360" w:lineRule="auto"/>
        <w:jc w:val="both"/>
        <w:rPr>
          <w:rFonts w:ascii="Times New Roman" w:hAnsi="Times New Roman" w:cs="Times New Roman"/>
        </w:rPr>
      </w:pPr>
    </w:p>
    <w:p w14:paraId="0270B39C" w14:textId="77777777" w:rsidR="00FB1389" w:rsidRDefault="00FB1389" w:rsidP="004215F7">
      <w:pPr>
        <w:spacing w:line="360" w:lineRule="auto"/>
        <w:jc w:val="both"/>
        <w:rPr>
          <w:rFonts w:ascii="Times New Roman" w:hAnsi="Times New Roman" w:cs="Times New Roman"/>
        </w:rPr>
      </w:pPr>
    </w:p>
    <w:p w14:paraId="7F6CFF98" w14:textId="77777777" w:rsidR="00FB1389" w:rsidRDefault="00FB1389" w:rsidP="004215F7">
      <w:pPr>
        <w:spacing w:line="360" w:lineRule="auto"/>
        <w:jc w:val="both"/>
        <w:rPr>
          <w:rFonts w:ascii="Times New Roman" w:hAnsi="Times New Roman" w:cs="Times New Roman"/>
        </w:rPr>
      </w:pPr>
    </w:p>
    <w:p w14:paraId="0BF0A966" w14:textId="77777777" w:rsidR="00FB1389" w:rsidRDefault="00FB1389" w:rsidP="004215F7">
      <w:pPr>
        <w:spacing w:line="360" w:lineRule="auto"/>
        <w:jc w:val="both"/>
        <w:rPr>
          <w:rFonts w:ascii="Times New Roman" w:hAnsi="Times New Roman" w:cs="Times New Roman"/>
        </w:rPr>
      </w:pPr>
    </w:p>
    <w:p w14:paraId="3D37298E" w14:textId="77777777" w:rsidR="00FB1389" w:rsidRDefault="00FB1389" w:rsidP="004215F7">
      <w:pPr>
        <w:spacing w:line="360" w:lineRule="auto"/>
        <w:jc w:val="both"/>
        <w:rPr>
          <w:rFonts w:ascii="Times New Roman" w:hAnsi="Times New Roman" w:cs="Times New Roman"/>
        </w:rPr>
      </w:pPr>
    </w:p>
    <w:p w14:paraId="68DAAB4F" w14:textId="77777777" w:rsidR="00FB1389" w:rsidRDefault="00FB1389" w:rsidP="004215F7">
      <w:pPr>
        <w:spacing w:line="360" w:lineRule="auto"/>
        <w:jc w:val="both"/>
        <w:rPr>
          <w:rFonts w:ascii="Times New Roman" w:hAnsi="Times New Roman" w:cs="Times New Roman"/>
        </w:rPr>
      </w:pPr>
    </w:p>
    <w:p w14:paraId="7A47A357" w14:textId="77777777" w:rsidR="00FB1389" w:rsidRDefault="00FB1389" w:rsidP="004215F7">
      <w:pPr>
        <w:spacing w:line="360" w:lineRule="auto"/>
        <w:jc w:val="both"/>
        <w:rPr>
          <w:rFonts w:ascii="Times New Roman" w:hAnsi="Times New Roman" w:cs="Times New Roman"/>
        </w:rPr>
      </w:pPr>
    </w:p>
    <w:p w14:paraId="10B7B082" w14:textId="77777777" w:rsidR="00FB1389" w:rsidRDefault="00FB1389" w:rsidP="004215F7">
      <w:pPr>
        <w:spacing w:line="360" w:lineRule="auto"/>
        <w:jc w:val="both"/>
        <w:rPr>
          <w:rFonts w:ascii="Times New Roman" w:hAnsi="Times New Roman" w:cs="Times New Roman"/>
        </w:rPr>
      </w:pPr>
    </w:p>
    <w:p w14:paraId="3EDF0331" w14:textId="77777777" w:rsidR="00FB1389" w:rsidRDefault="00FB1389" w:rsidP="0018590C">
      <w:pPr>
        <w:spacing w:line="360" w:lineRule="auto"/>
        <w:jc w:val="center"/>
        <w:rPr>
          <w:rFonts w:ascii="Times New Roman" w:hAnsi="Times New Roman" w:cs="Times New Roman"/>
        </w:rPr>
      </w:pPr>
    </w:p>
    <w:p w14:paraId="58ADCAB8" w14:textId="77777777" w:rsidR="00E15C4B" w:rsidRPr="00785BF3" w:rsidRDefault="00E15C4B" w:rsidP="0018590C">
      <w:pPr>
        <w:tabs>
          <w:tab w:val="left" w:pos="3080"/>
        </w:tabs>
        <w:spacing w:line="480" w:lineRule="auto"/>
        <w:jc w:val="center"/>
        <w:rPr>
          <w:rFonts w:ascii="Times New Roman" w:hAnsi="Times New Roman" w:cs="Times New Roman"/>
        </w:rPr>
      </w:pPr>
      <w:r w:rsidRPr="00785BF3">
        <w:rPr>
          <w:rFonts w:ascii="Times New Roman" w:hAnsi="Times New Roman" w:cs="Times New Roman"/>
        </w:rPr>
        <w:t>The impact of accounting fraud on the use of dividend smoothing</w:t>
      </w:r>
    </w:p>
    <w:p w14:paraId="4B87BD89" w14:textId="77777777" w:rsidR="00FB1389" w:rsidRDefault="00FB1389" w:rsidP="004215F7">
      <w:pPr>
        <w:spacing w:line="360" w:lineRule="auto"/>
        <w:jc w:val="both"/>
        <w:rPr>
          <w:rFonts w:ascii="Times New Roman" w:hAnsi="Times New Roman" w:cs="Times New Roman"/>
        </w:rPr>
      </w:pPr>
    </w:p>
    <w:p w14:paraId="7073A39A" w14:textId="77777777" w:rsidR="00FB1389" w:rsidRDefault="00FB1389" w:rsidP="004215F7">
      <w:pPr>
        <w:spacing w:line="360" w:lineRule="auto"/>
        <w:jc w:val="both"/>
        <w:rPr>
          <w:rFonts w:ascii="Times New Roman" w:hAnsi="Times New Roman" w:cs="Times New Roman"/>
        </w:rPr>
      </w:pPr>
    </w:p>
    <w:p w14:paraId="175958CC" w14:textId="77777777" w:rsidR="00FB1389" w:rsidRDefault="00FB1389" w:rsidP="004215F7">
      <w:pPr>
        <w:spacing w:line="360" w:lineRule="auto"/>
        <w:jc w:val="both"/>
        <w:rPr>
          <w:rFonts w:ascii="Times New Roman" w:hAnsi="Times New Roman" w:cs="Times New Roman"/>
        </w:rPr>
      </w:pPr>
    </w:p>
    <w:p w14:paraId="5CEEEA5B" w14:textId="77777777" w:rsidR="00FB1389" w:rsidRDefault="00FB1389" w:rsidP="004215F7">
      <w:pPr>
        <w:spacing w:line="360" w:lineRule="auto"/>
        <w:jc w:val="both"/>
        <w:rPr>
          <w:rFonts w:ascii="Times New Roman" w:hAnsi="Times New Roman" w:cs="Times New Roman"/>
        </w:rPr>
      </w:pPr>
    </w:p>
    <w:p w14:paraId="550952A5" w14:textId="77777777" w:rsidR="00FB1389" w:rsidRDefault="00FB1389" w:rsidP="004215F7">
      <w:pPr>
        <w:spacing w:line="360" w:lineRule="auto"/>
        <w:jc w:val="both"/>
        <w:rPr>
          <w:rFonts w:ascii="Times New Roman" w:hAnsi="Times New Roman" w:cs="Times New Roman"/>
        </w:rPr>
      </w:pPr>
    </w:p>
    <w:p w14:paraId="60EBA2E7" w14:textId="77777777" w:rsidR="00FB1389" w:rsidRDefault="00FB1389" w:rsidP="004215F7">
      <w:pPr>
        <w:spacing w:line="360" w:lineRule="auto"/>
        <w:jc w:val="both"/>
        <w:rPr>
          <w:rFonts w:ascii="Times New Roman" w:hAnsi="Times New Roman" w:cs="Times New Roman"/>
        </w:rPr>
      </w:pPr>
    </w:p>
    <w:p w14:paraId="76AB1A41" w14:textId="77777777" w:rsidR="00FB1389" w:rsidRDefault="00FB1389" w:rsidP="004215F7">
      <w:pPr>
        <w:spacing w:line="360" w:lineRule="auto"/>
        <w:jc w:val="both"/>
        <w:rPr>
          <w:rFonts w:ascii="Times New Roman" w:hAnsi="Times New Roman" w:cs="Times New Roman"/>
        </w:rPr>
      </w:pPr>
    </w:p>
    <w:p w14:paraId="36E0D86E" w14:textId="77777777" w:rsidR="00FB1389" w:rsidRDefault="00FB1389" w:rsidP="004215F7">
      <w:pPr>
        <w:spacing w:line="360" w:lineRule="auto"/>
        <w:jc w:val="both"/>
        <w:rPr>
          <w:rFonts w:ascii="Times New Roman" w:hAnsi="Times New Roman" w:cs="Times New Roman"/>
        </w:rPr>
      </w:pPr>
    </w:p>
    <w:p w14:paraId="0C0033D5" w14:textId="77777777" w:rsidR="00FB1389" w:rsidRDefault="00FB1389" w:rsidP="004215F7">
      <w:pPr>
        <w:spacing w:line="360" w:lineRule="auto"/>
        <w:jc w:val="both"/>
        <w:rPr>
          <w:rFonts w:ascii="Times New Roman" w:hAnsi="Times New Roman" w:cs="Times New Roman"/>
        </w:rPr>
      </w:pPr>
    </w:p>
    <w:p w14:paraId="37C5DE52" w14:textId="77777777" w:rsidR="00FB1389" w:rsidRDefault="00FB1389" w:rsidP="004215F7">
      <w:pPr>
        <w:spacing w:line="360" w:lineRule="auto"/>
        <w:jc w:val="both"/>
        <w:rPr>
          <w:rFonts w:ascii="Times New Roman" w:hAnsi="Times New Roman" w:cs="Times New Roman"/>
        </w:rPr>
      </w:pPr>
    </w:p>
    <w:p w14:paraId="2C16A110" w14:textId="77777777" w:rsidR="00FB1389" w:rsidRDefault="00FB1389" w:rsidP="004215F7">
      <w:pPr>
        <w:spacing w:line="360" w:lineRule="auto"/>
        <w:jc w:val="both"/>
        <w:rPr>
          <w:rFonts w:ascii="Times New Roman" w:hAnsi="Times New Roman" w:cs="Times New Roman"/>
        </w:rPr>
      </w:pPr>
    </w:p>
    <w:p w14:paraId="237A720D" w14:textId="77777777" w:rsidR="00FB1389" w:rsidRDefault="00FB1389" w:rsidP="004215F7">
      <w:pPr>
        <w:spacing w:line="360" w:lineRule="auto"/>
        <w:jc w:val="both"/>
        <w:rPr>
          <w:rFonts w:ascii="Times New Roman" w:hAnsi="Times New Roman" w:cs="Times New Roman"/>
        </w:rPr>
      </w:pPr>
    </w:p>
    <w:p w14:paraId="6A485009" w14:textId="77777777" w:rsidR="00E15C4B" w:rsidRDefault="00E15C4B" w:rsidP="004215F7">
      <w:pPr>
        <w:spacing w:line="360" w:lineRule="auto"/>
        <w:jc w:val="both"/>
        <w:rPr>
          <w:rFonts w:ascii="Times New Roman" w:hAnsi="Times New Roman" w:cs="Times New Roman"/>
        </w:rPr>
      </w:pPr>
    </w:p>
    <w:p w14:paraId="3323C914" w14:textId="77777777" w:rsidR="00E15C4B" w:rsidRDefault="00E15C4B" w:rsidP="004215F7">
      <w:pPr>
        <w:spacing w:line="360" w:lineRule="auto"/>
        <w:jc w:val="both"/>
        <w:rPr>
          <w:rFonts w:ascii="Times New Roman" w:hAnsi="Times New Roman" w:cs="Times New Roman"/>
        </w:rPr>
      </w:pPr>
    </w:p>
    <w:p w14:paraId="0A717BB3" w14:textId="77777777" w:rsidR="00E15C4B" w:rsidRDefault="00E15C4B" w:rsidP="004215F7">
      <w:pPr>
        <w:spacing w:line="360" w:lineRule="auto"/>
        <w:jc w:val="both"/>
        <w:rPr>
          <w:rFonts w:ascii="Times New Roman" w:hAnsi="Times New Roman" w:cs="Times New Roman"/>
        </w:rPr>
      </w:pPr>
    </w:p>
    <w:p w14:paraId="501E5310" w14:textId="0900947A" w:rsidR="00E979D4" w:rsidRDefault="00E979D4" w:rsidP="004215F7">
      <w:pPr>
        <w:spacing w:line="360" w:lineRule="auto"/>
        <w:jc w:val="both"/>
        <w:rPr>
          <w:rFonts w:ascii="Times New Roman" w:hAnsi="Times New Roman" w:cs="Times New Roman"/>
        </w:rPr>
        <w:sectPr w:rsidR="00E979D4" w:rsidSect="00416076">
          <w:footerReference w:type="default" r:id="rId12"/>
          <w:footerReference w:type="first" r:id="rId13"/>
          <w:pgSz w:w="11900" w:h="16840"/>
          <w:pgMar w:top="1440" w:right="1440" w:bottom="1440" w:left="1440" w:header="1701" w:footer="454" w:gutter="0"/>
          <w:pgNumType w:fmt="lowerRoman" w:start="1"/>
          <w:cols w:space="708"/>
          <w:titlePg/>
          <w:docGrid w:linePitch="360"/>
        </w:sectPr>
      </w:pPr>
    </w:p>
    <w:p w14:paraId="2933E837" w14:textId="77777777" w:rsidR="00E979D4" w:rsidRPr="00F06518" w:rsidRDefault="00E979D4" w:rsidP="00E979D4">
      <w:pPr>
        <w:pStyle w:val="Heading1"/>
        <w:rPr>
          <w:rFonts w:ascii="Times New Roman" w:hAnsi="Times New Roman" w:cs="Times New Roman"/>
          <w:b/>
          <w:bCs/>
          <w:color w:val="auto"/>
          <w:sz w:val="24"/>
          <w:szCs w:val="24"/>
        </w:rPr>
      </w:pPr>
      <w:bookmarkStart w:id="0" w:name="_Toc167763029"/>
      <w:r w:rsidRPr="00F06518">
        <w:rPr>
          <w:rFonts w:ascii="Times New Roman" w:hAnsi="Times New Roman" w:cs="Times New Roman"/>
          <w:b/>
          <w:bCs/>
          <w:color w:val="auto"/>
          <w:sz w:val="24"/>
          <w:szCs w:val="24"/>
        </w:rPr>
        <w:lastRenderedPageBreak/>
        <w:t>Abstract</w:t>
      </w:r>
      <w:bookmarkEnd w:id="0"/>
    </w:p>
    <w:p w14:paraId="47604AB1" w14:textId="77777777" w:rsidR="00E979D4" w:rsidRPr="00785BF3" w:rsidRDefault="00E979D4" w:rsidP="00E979D4">
      <w:pPr>
        <w:spacing w:line="480" w:lineRule="auto"/>
        <w:jc w:val="both"/>
        <w:rPr>
          <w:rFonts w:ascii="Times New Roman" w:hAnsi="Times New Roman" w:cs="Times New Roman"/>
        </w:rPr>
      </w:pPr>
    </w:p>
    <w:p w14:paraId="541E316E" w14:textId="77777777" w:rsidR="00E979D4" w:rsidRPr="005543FA" w:rsidRDefault="00E979D4" w:rsidP="00E979D4">
      <w:pPr>
        <w:spacing w:line="480" w:lineRule="auto"/>
        <w:jc w:val="both"/>
        <w:rPr>
          <w:rFonts w:ascii="Times New Roman" w:hAnsi="Times New Roman" w:cs="Times New Roman"/>
        </w:rPr>
      </w:pPr>
      <w:r w:rsidRPr="005543FA">
        <w:rPr>
          <w:rFonts w:ascii="Times New Roman" w:hAnsi="Times New Roman" w:cs="Times New Roman"/>
        </w:rPr>
        <w:t xml:space="preserve">This study examines the hypothesis that accounting fraud </w:t>
      </w:r>
      <w:r>
        <w:rPr>
          <w:rFonts w:ascii="Times New Roman" w:hAnsi="Times New Roman" w:cs="Times New Roman"/>
        </w:rPr>
        <w:t>and</w:t>
      </w:r>
      <w:r w:rsidRPr="005543FA">
        <w:rPr>
          <w:rFonts w:ascii="Times New Roman" w:hAnsi="Times New Roman" w:cs="Times New Roman"/>
        </w:rPr>
        <w:t xml:space="preserve"> dividend smoothing </w:t>
      </w:r>
      <w:r>
        <w:rPr>
          <w:rFonts w:ascii="Times New Roman" w:hAnsi="Times New Roman" w:cs="Times New Roman"/>
        </w:rPr>
        <w:t>have a positive correlation</w:t>
      </w:r>
      <w:r w:rsidRPr="005543FA">
        <w:rPr>
          <w:rFonts w:ascii="Times New Roman" w:hAnsi="Times New Roman" w:cs="Times New Roman"/>
        </w:rPr>
        <w:t xml:space="preserve">. </w:t>
      </w:r>
      <w:r>
        <w:rPr>
          <w:rFonts w:ascii="Times New Roman" w:hAnsi="Times New Roman" w:cs="Times New Roman"/>
        </w:rPr>
        <w:t xml:space="preserve">Using the </w:t>
      </w:r>
      <w:r w:rsidRPr="005543FA">
        <w:rPr>
          <w:rFonts w:ascii="Times New Roman" w:hAnsi="Times New Roman" w:cs="Times New Roman"/>
        </w:rPr>
        <w:t>Speed of Adjustment (SOA)</w:t>
      </w:r>
      <w:r>
        <w:rPr>
          <w:rFonts w:ascii="Times New Roman" w:hAnsi="Times New Roman" w:cs="Times New Roman"/>
        </w:rPr>
        <w:t xml:space="preserve"> as a measure for dividend smoothing, I</w:t>
      </w:r>
      <w:r w:rsidRPr="005543FA">
        <w:rPr>
          <w:rFonts w:ascii="Times New Roman" w:hAnsi="Times New Roman" w:cs="Times New Roman"/>
        </w:rPr>
        <w:t xml:space="preserve"> document that a one standard deviation increase in accounting fraud decreases the Speed of Adjustment (SOA) by approximately 3.27% to 5.18%, indicating a greater propensity for firms engaged in fraud to maintain consistent dividends. </w:t>
      </w:r>
      <w:r>
        <w:rPr>
          <w:rFonts w:ascii="Times New Roman" w:hAnsi="Times New Roman" w:cs="Times New Roman"/>
        </w:rPr>
        <w:t>My</w:t>
      </w:r>
      <w:r w:rsidRPr="005543FA">
        <w:rPr>
          <w:rFonts w:ascii="Times New Roman" w:hAnsi="Times New Roman" w:cs="Times New Roman"/>
        </w:rPr>
        <w:t xml:space="preserve"> cross-sectional analysis indicates that strong corporate governance (measured by ESG scores) and conservative accounting practices significantly reduce both accounting fraud and dividend smoothing, thus weakening their relationship. These findings suggest that robust governance and conservative financial practices are essential in improving financial transparency and mitigating fraud. This research fills a significant gap in literature by linking accounting fraud with dividend smoothing and provides valuable insights for regulators, auditors and corporate managers who aim to improve governance frameworks and financial reporting standards.</w:t>
      </w:r>
    </w:p>
    <w:p w14:paraId="698D5521" w14:textId="77777777" w:rsidR="00E15C4B" w:rsidRDefault="00E15C4B" w:rsidP="00CA7220">
      <w:pPr>
        <w:rPr>
          <w:rFonts w:ascii="Times New Roman" w:hAnsi="Times New Roman" w:cs="Times New Roman"/>
        </w:rPr>
      </w:pPr>
    </w:p>
    <w:p w14:paraId="3AFEEA57" w14:textId="77777777" w:rsidR="00E15C4B" w:rsidRDefault="00E15C4B" w:rsidP="00CA7220">
      <w:pPr>
        <w:rPr>
          <w:rFonts w:ascii="Times New Roman" w:hAnsi="Times New Roman" w:cs="Times New Roman"/>
        </w:rPr>
      </w:pPr>
    </w:p>
    <w:p w14:paraId="631CBABE" w14:textId="77777777" w:rsidR="00E15C4B" w:rsidRDefault="00E15C4B" w:rsidP="00CA7220">
      <w:pPr>
        <w:rPr>
          <w:rFonts w:ascii="Times New Roman" w:hAnsi="Times New Roman" w:cs="Times New Roman"/>
        </w:rPr>
      </w:pPr>
    </w:p>
    <w:p w14:paraId="6CB4D07C" w14:textId="77777777" w:rsidR="00E15C4B" w:rsidRDefault="00E15C4B" w:rsidP="00CA7220">
      <w:pPr>
        <w:rPr>
          <w:rFonts w:ascii="Times New Roman" w:hAnsi="Times New Roman" w:cs="Times New Roman"/>
        </w:rPr>
      </w:pPr>
    </w:p>
    <w:p w14:paraId="28CE0CB2" w14:textId="77777777" w:rsidR="00E15C4B" w:rsidRDefault="00E15C4B" w:rsidP="00CA7220">
      <w:pPr>
        <w:rPr>
          <w:rFonts w:ascii="Times New Roman" w:hAnsi="Times New Roman" w:cs="Times New Roman"/>
        </w:rPr>
      </w:pPr>
    </w:p>
    <w:p w14:paraId="6EE17020" w14:textId="77777777" w:rsidR="00E15C4B" w:rsidRDefault="00E15C4B" w:rsidP="00CA7220">
      <w:pPr>
        <w:rPr>
          <w:rFonts w:ascii="Times New Roman" w:hAnsi="Times New Roman" w:cs="Times New Roman"/>
        </w:rPr>
      </w:pPr>
    </w:p>
    <w:p w14:paraId="20B32594" w14:textId="77777777" w:rsidR="00E15C4B" w:rsidRDefault="00E15C4B" w:rsidP="00CA7220">
      <w:pPr>
        <w:rPr>
          <w:rFonts w:ascii="Times New Roman" w:hAnsi="Times New Roman" w:cs="Times New Roman"/>
        </w:rPr>
      </w:pPr>
    </w:p>
    <w:p w14:paraId="185333F3" w14:textId="77777777" w:rsidR="00E979D4" w:rsidRDefault="00E979D4" w:rsidP="00CA7220">
      <w:pPr>
        <w:rPr>
          <w:rFonts w:ascii="Times New Roman" w:hAnsi="Times New Roman" w:cs="Times New Roman"/>
        </w:rPr>
      </w:pPr>
    </w:p>
    <w:p w14:paraId="58AE18C4" w14:textId="77777777" w:rsidR="00E979D4" w:rsidRDefault="00E979D4" w:rsidP="00CA7220">
      <w:pPr>
        <w:rPr>
          <w:rFonts w:ascii="Times New Roman" w:hAnsi="Times New Roman" w:cs="Times New Roman"/>
        </w:rPr>
      </w:pPr>
    </w:p>
    <w:p w14:paraId="52CD506B" w14:textId="77777777" w:rsidR="00E979D4" w:rsidRDefault="00E979D4" w:rsidP="00CA7220">
      <w:pPr>
        <w:rPr>
          <w:rFonts w:ascii="Times New Roman" w:hAnsi="Times New Roman" w:cs="Times New Roman"/>
        </w:rPr>
      </w:pPr>
    </w:p>
    <w:p w14:paraId="08DA1ABC" w14:textId="77777777" w:rsidR="00E979D4" w:rsidRDefault="00E979D4" w:rsidP="00CA7220">
      <w:pPr>
        <w:rPr>
          <w:rFonts w:ascii="Times New Roman" w:hAnsi="Times New Roman" w:cs="Times New Roman"/>
        </w:rPr>
      </w:pPr>
    </w:p>
    <w:p w14:paraId="6BB2C663" w14:textId="77777777" w:rsidR="00E979D4" w:rsidRDefault="00E979D4" w:rsidP="00CA7220">
      <w:pPr>
        <w:rPr>
          <w:rFonts w:ascii="Times New Roman" w:hAnsi="Times New Roman" w:cs="Times New Roman"/>
        </w:rPr>
      </w:pPr>
    </w:p>
    <w:p w14:paraId="5AFB3D51" w14:textId="77777777" w:rsidR="00E979D4" w:rsidRDefault="00E979D4" w:rsidP="00CA7220">
      <w:pPr>
        <w:rPr>
          <w:rFonts w:ascii="Times New Roman" w:hAnsi="Times New Roman" w:cs="Times New Roman"/>
        </w:rPr>
      </w:pPr>
    </w:p>
    <w:p w14:paraId="17A8A902" w14:textId="77777777" w:rsidR="00E979D4" w:rsidRDefault="00E979D4" w:rsidP="00CA7220">
      <w:pPr>
        <w:rPr>
          <w:rFonts w:ascii="Times New Roman" w:hAnsi="Times New Roman" w:cs="Times New Roman"/>
        </w:rPr>
      </w:pPr>
    </w:p>
    <w:p w14:paraId="0B3BD65C" w14:textId="77777777" w:rsidR="00E979D4" w:rsidRDefault="00E979D4" w:rsidP="00CA7220">
      <w:pPr>
        <w:rPr>
          <w:rFonts w:ascii="Times New Roman" w:hAnsi="Times New Roman" w:cs="Times New Roman"/>
        </w:rPr>
      </w:pPr>
    </w:p>
    <w:p w14:paraId="0CDE87D5" w14:textId="77777777" w:rsidR="00E979D4" w:rsidRDefault="00E979D4" w:rsidP="00CA7220">
      <w:pPr>
        <w:rPr>
          <w:rFonts w:ascii="Times New Roman" w:hAnsi="Times New Roman" w:cs="Times New Roman"/>
        </w:rPr>
      </w:pPr>
    </w:p>
    <w:p w14:paraId="36821082" w14:textId="77777777" w:rsidR="00E979D4" w:rsidRDefault="00E979D4" w:rsidP="00CA7220">
      <w:pPr>
        <w:rPr>
          <w:rFonts w:ascii="Times New Roman" w:hAnsi="Times New Roman" w:cs="Times New Roman"/>
        </w:rPr>
      </w:pPr>
    </w:p>
    <w:p w14:paraId="64B10CA6" w14:textId="77777777" w:rsidR="00E979D4" w:rsidRDefault="00E979D4" w:rsidP="00CA7220">
      <w:pPr>
        <w:rPr>
          <w:rFonts w:ascii="Times New Roman" w:hAnsi="Times New Roman" w:cs="Times New Roman"/>
        </w:rPr>
      </w:pPr>
    </w:p>
    <w:p w14:paraId="4B4F8EF5" w14:textId="77777777" w:rsidR="00E979D4" w:rsidRDefault="00E979D4" w:rsidP="00CA7220">
      <w:pPr>
        <w:rPr>
          <w:rFonts w:ascii="Times New Roman" w:hAnsi="Times New Roman" w:cs="Times New Roman"/>
        </w:rPr>
      </w:pPr>
    </w:p>
    <w:p w14:paraId="263A0562" w14:textId="77777777" w:rsidR="00E979D4" w:rsidRDefault="00E979D4" w:rsidP="00CA7220">
      <w:pPr>
        <w:rPr>
          <w:rFonts w:ascii="Times New Roman" w:hAnsi="Times New Roman" w:cs="Times New Roman"/>
        </w:rPr>
      </w:pPr>
    </w:p>
    <w:p w14:paraId="5560867C" w14:textId="77777777" w:rsidR="00E15C4B" w:rsidRPr="00785BF3" w:rsidRDefault="00E15C4B" w:rsidP="00CA7220">
      <w:pPr>
        <w:rPr>
          <w:rFonts w:ascii="Times New Roman" w:hAnsi="Times New Roman" w:cs="Times New Roman"/>
        </w:rPr>
      </w:pPr>
    </w:p>
    <w:sdt>
      <w:sdtPr>
        <w:rPr>
          <w:rFonts w:ascii="Times New Roman" w:eastAsiaTheme="minorHAnsi" w:hAnsi="Times New Roman" w:cs="Times New Roman"/>
          <w:b w:val="0"/>
          <w:bCs w:val="0"/>
          <w:color w:val="auto"/>
          <w:kern w:val="2"/>
          <w:sz w:val="20"/>
          <w:szCs w:val="20"/>
          <w:lang w:val="en-GB"/>
          <w14:ligatures w14:val="standardContextual"/>
        </w:rPr>
        <w:id w:val="-1914920941"/>
        <w:docPartObj>
          <w:docPartGallery w:val="Table of Contents"/>
          <w:docPartUnique/>
        </w:docPartObj>
      </w:sdtPr>
      <w:sdtEndPr>
        <w:rPr>
          <w:noProof/>
        </w:rPr>
      </w:sdtEndPr>
      <w:sdtContent>
        <w:p w14:paraId="21C512BF" w14:textId="7AF0C4E6" w:rsidR="00E24325" w:rsidRPr="00E15C4B" w:rsidRDefault="00E15C4B" w:rsidP="004F3EA8">
          <w:pPr>
            <w:pStyle w:val="TOCHeading"/>
            <w:spacing w:line="360" w:lineRule="auto"/>
            <w:jc w:val="both"/>
            <w:rPr>
              <w:rFonts w:ascii="Times New Roman" w:hAnsi="Times New Roman" w:cs="Times New Roman"/>
              <w:color w:val="auto"/>
              <w:sz w:val="24"/>
              <w:szCs w:val="24"/>
            </w:rPr>
          </w:pPr>
          <w:r w:rsidRPr="00E15C4B">
            <w:rPr>
              <w:rFonts w:ascii="Times New Roman" w:hAnsi="Times New Roman" w:cs="Times New Roman"/>
              <w:color w:val="auto"/>
              <w:sz w:val="24"/>
              <w:szCs w:val="24"/>
            </w:rPr>
            <w:t>T</w:t>
          </w:r>
          <w:r w:rsidR="00E24325" w:rsidRPr="00E15C4B">
            <w:rPr>
              <w:rFonts w:ascii="Times New Roman" w:hAnsi="Times New Roman" w:cs="Times New Roman"/>
              <w:color w:val="auto"/>
              <w:sz w:val="24"/>
              <w:szCs w:val="24"/>
            </w:rPr>
            <w:t>able of Contents</w:t>
          </w:r>
        </w:p>
        <w:p w14:paraId="38F32E27" w14:textId="64E7CBD7" w:rsidR="00F06518" w:rsidRDefault="00E24325">
          <w:pPr>
            <w:pStyle w:val="TOC1"/>
            <w:tabs>
              <w:tab w:val="right" w:leader="dot" w:pos="9010"/>
            </w:tabs>
            <w:rPr>
              <w:rFonts w:eastAsiaTheme="minorEastAsia"/>
              <w:b w:val="0"/>
              <w:bCs w:val="0"/>
              <w:i w:val="0"/>
              <w:iCs w:val="0"/>
              <w:noProof/>
              <w:lang w:eastAsia="en-GB"/>
            </w:rPr>
          </w:pPr>
          <w:r w:rsidRPr="00E15C4B">
            <w:rPr>
              <w:rFonts w:ascii="Times New Roman" w:hAnsi="Times New Roman" w:cs="Times New Roman"/>
              <w:b w:val="0"/>
              <w:bCs w:val="0"/>
            </w:rPr>
            <w:fldChar w:fldCharType="begin"/>
          </w:r>
          <w:r w:rsidRPr="00E15C4B">
            <w:rPr>
              <w:rFonts w:ascii="Times New Roman" w:hAnsi="Times New Roman" w:cs="Times New Roman"/>
            </w:rPr>
            <w:instrText xml:space="preserve"> TOC \o "1-3" \h \z \u </w:instrText>
          </w:r>
          <w:r w:rsidRPr="00E15C4B">
            <w:rPr>
              <w:rFonts w:ascii="Times New Roman" w:hAnsi="Times New Roman" w:cs="Times New Roman"/>
              <w:b w:val="0"/>
              <w:bCs w:val="0"/>
            </w:rPr>
            <w:fldChar w:fldCharType="separate"/>
          </w:r>
          <w:hyperlink w:anchor="_Toc167763028" w:history="1">
            <w:r w:rsidR="00F06518" w:rsidRPr="00B5303D">
              <w:rPr>
                <w:rStyle w:val="Hyperlink"/>
                <w:rFonts w:ascii="Times New Roman" w:hAnsi="Times New Roman" w:cs="Times New Roman"/>
                <w:noProof/>
              </w:rPr>
              <w:t>Acknowledgements</w:t>
            </w:r>
            <w:r w:rsidR="00F06518">
              <w:rPr>
                <w:noProof/>
                <w:webHidden/>
              </w:rPr>
              <w:tab/>
            </w:r>
            <w:r w:rsidR="00F06518">
              <w:rPr>
                <w:noProof/>
                <w:webHidden/>
              </w:rPr>
              <w:fldChar w:fldCharType="begin"/>
            </w:r>
            <w:r w:rsidR="00F06518">
              <w:rPr>
                <w:noProof/>
                <w:webHidden/>
              </w:rPr>
              <w:instrText xml:space="preserve"> PAGEREF _Toc167763028 \h </w:instrText>
            </w:r>
            <w:r w:rsidR="00F06518">
              <w:rPr>
                <w:noProof/>
                <w:webHidden/>
              </w:rPr>
            </w:r>
            <w:r w:rsidR="00F06518">
              <w:rPr>
                <w:noProof/>
                <w:webHidden/>
              </w:rPr>
              <w:fldChar w:fldCharType="separate"/>
            </w:r>
            <w:r w:rsidR="00F06518">
              <w:rPr>
                <w:noProof/>
                <w:webHidden/>
              </w:rPr>
              <w:t>i</w:t>
            </w:r>
            <w:r w:rsidR="00F06518">
              <w:rPr>
                <w:noProof/>
                <w:webHidden/>
              </w:rPr>
              <w:fldChar w:fldCharType="end"/>
            </w:r>
          </w:hyperlink>
        </w:p>
        <w:p w14:paraId="643E6515" w14:textId="052F2EB2" w:rsidR="00F06518" w:rsidRDefault="00F06518">
          <w:pPr>
            <w:pStyle w:val="TOC1"/>
            <w:tabs>
              <w:tab w:val="right" w:leader="dot" w:pos="9010"/>
            </w:tabs>
            <w:rPr>
              <w:rFonts w:eastAsiaTheme="minorEastAsia"/>
              <w:b w:val="0"/>
              <w:bCs w:val="0"/>
              <w:i w:val="0"/>
              <w:iCs w:val="0"/>
              <w:noProof/>
              <w:lang w:eastAsia="en-GB"/>
            </w:rPr>
          </w:pPr>
          <w:hyperlink w:anchor="_Toc167763029" w:history="1">
            <w:r w:rsidRPr="00B5303D">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_Toc167763029 \h </w:instrText>
            </w:r>
            <w:r>
              <w:rPr>
                <w:noProof/>
                <w:webHidden/>
              </w:rPr>
            </w:r>
            <w:r>
              <w:rPr>
                <w:noProof/>
                <w:webHidden/>
              </w:rPr>
              <w:fldChar w:fldCharType="separate"/>
            </w:r>
            <w:r>
              <w:rPr>
                <w:noProof/>
                <w:webHidden/>
              </w:rPr>
              <w:t>ii</w:t>
            </w:r>
            <w:r>
              <w:rPr>
                <w:noProof/>
                <w:webHidden/>
              </w:rPr>
              <w:fldChar w:fldCharType="end"/>
            </w:r>
          </w:hyperlink>
        </w:p>
        <w:p w14:paraId="48B8CB71" w14:textId="068A9F3B" w:rsidR="00F06518" w:rsidRDefault="00F06518">
          <w:pPr>
            <w:pStyle w:val="TOC1"/>
            <w:tabs>
              <w:tab w:val="left" w:pos="480"/>
              <w:tab w:val="right" w:leader="dot" w:pos="9010"/>
            </w:tabs>
            <w:rPr>
              <w:rFonts w:eastAsiaTheme="minorEastAsia"/>
              <w:b w:val="0"/>
              <w:bCs w:val="0"/>
              <w:i w:val="0"/>
              <w:iCs w:val="0"/>
              <w:noProof/>
              <w:lang w:eastAsia="en-GB"/>
            </w:rPr>
          </w:pPr>
          <w:hyperlink w:anchor="_Toc167763030" w:history="1">
            <w:r w:rsidRPr="00B5303D">
              <w:rPr>
                <w:rStyle w:val="Hyperlink"/>
                <w:rFonts w:ascii="Times New Roman" w:hAnsi="Times New Roman" w:cs="Times New Roman"/>
                <w:noProof/>
              </w:rPr>
              <w:t>1.</w:t>
            </w:r>
            <w:r>
              <w:rPr>
                <w:rFonts w:eastAsiaTheme="minorEastAsia"/>
                <w:b w:val="0"/>
                <w:bCs w:val="0"/>
                <w:i w:val="0"/>
                <w:iCs w:val="0"/>
                <w:noProof/>
                <w:lang w:eastAsia="en-GB"/>
              </w:rPr>
              <w:tab/>
            </w:r>
            <w:r w:rsidRPr="00B5303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_Toc167763030 \h </w:instrText>
            </w:r>
            <w:r>
              <w:rPr>
                <w:noProof/>
                <w:webHidden/>
              </w:rPr>
            </w:r>
            <w:r>
              <w:rPr>
                <w:noProof/>
                <w:webHidden/>
              </w:rPr>
              <w:fldChar w:fldCharType="separate"/>
            </w:r>
            <w:r>
              <w:rPr>
                <w:noProof/>
                <w:webHidden/>
              </w:rPr>
              <w:t>1</w:t>
            </w:r>
            <w:r>
              <w:rPr>
                <w:noProof/>
                <w:webHidden/>
              </w:rPr>
              <w:fldChar w:fldCharType="end"/>
            </w:r>
          </w:hyperlink>
        </w:p>
        <w:p w14:paraId="74618EB5" w14:textId="7D151C1A" w:rsidR="00F06518" w:rsidRDefault="00F06518">
          <w:pPr>
            <w:pStyle w:val="TOC1"/>
            <w:tabs>
              <w:tab w:val="left" w:pos="480"/>
              <w:tab w:val="right" w:leader="dot" w:pos="9010"/>
            </w:tabs>
            <w:rPr>
              <w:rFonts w:eastAsiaTheme="minorEastAsia"/>
              <w:b w:val="0"/>
              <w:bCs w:val="0"/>
              <w:i w:val="0"/>
              <w:iCs w:val="0"/>
              <w:noProof/>
              <w:lang w:eastAsia="en-GB"/>
            </w:rPr>
          </w:pPr>
          <w:hyperlink w:anchor="_Toc167763031" w:history="1">
            <w:r w:rsidRPr="00B5303D">
              <w:rPr>
                <w:rStyle w:val="Hyperlink"/>
                <w:rFonts w:ascii="Times New Roman" w:eastAsia="Times New Roman" w:hAnsi="Times New Roman" w:cs="Times New Roman"/>
                <w:noProof/>
                <w:lang w:eastAsia="en-GB"/>
              </w:rPr>
              <w:t>2.</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Literature review</w:t>
            </w:r>
            <w:r>
              <w:rPr>
                <w:noProof/>
                <w:webHidden/>
              </w:rPr>
              <w:tab/>
            </w:r>
            <w:r>
              <w:rPr>
                <w:noProof/>
                <w:webHidden/>
              </w:rPr>
              <w:fldChar w:fldCharType="begin"/>
            </w:r>
            <w:r>
              <w:rPr>
                <w:noProof/>
                <w:webHidden/>
              </w:rPr>
              <w:instrText xml:space="preserve"> PAGEREF _Toc167763031 \h </w:instrText>
            </w:r>
            <w:r>
              <w:rPr>
                <w:noProof/>
                <w:webHidden/>
              </w:rPr>
            </w:r>
            <w:r>
              <w:rPr>
                <w:noProof/>
                <w:webHidden/>
              </w:rPr>
              <w:fldChar w:fldCharType="separate"/>
            </w:r>
            <w:r>
              <w:rPr>
                <w:noProof/>
                <w:webHidden/>
              </w:rPr>
              <w:t>6</w:t>
            </w:r>
            <w:r>
              <w:rPr>
                <w:noProof/>
                <w:webHidden/>
              </w:rPr>
              <w:fldChar w:fldCharType="end"/>
            </w:r>
          </w:hyperlink>
        </w:p>
        <w:p w14:paraId="5DAC9BBB" w14:textId="11E62087" w:rsidR="00F06518" w:rsidRDefault="00F06518">
          <w:pPr>
            <w:pStyle w:val="TOC1"/>
            <w:tabs>
              <w:tab w:val="left" w:pos="480"/>
              <w:tab w:val="right" w:leader="dot" w:pos="9010"/>
            </w:tabs>
            <w:rPr>
              <w:rFonts w:eastAsiaTheme="minorEastAsia"/>
              <w:b w:val="0"/>
              <w:bCs w:val="0"/>
              <w:i w:val="0"/>
              <w:iCs w:val="0"/>
              <w:noProof/>
              <w:lang w:eastAsia="en-GB"/>
            </w:rPr>
          </w:pPr>
          <w:hyperlink w:anchor="_Toc167763032" w:history="1">
            <w:r w:rsidRPr="00B5303D">
              <w:rPr>
                <w:rStyle w:val="Hyperlink"/>
                <w:rFonts w:ascii="Times New Roman" w:eastAsia="Times New Roman" w:hAnsi="Times New Roman" w:cs="Times New Roman"/>
                <w:noProof/>
                <w:lang w:eastAsia="en-GB"/>
              </w:rPr>
              <w:t>3.</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Hypotheses Development</w:t>
            </w:r>
            <w:r>
              <w:rPr>
                <w:noProof/>
                <w:webHidden/>
              </w:rPr>
              <w:tab/>
            </w:r>
            <w:r>
              <w:rPr>
                <w:noProof/>
                <w:webHidden/>
              </w:rPr>
              <w:fldChar w:fldCharType="begin"/>
            </w:r>
            <w:r>
              <w:rPr>
                <w:noProof/>
                <w:webHidden/>
              </w:rPr>
              <w:instrText xml:space="preserve"> PAGEREF _Toc167763032 \h </w:instrText>
            </w:r>
            <w:r>
              <w:rPr>
                <w:noProof/>
                <w:webHidden/>
              </w:rPr>
            </w:r>
            <w:r>
              <w:rPr>
                <w:noProof/>
                <w:webHidden/>
              </w:rPr>
              <w:fldChar w:fldCharType="separate"/>
            </w:r>
            <w:r>
              <w:rPr>
                <w:noProof/>
                <w:webHidden/>
              </w:rPr>
              <w:t>13</w:t>
            </w:r>
            <w:r>
              <w:rPr>
                <w:noProof/>
                <w:webHidden/>
              </w:rPr>
              <w:fldChar w:fldCharType="end"/>
            </w:r>
          </w:hyperlink>
        </w:p>
        <w:p w14:paraId="41DF3704" w14:textId="13737374" w:rsidR="00F06518" w:rsidRDefault="00F06518">
          <w:pPr>
            <w:pStyle w:val="TOC2"/>
            <w:tabs>
              <w:tab w:val="right" w:leader="dot" w:pos="9010"/>
            </w:tabs>
            <w:rPr>
              <w:rFonts w:eastAsiaTheme="minorEastAsia"/>
              <w:b w:val="0"/>
              <w:bCs w:val="0"/>
              <w:noProof/>
              <w:sz w:val="24"/>
              <w:szCs w:val="24"/>
              <w:lang w:eastAsia="en-GB"/>
            </w:rPr>
          </w:pPr>
          <w:hyperlink w:anchor="_Toc167763033" w:history="1">
            <w:r w:rsidRPr="00B5303D">
              <w:rPr>
                <w:rStyle w:val="Hyperlink"/>
                <w:rFonts w:ascii="Times New Roman" w:hAnsi="Times New Roman" w:cs="Times New Roman"/>
                <w:noProof/>
              </w:rPr>
              <w:t>3.1 Accounting Fraud and Dividend Smoothing</w:t>
            </w:r>
            <w:r>
              <w:rPr>
                <w:noProof/>
                <w:webHidden/>
              </w:rPr>
              <w:tab/>
            </w:r>
            <w:r>
              <w:rPr>
                <w:noProof/>
                <w:webHidden/>
              </w:rPr>
              <w:fldChar w:fldCharType="begin"/>
            </w:r>
            <w:r>
              <w:rPr>
                <w:noProof/>
                <w:webHidden/>
              </w:rPr>
              <w:instrText xml:space="preserve"> PAGEREF _Toc167763033 \h </w:instrText>
            </w:r>
            <w:r>
              <w:rPr>
                <w:noProof/>
                <w:webHidden/>
              </w:rPr>
            </w:r>
            <w:r>
              <w:rPr>
                <w:noProof/>
                <w:webHidden/>
              </w:rPr>
              <w:fldChar w:fldCharType="separate"/>
            </w:r>
            <w:r>
              <w:rPr>
                <w:noProof/>
                <w:webHidden/>
              </w:rPr>
              <w:t>14</w:t>
            </w:r>
            <w:r>
              <w:rPr>
                <w:noProof/>
                <w:webHidden/>
              </w:rPr>
              <w:fldChar w:fldCharType="end"/>
            </w:r>
          </w:hyperlink>
        </w:p>
        <w:p w14:paraId="2B4E6561" w14:textId="0E22E9AE" w:rsidR="00F06518" w:rsidRDefault="00F06518">
          <w:pPr>
            <w:pStyle w:val="TOC2"/>
            <w:tabs>
              <w:tab w:val="right" w:leader="dot" w:pos="9010"/>
            </w:tabs>
            <w:rPr>
              <w:rFonts w:eastAsiaTheme="minorEastAsia"/>
              <w:b w:val="0"/>
              <w:bCs w:val="0"/>
              <w:noProof/>
              <w:sz w:val="24"/>
              <w:szCs w:val="24"/>
              <w:lang w:eastAsia="en-GB"/>
            </w:rPr>
          </w:pPr>
          <w:hyperlink w:anchor="_Toc167763034" w:history="1">
            <w:r w:rsidRPr="00B5303D">
              <w:rPr>
                <w:rStyle w:val="Hyperlink"/>
                <w:rFonts w:ascii="Times New Roman" w:hAnsi="Times New Roman" w:cs="Times New Roman"/>
                <w:noProof/>
              </w:rPr>
              <w:t>3.2 Corporate Governance, Fraud and Dividend Smoothing</w:t>
            </w:r>
            <w:r>
              <w:rPr>
                <w:noProof/>
                <w:webHidden/>
              </w:rPr>
              <w:tab/>
            </w:r>
            <w:r>
              <w:rPr>
                <w:noProof/>
                <w:webHidden/>
              </w:rPr>
              <w:fldChar w:fldCharType="begin"/>
            </w:r>
            <w:r>
              <w:rPr>
                <w:noProof/>
                <w:webHidden/>
              </w:rPr>
              <w:instrText xml:space="preserve"> PAGEREF _Toc167763034 \h </w:instrText>
            </w:r>
            <w:r>
              <w:rPr>
                <w:noProof/>
                <w:webHidden/>
              </w:rPr>
            </w:r>
            <w:r>
              <w:rPr>
                <w:noProof/>
                <w:webHidden/>
              </w:rPr>
              <w:fldChar w:fldCharType="separate"/>
            </w:r>
            <w:r>
              <w:rPr>
                <w:noProof/>
                <w:webHidden/>
              </w:rPr>
              <w:t>14</w:t>
            </w:r>
            <w:r>
              <w:rPr>
                <w:noProof/>
                <w:webHidden/>
              </w:rPr>
              <w:fldChar w:fldCharType="end"/>
            </w:r>
          </w:hyperlink>
        </w:p>
        <w:p w14:paraId="7993F44E" w14:textId="59980ED7" w:rsidR="00F06518" w:rsidRDefault="00F06518">
          <w:pPr>
            <w:pStyle w:val="TOC2"/>
            <w:tabs>
              <w:tab w:val="right" w:leader="dot" w:pos="9010"/>
            </w:tabs>
            <w:rPr>
              <w:rFonts w:eastAsiaTheme="minorEastAsia"/>
              <w:b w:val="0"/>
              <w:bCs w:val="0"/>
              <w:noProof/>
              <w:sz w:val="24"/>
              <w:szCs w:val="24"/>
              <w:lang w:eastAsia="en-GB"/>
            </w:rPr>
          </w:pPr>
          <w:hyperlink w:anchor="_Toc167763035" w:history="1">
            <w:r w:rsidRPr="00B5303D">
              <w:rPr>
                <w:rStyle w:val="Hyperlink"/>
                <w:rFonts w:ascii="Times New Roman" w:hAnsi="Times New Roman" w:cs="Times New Roman"/>
                <w:noProof/>
              </w:rPr>
              <w:t>3.3 Accounting Conservatism, Fraud and Dividend Smoothing</w:t>
            </w:r>
            <w:r>
              <w:rPr>
                <w:noProof/>
                <w:webHidden/>
              </w:rPr>
              <w:tab/>
            </w:r>
            <w:r>
              <w:rPr>
                <w:noProof/>
                <w:webHidden/>
              </w:rPr>
              <w:fldChar w:fldCharType="begin"/>
            </w:r>
            <w:r>
              <w:rPr>
                <w:noProof/>
                <w:webHidden/>
              </w:rPr>
              <w:instrText xml:space="preserve"> PAGEREF _Toc167763035 \h </w:instrText>
            </w:r>
            <w:r>
              <w:rPr>
                <w:noProof/>
                <w:webHidden/>
              </w:rPr>
            </w:r>
            <w:r>
              <w:rPr>
                <w:noProof/>
                <w:webHidden/>
              </w:rPr>
              <w:fldChar w:fldCharType="separate"/>
            </w:r>
            <w:r>
              <w:rPr>
                <w:noProof/>
                <w:webHidden/>
              </w:rPr>
              <w:t>15</w:t>
            </w:r>
            <w:r>
              <w:rPr>
                <w:noProof/>
                <w:webHidden/>
              </w:rPr>
              <w:fldChar w:fldCharType="end"/>
            </w:r>
          </w:hyperlink>
        </w:p>
        <w:p w14:paraId="3C104BC6" w14:textId="5FEE1F82" w:rsidR="00F06518" w:rsidRDefault="00F06518">
          <w:pPr>
            <w:pStyle w:val="TOC1"/>
            <w:tabs>
              <w:tab w:val="left" w:pos="480"/>
              <w:tab w:val="right" w:leader="dot" w:pos="9010"/>
            </w:tabs>
            <w:rPr>
              <w:rFonts w:eastAsiaTheme="minorEastAsia"/>
              <w:b w:val="0"/>
              <w:bCs w:val="0"/>
              <w:i w:val="0"/>
              <w:iCs w:val="0"/>
              <w:noProof/>
              <w:lang w:eastAsia="en-GB"/>
            </w:rPr>
          </w:pPr>
          <w:hyperlink w:anchor="_Toc167763036" w:history="1">
            <w:r w:rsidRPr="00B5303D">
              <w:rPr>
                <w:rStyle w:val="Hyperlink"/>
                <w:rFonts w:ascii="Times New Roman" w:eastAsia="Times New Roman" w:hAnsi="Times New Roman" w:cs="Times New Roman"/>
                <w:noProof/>
                <w:lang w:eastAsia="en-GB"/>
              </w:rPr>
              <w:t>4.</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Sample Selection Procedure and Methodology</w:t>
            </w:r>
            <w:r>
              <w:rPr>
                <w:noProof/>
                <w:webHidden/>
              </w:rPr>
              <w:tab/>
            </w:r>
            <w:r>
              <w:rPr>
                <w:noProof/>
                <w:webHidden/>
              </w:rPr>
              <w:fldChar w:fldCharType="begin"/>
            </w:r>
            <w:r>
              <w:rPr>
                <w:noProof/>
                <w:webHidden/>
              </w:rPr>
              <w:instrText xml:space="preserve"> PAGEREF _Toc167763036 \h </w:instrText>
            </w:r>
            <w:r>
              <w:rPr>
                <w:noProof/>
                <w:webHidden/>
              </w:rPr>
            </w:r>
            <w:r>
              <w:rPr>
                <w:noProof/>
                <w:webHidden/>
              </w:rPr>
              <w:fldChar w:fldCharType="separate"/>
            </w:r>
            <w:r>
              <w:rPr>
                <w:noProof/>
                <w:webHidden/>
              </w:rPr>
              <w:t>15</w:t>
            </w:r>
            <w:r>
              <w:rPr>
                <w:noProof/>
                <w:webHidden/>
              </w:rPr>
              <w:fldChar w:fldCharType="end"/>
            </w:r>
          </w:hyperlink>
        </w:p>
        <w:p w14:paraId="5837B316" w14:textId="24F31C4E" w:rsidR="00F06518" w:rsidRDefault="00F06518">
          <w:pPr>
            <w:pStyle w:val="TOC2"/>
            <w:tabs>
              <w:tab w:val="right" w:leader="dot" w:pos="9010"/>
            </w:tabs>
            <w:rPr>
              <w:rFonts w:eastAsiaTheme="minorEastAsia"/>
              <w:b w:val="0"/>
              <w:bCs w:val="0"/>
              <w:noProof/>
              <w:sz w:val="24"/>
              <w:szCs w:val="24"/>
              <w:lang w:eastAsia="en-GB"/>
            </w:rPr>
          </w:pPr>
          <w:hyperlink w:anchor="_Toc167763037" w:history="1">
            <w:r w:rsidRPr="00B5303D">
              <w:rPr>
                <w:rStyle w:val="Hyperlink"/>
                <w:rFonts w:ascii="Times New Roman" w:hAnsi="Times New Roman" w:cs="Times New Roman"/>
                <w:noProof/>
              </w:rPr>
              <w:t>4.1 Sample Selection</w:t>
            </w:r>
            <w:r>
              <w:rPr>
                <w:noProof/>
                <w:webHidden/>
              </w:rPr>
              <w:tab/>
            </w:r>
            <w:r>
              <w:rPr>
                <w:noProof/>
                <w:webHidden/>
              </w:rPr>
              <w:fldChar w:fldCharType="begin"/>
            </w:r>
            <w:r>
              <w:rPr>
                <w:noProof/>
                <w:webHidden/>
              </w:rPr>
              <w:instrText xml:space="preserve"> PAGEREF _Toc167763037 \h </w:instrText>
            </w:r>
            <w:r>
              <w:rPr>
                <w:noProof/>
                <w:webHidden/>
              </w:rPr>
            </w:r>
            <w:r>
              <w:rPr>
                <w:noProof/>
                <w:webHidden/>
              </w:rPr>
              <w:fldChar w:fldCharType="separate"/>
            </w:r>
            <w:r>
              <w:rPr>
                <w:noProof/>
                <w:webHidden/>
              </w:rPr>
              <w:t>15</w:t>
            </w:r>
            <w:r>
              <w:rPr>
                <w:noProof/>
                <w:webHidden/>
              </w:rPr>
              <w:fldChar w:fldCharType="end"/>
            </w:r>
          </w:hyperlink>
        </w:p>
        <w:p w14:paraId="6BDE29C2" w14:textId="0B2E73D5" w:rsidR="00F06518" w:rsidRDefault="00F06518">
          <w:pPr>
            <w:pStyle w:val="TOC2"/>
            <w:tabs>
              <w:tab w:val="right" w:leader="dot" w:pos="9010"/>
            </w:tabs>
            <w:rPr>
              <w:rFonts w:eastAsiaTheme="minorEastAsia"/>
              <w:b w:val="0"/>
              <w:bCs w:val="0"/>
              <w:noProof/>
              <w:sz w:val="24"/>
              <w:szCs w:val="24"/>
              <w:lang w:eastAsia="en-GB"/>
            </w:rPr>
          </w:pPr>
          <w:hyperlink w:anchor="_Toc167763038" w:history="1">
            <w:r w:rsidRPr="00B5303D">
              <w:rPr>
                <w:rStyle w:val="Hyperlink"/>
                <w:rFonts w:ascii="Times New Roman" w:hAnsi="Times New Roman" w:cs="Times New Roman"/>
                <w:noProof/>
              </w:rPr>
              <w:t>4.2 Fixed Effects and Clustered Standard Errors</w:t>
            </w:r>
            <w:r>
              <w:rPr>
                <w:noProof/>
                <w:webHidden/>
              </w:rPr>
              <w:tab/>
            </w:r>
            <w:r>
              <w:rPr>
                <w:noProof/>
                <w:webHidden/>
              </w:rPr>
              <w:fldChar w:fldCharType="begin"/>
            </w:r>
            <w:r>
              <w:rPr>
                <w:noProof/>
                <w:webHidden/>
              </w:rPr>
              <w:instrText xml:space="preserve"> PAGEREF _Toc167763038 \h </w:instrText>
            </w:r>
            <w:r>
              <w:rPr>
                <w:noProof/>
                <w:webHidden/>
              </w:rPr>
            </w:r>
            <w:r>
              <w:rPr>
                <w:noProof/>
                <w:webHidden/>
              </w:rPr>
              <w:fldChar w:fldCharType="separate"/>
            </w:r>
            <w:r>
              <w:rPr>
                <w:noProof/>
                <w:webHidden/>
              </w:rPr>
              <w:t>16</w:t>
            </w:r>
            <w:r>
              <w:rPr>
                <w:noProof/>
                <w:webHidden/>
              </w:rPr>
              <w:fldChar w:fldCharType="end"/>
            </w:r>
          </w:hyperlink>
        </w:p>
        <w:p w14:paraId="44F4DE5A" w14:textId="4D803E15" w:rsidR="00F06518" w:rsidRDefault="00F06518">
          <w:pPr>
            <w:pStyle w:val="TOC2"/>
            <w:tabs>
              <w:tab w:val="right" w:leader="dot" w:pos="9010"/>
            </w:tabs>
            <w:rPr>
              <w:rFonts w:eastAsiaTheme="minorEastAsia"/>
              <w:b w:val="0"/>
              <w:bCs w:val="0"/>
              <w:noProof/>
              <w:sz w:val="24"/>
              <w:szCs w:val="24"/>
              <w:lang w:eastAsia="en-GB"/>
            </w:rPr>
          </w:pPr>
          <w:hyperlink w:anchor="_Toc167763039" w:history="1">
            <w:r w:rsidRPr="00B5303D">
              <w:rPr>
                <w:rStyle w:val="Hyperlink"/>
                <w:rFonts w:ascii="Times New Roman" w:hAnsi="Times New Roman" w:cs="Times New Roman"/>
                <w:noProof/>
              </w:rPr>
              <w:t>4.3 Entropy balancing</w:t>
            </w:r>
            <w:r>
              <w:rPr>
                <w:noProof/>
                <w:webHidden/>
              </w:rPr>
              <w:tab/>
            </w:r>
            <w:r>
              <w:rPr>
                <w:noProof/>
                <w:webHidden/>
              </w:rPr>
              <w:fldChar w:fldCharType="begin"/>
            </w:r>
            <w:r>
              <w:rPr>
                <w:noProof/>
                <w:webHidden/>
              </w:rPr>
              <w:instrText xml:space="preserve"> PAGEREF _Toc167763039 \h </w:instrText>
            </w:r>
            <w:r>
              <w:rPr>
                <w:noProof/>
                <w:webHidden/>
              </w:rPr>
            </w:r>
            <w:r>
              <w:rPr>
                <w:noProof/>
                <w:webHidden/>
              </w:rPr>
              <w:fldChar w:fldCharType="separate"/>
            </w:r>
            <w:r>
              <w:rPr>
                <w:noProof/>
                <w:webHidden/>
              </w:rPr>
              <w:t>17</w:t>
            </w:r>
            <w:r>
              <w:rPr>
                <w:noProof/>
                <w:webHidden/>
              </w:rPr>
              <w:fldChar w:fldCharType="end"/>
            </w:r>
          </w:hyperlink>
        </w:p>
        <w:p w14:paraId="01030BAD" w14:textId="3383DB2F" w:rsidR="00F06518" w:rsidRDefault="00F06518">
          <w:pPr>
            <w:pStyle w:val="TOC1"/>
            <w:tabs>
              <w:tab w:val="left" w:pos="480"/>
              <w:tab w:val="right" w:leader="dot" w:pos="9010"/>
            </w:tabs>
            <w:rPr>
              <w:rFonts w:eastAsiaTheme="minorEastAsia"/>
              <w:b w:val="0"/>
              <w:bCs w:val="0"/>
              <w:i w:val="0"/>
              <w:iCs w:val="0"/>
              <w:noProof/>
              <w:lang w:eastAsia="en-GB"/>
            </w:rPr>
          </w:pPr>
          <w:hyperlink w:anchor="_Toc167763040" w:history="1">
            <w:r w:rsidRPr="00B5303D">
              <w:rPr>
                <w:rStyle w:val="Hyperlink"/>
                <w:rFonts w:ascii="Times New Roman" w:hAnsi="Times New Roman" w:cs="Times New Roman"/>
                <w:noProof/>
                <w:lang w:val="en-US"/>
              </w:rPr>
              <w:t>5.</w:t>
            </w:r>
            <w:r>
              <w:rPr>
                <w:rFonts w:eastAsiaTheme="minorEastAsia"/>
                <w:b w:val="0"/>
                <w:bCs w:val="0"/>
                <w:i w:val="0"/>
                <w:iCs w:val="0"/>
                <w:noProof/>
                <w:lang w:eastAsia="en-GB"/>
              </w:rPr>
              <w:tab/>
            </w:r>
            <w:r w:rsidRPr="00B5303D">
              <w:rPr>
                <w:rStyle w:val="Hyperlink"/>
                <w:rFonts w:ascii="Times New Roman" w:hAnsi="Times New Roman" w:cs="Times New Roman"/>
                <w:noProof/>
                <w:lang w:val="en-US"/>
              </w:rPr>
              <w:t>Research Design</w:t>
            </w:r>
            <w:r>
              <w:rPr>
                <w:noProof/>
                <w:webHidden/>
              </w:rPr>
              <w:tab/>
            </w:r>
            <w:r>
              <w:rPr>
                <w:noProof/>
                <w:webHidden/>
              </w:rPr>
              <w:fldChar w:fldCharType="begin"/>
            </w:r>
            <w:r>
              <w:rPr>
                <w:noProof/>
                <w:webHidden/>
              </w:rPr>
              <w:instrText xml:space="preserve"> PAGEREF _Toc167763040 \h </w:instrText>
            </w:r>
            <w:r>
              <w:rPr>
                <w:noProof/>
                <w:webHidden/>
              </w:rPr>
            </w:r>
            <w:r>
              <w:rPr>
                <w:noProof/>
                <w:webHidden/>
              </w:rPr>
              <w:fldChar w:fldCharType="separate"/>
            </w:r>
            <w:r>
              <w:rPr>
                <w:noProof/>
                <w:webHidden/>
              </w:rPr>
              <w:t>18</w:t>
            </w:r>
            <w:r>
              <w:rPr>
                <w:noProof/>
                <w:webHidden/>
              </w:rPr>
              <w:fldChar w:fldCharType="end"/>
            </w:r>
          </w:hyperlink>
        </w:p>
        <w:p w14:paraId="6CE38B51" w14:textId="391D9403" w:rsidR="00F06518" w:rsidRDefault="00F06518">
          <w:pPr>
            <w:pStyle w:val="TOC2"/>
            <w:tabs>
              <w:tab w:val="right" w:leader="dot" w:pos="9010"/>
            </w:tabs>
            <w:rPr>
              <w:rFonts w:eastAsiaTheme="minorEastAsia"/>
              <w:b w:val="0"/>
              <w:bCs w:val="0"/>
              <w:noProof/>
              <w:sz w:val="24"/>
              <w:szCs w:val="24"/>
              <w:lang w:eastAsia="en-GB"/>
            </w:rPr>
          </w:pPr>
          <w:hyperlink w:anchor="_Toc167763041" w:history="1">
            <w:r w:rsidRPr="00B5303D">
              <w:rPr>
                <w:rStyle w:val="Hyperlink"/>
                <w:rFonts w:ascii="Times New Roman" w:hAnsi="Times New Roman" w:cs="Times New Roman"/>
                <w:noProof/>
                <w:lang w:val="en-US"/>
              </w:rPr>
              <w:t>5.1 Measurement of Dividend Smoothing</w:t>
            </w:r>
            <w:r>
              <w:rPr>
                <w:noProof/>
                <w:webHidden/>
              </w:rPr>
              <w:tab/>
            </w:r>
            <w:r>
              <w:rPr>
                <w:noProof/>
                <w:webHidden/>
              </w:rPr>
              <w:fldChar w:fldCharType="begin"/>
            </w:r>
            <w:r>
              <w:rPr>
                <w:noProof/>
                <w:webHidden/>
              </w:rPr>
              <w:instrText xml:space="preserve"> PAGEREF _Toc167763041 \h </w:instrText>
            </w:r>
            <w:r>
              <w:rPr>
                <w:noProof/>
                <w:webHidden/>
              </w:rPr>
            </w:r>
            <w:r>
              <w:rPr>
                <w:noProof/>
                <w:webHidden/>
              </w:rPr>
              <w:fldChar w:fldCharType="separate"/>
            </w:r>
            <w:r>
              <w:rPr>
                <w:noProof/>
                <w:webHidden/>
              </w:rPr>
              <w:t>18</w:t>
            </w:r>
            <w:r>
              <w:rPr>
                <w:noProof/>
                <w:webHidden/>
              </w:rPr>
              <w:fldChar w:fldCharType="end"/>
            </w:r>
          </w:hyperlink>
        </w:p>
        <w:p w14:paraId="7064875A" w14:textId="4FBA14CB" w:rsidR="00F06518" w:rsidRDefault="00F06518">
          <w:pPr>
            <w:pStyle w:val="TOC2"/>
            <w:tabs>
              <w:tab w:val="right" w:leader="dot" w:pos="9010"/>
            </w:tabs>
            <w:rPr>
              <w:rFonts w:eastAsiaTheme="minorEastAsia"/>
              <w:b w:val="0"/>
              <w:bCs w:val="0"/>
              <w:noProof/>
              <w:sz w:val="24"/>
              <w:szCs w:val="24"/>
              <w:lang w:eastAsia="en-GB"/>
            </w:rPr>
          </w:pPr>
          <w:hyperlink w:anchor="_Toc167763042" w:history="1">
            <w:r w:rsidRPr="00B5303D">
              <w:rPr>
                <w:rStyle w:val="Hyperlink"/>
                <w:rFonts w:ascii="Times New Roman" w:hAnsi="Times New Roman" w:cs="Times New Roman"/>
                <w:noProof/>
                <w:lang w:val="en-US"/>
              </w:rPr>
              <w:t>5.2 Measurement of Accounting Fraud</w:t>
            </w:r>
            <w:r>
              <w:rPr>
                <w:noProof/>
                <w:webHidden/>
              </w:rPr>
              <w:tab/>
            </w:r>
            <w:r>
              <w:rPr>
                <w:noProof/>
                <w:webHidden/>
              </w:rPr>
              <w:fldChar w:fldCharType="begin"/>
            </w:r>
            <w:r>
              <w:rPr>
                <w:noProof/>
                <w:webHidden/>
              </w:rPr>
              <w:instrText xml:space="preserve"> PAGEREF _Toc167763042 \h </w:instrText>
            </w:r>
            <w:r>
              <w:rPr>
                <w:noProof/>
                <w:webHidden/>
              </w:rPr>
            </w:r>
            <w:r>
              <w:rPr>
                <w:noProof/>
                <w:webHidden/>
              </w:rPr>
              <w:fldChar w:fldCharType="separate"/>
            </w:r>
            <w:r>
              <w:rPr>
                <w:noProof/>
                <w:webHidden/>
              </w:rPr>
              <w:t>19</w:t>
            </w:r>
            <w:r>
              <w:rPr>
                <w:noProof/>
                <w:webHidden/>
              </w:rPr>
              <w:fldChar w:fldCharType="end"/>
            </w:r>
          </w:hyperlink>
        </w:p>
        <w:p w14:paraId="5BA986D9" w14:textId="01E699CE" w:rsidR="00F06518" w:rsidRDefault="00F06518">
          <w:pPr>
            <w:pStyle w:val="TOC2"/>
            <w:tabs>
              <w:tab w:val="right" w:leader="dot" w:pos="9010"/>
            </w:tabs>
            <w:rPr>
              <w:rFonts w:eastAsiaTheme="minorEastAsia"/>
              <w:b w:val="0"/>
              <w:bCs w:val="0"/>
              <w:noProof/>
              <w:sz w:val="24"/>
              <w:szCs w:val="24"/>
              <w:lang w:eastAsia="en-GB"/>
            </w:rPr>
          </w:pPr>
          <w:hyperlink w:anchor="_Toc167763043" w:history="1">
            <w:r w:rsidRPr="00B5303D">
              <w:rPr>
                <w:rStyle w:val="Hyperlink"/>
                <w:rFonts w:ascii="Times New Roman" w:hAnsi="Times New Roman" w:cs="Times New Roman"/>
                <w:noProof/>
                <w:lang w:val="en-US"/>
              </w:rPr>
              <w:t>5.3 Empirical Model</w:t>
            </w:r>
            <w:r>
              <w:rPr>
                <w:noProof/>
                <w:webHidden/>
              </w:rPr>
              <w:tab/>
            </w:r>
            <w:r>
              <w:rPr>
                <w:noProof/>
                <w:webHidden/>
              </w:rPr>
              <w:fldChar w:fldCharType="begin"/>
            </w:r>
            <w:r>
              <w:rPr>
                <w:noProof/>
                <w:webHidden/>
              </w:rPr>
              <w:instrText xml:space="preserve"> PAGEREF _Toc167763043 \h </w:instrText>
            </w:r>
            <w:r>
              <w:rPr>
                <w:noProof/>
                <w:webHidden/>
              </w:rPr>
            </w:r>
            <w:r>
              <w:rPr>
                <w:noProof/>
                <w:webHidden/>
              </w:rPr>
              <w:fldChar w:fldCharType="separate"/>
            </w:r>
            <w:r>
              <w:rPr>
                <w:noProof/>
                <w:webHidden/>
              </w:rPr>
              <w:t>19</w:t>
            </w:r>
            <w:r>
              <w:rPr>
                <w:noProof/>
                <w:webHidden/>
              </w:rPr>
              <w:fldChar w:fldCharType="end"/>
            </w:r>
          </w:hyperlink>
        </w:p>
        <w:p w14:paraId="11A7161D" w14:textId="4BB7A56C" w:rsidR="00F06518" w:rsidRDefault="00F06518">
          <w:pPr>
            <w:pStyle w:val="TOC1"/>
            <w:tabs>
              <w:tab w:val="left" w:pos="480"/>
              <w:tab w:val="right" w:leader="dot" w:pos="9010"/>
            </w:tabs>
            <w:rPr>
              <w:rFonts w:eastAsiaTheme="minorEastAsia"/>
              <w:b w:val="0"/>
              <w:bCs w:val="0"/>
              <w:i w:val="0"/>
              <w:iCs w:val="0"/>
              <w:noProof/>
              <w:lang w:eastAsia="en-GB"/>
            </w:rPr>
          </w:pPr>
          <w:hyperlink w:anchor="_Toc167763044" w:history="1">
            <w:r w:rsidRPr="00B5303D">
              <w:rPr>
                <w:rStyle w:val="Hyperlink"/>
                <w:rFonts w:ascii="Times New Roman" w:eastAsia="Times New Roman" w:hAnsi="Times New Roman" w:cs="Times New Roman"/>
                <w:noProof/>
                <w:lang w:eastAsia="en-GB"/>
              </w:rPr>
              <w:t>6.</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Results and Empirical analysis</w:t>
            </w:r>
            <w:r>
              <w:rPr>
                <w:noProof/>
                <w:webHidden/>
              </w:rPr>
              <w:tab/>
            </w:r>
            <w:r>
              <w:rPr>
                <w:noProof/>
                <w:webHidden/>
              </w:rPr>
              <w:fldChar w:fldCharType="begin"/>
            </w:r>
            <w:r>
              <w:rPr>
                <w:noProof/>
                <w:webHidden/>
              </w:rPr>
              <w:instrText xml:space="preserve"> PAGEREF _Toc167763044 \h </w:instrText>
            </w:r>
            <w:r>
              <w:rPr>
                <w:noProof/>
                <w:webHidden/>
              </w:rPr>
            </w:r>
            <w:r>
              <w:rPr>
                <w:noProof/>
                <w:webHidden/>
              </w:rPr>
              <w:fldChar w:fldCharType="separate"/>
            </w:r>
            <w:r>
              <w:rPr>
                <w:noProof/>
                <w:webHidden/>
              </w:rPr>
              <w:t>21</w:t>
            </w:r>
            <w:r>
              <w:rPr>
                <w:noProof/>
                <w:webHidden/>
              </w:rPr>
              <w:fldChar w:fldCharType="end"/>
            </w:r>
          </w:hyperlink>
        </w:p>
        <w:p w14:paraId="520823DC" w14:textId="04CFFBF6" w:rsidR="00F06518" w:rsidRDefault="00F06518">
          <w:pPr>
            <w:pStyle w:val="TOC2"/>
            <w:tabs>
              <w:tab w:val="right" w:leader="dot" w:pos="9010"/>
            </w:tabs>
            <w:rPr>
              <w:rFonts w:eastAsiaTheme="minorEastAsia"/>
              <w:b w:val="0"/>
              <w:bCs w:val="0"/>
              <w:noProof/>
              <w:sz w:val="24"/>
              <w:szCs w:val="24"/>
              <w:lang w:eastAsia="en-GB"/>
            </w:rPr>
          </w:pPr>
          <w:hyperlink w:anchor="_Toc167763045" w:history="1">
            <w:r w:rsidRPr="00B5303D">
              <w:rPr>
                <w:rStyle w:val="Hyperlink"/>
                <w:rFonts w:ascii="Times New Roman" w:hAnsi="Times New Roman" w:cs="Times New Roman"/>
                <w:noProof/>
              </w:rPr>
              <w:t>6.1 Overview of data</w:t>
            </w:r>
            <w:r>
              <w:rPr>
                <w:noProof/>
                <w:webHidden/>
              </w:rPr>
              <w:tab/>
            </w:r>
            <w:r>
              <w:rPr>
                <w:noProof/>
                <w:webHidden/>
              </w:rPr>
              <w:fldChar w:fldCharType="begin"/>
            </w:r>
            <w:r>
              <w:rPr>
                <w:noProof/>
                <w:webHidden/>
              </w:rPr>
              <w:instrText xml:space="preserve"> PAGEREF _Toc167763045 \h </w:instrText>
            </w:r>
            <w:r>
              <w:rPr>
                <w:noProof/>
                <w:webHidden/>
              </w:rPr>
            </w:r>
            <w:r>
              <w:rPr>
                <w:noProof/>
                <w:webHidden/>
              </w:rPr>
              <w:fldChar w:fldCharType="separate"/>
            </w:r>
            <w:r>
              <w:rPr>
                <w:noProof/>
                <w:webHidden/>
              </w:rPr>
              <w:t>21</w:t>
            </w:r>
            <w:r>
              <w:rPr>
                <w:noProof/>
                <w:webHidden/>
              </w:rPr>
              <w:fldChar w:fldCharType="end"/>
            </w:r>
          </w:hyperlink>
        </w:p>
        <w:p w14:paraId="1D549A26" w14:textId="35196449" w:rsidR="00F06518" w:rsidRDefault="00F06518">
          <w:pPr>
            <w:pStyle w:val="TOC3"/>
            <w:tabs>
              <w:tab w:val="right" w:leader="dot" w:pos="9010"/>
            </w:tabs>
            <w:rPr>
              <w:rFonts w:eastAsiaTheme="minorEastAsia"/>
              <w:noProof/>
              <w:sz w:val="24"/>
              <w:szCs w:val="24"/>
              <w:lang w:eastAsia="en-GB"/>
            </w:rPr>
          </w:pPr>
          <w:hyperlink w:anchor="_Toc167763046" w:history="1">
            <w:r w:rsidRPr="00B5303D">
              <w:rPr>
                <w:rStyle w:val="Hyperlink"/>
                <w:rFonts w:ascii="Times New Roman" w:hAnsi="Times New Roman" w:cs="Times New Roman"/>
                <w:noProof/>
              </w:rPr>
              <w:t>6.1.1 Descriptive Statistics</w:t>
            </w:r>
            <w:r>
              <w:rPr>
                <w:noProof/>
                <w:webHidden/>
              </w:rPr>
              <w:tab/>
            </w:r>
            <w:r>
              <w:rPr>
                <w:noProof/>
                <w:webHidden/>
              </w:rPr>
              <w:fldChar w:fldCharType="begin"/>
            </w:r>
            <w:r>
              <w:rPr>
                <w:noProof/>
                <w:webHidden/>
              </w:rPr>
              <w:instrText xml:space="preserve"> PAGEREF _Toc167763046 \h </w:instrText>
            </w:r>
            <w:r>
              <w:rPr>
                <w:noProof/>
                <w:webHidden/>
              </w:rPr>
            </w:r>
            <w:r>
              <w:rPr>
                <w:noProof/>
                <w:webHidden/>
              </w:rPr>
              <w:fldChar w:fldCharType="separate"/>
            </w:r>
            <w:r>
              <w:rPr>
                <w:noProof/>
                <w:webHidden/>
              </w:rPr>
              <w:t>21</w:t>
            </w:r>
            <w:r>
              <w:rPr>
                <w:noProof/>
                <w:webHidden/>
              </w:rPr>
              <w:fldChar w:fldCharType="end"/>
            </w:r>
          </w:hyperlink>
        </w:p>
        <w:p w14:paraId="51AA5482" w14:textId="46818E01" w:rsidR="00F06518" w:rsidRDefault="00F06518">
          <w:pPr>
            <w:pStyle w:val="TOC3"/>
            <w:tabs>
              <w:tab w:val="right" w:leader="dot" w:pos="9010"/>
            </w:tabs>
            <w:rPr>
              <w:rFonts w:eastAsiaTheme="minorEastAsia"/>
              <w:noProof/>
              <w:sz w:val="24"/>
              <w:szCs w:val="24"/>
              <w:lang w:eastAsia="en-GB"/>
            </w:rPr>
          </w:pPr>
          <w:hyperlink w:anchor="_Toc167763047" w:history="1">
            <w:r w:rsidRPr="00B5303D">
              <w:rPr>
                <w:rStyle w:val="Hyperlink"/>
                <w:rFonts w:ascii="Times New Roman" w:hAnsi="Times New Roman" w:cs="Times New Roman"/>
                <w:noProof/>
              </w:rPr>
              <w:t>6.1.2 Summary Statistics &amp; Subsample Analysis</w:t>
            </w:r>
            <w:r>
              <w:rPr>
                <w:noProof/>
                <w:webHidden/>
              </w:rPr>
              <w:tab/>
            </w:r>
            <w:r>
              <w:rPr>
                <w:noProof/>
                <w:webHidden/>
              </w:rPr>
              <w:fldChar w:fldCharType="begin"/>
            </w:r>
            <w:r>
              <w:rPr>
                <w:noProof/>
                <w:webHidden/>
              </w:rPr>
              <w:instrText xml:space="preserve"> PAGEREF _Toc167763047 \h </w:instrText>
            </w:r>
            <w:r>
              <w:rPr>
                <w:noProof/>
                <w:webHidden/>
              </w:rPr>
            </w:r>
            <w:r>
              <w:rPr>
                <w:noProof/>
                <w:webHidden/>
              </w:rPr>
              <w:fldChar w:fldCharType="separate"/>
            </w:r>
            <w:r>
              <w:rPr>
                <w:noProof/>
                <w:webHidden/>
              </w:rPr>
              <w:t>22</w:t>
            </w:r>
            <w:r>
              <w:rPr>
                <w:noProof/>
                <w:webHidden/>
              </w:rPr>
              <w:fldChar w:fldCharType="end"/>
            </w:r>
          </w:hyperlink>
        </w:p>
        <w:p w14:paraId="0E78DB9E" w14:textId="03FC5545" w:rsidR="00F06518" w:rsidRDefault="00F06518">
          <w:pPr>
            <w:pStyle w:val="TOC2"/>
            <w:tabs>
              <w:tab w:val="right" w:leader="dot" w:pos="9010"/>
            </w:tabs>
            <w:rPr>
              <w:rFonts w:eastAsiaTheme="minorEastAsia"/>
              <w:b w:val="0"/>
              <w:bCs w:val="0"/>
              <w:noProof/>
              <w:sz w:val="24"/>
              <w:szCs w:val="24"/>
              <w:lang w:eastAsia="en-GB"/>
            </w:rPr>
          </w:pPr>
          <w:hyperlink w:anchor="_Toc167763048" w:history="1">
            <w:r w:rsidRPr="00B5303D">
              <w:rPr>
                <w:rStyle w:val="Hyperlink"/>
                <w:rFonts w:ascii="Times New Roman" w:hAnsi="Times New Roman" w:cs="Times New Roman"/>
                <w:noProof/>
              </w:rPr>
              <w:t>6.2 Main analysis and Regressions</w:t>
            </w:r>
            <w:r>
              <w:rPr>
                <w:noProof/>
                <w:webHidden/>
              </w:rPr>
              <w:tab/>
            </w:r>
            <w:r>
              <w:rPr>
                <w:noProof/>
                <w:webHidden/>
              </w:rPr>
              <w:fldChar w:fldCharType="begin"/>
            </w:r>
            <w:r>
              <w:rPr>
                <w:noProof/>
                <w:webHidden/>
              </w:rPr>
              <w:instrText xml:space="preserve"> PAGEREF _Toc167763048 \h </w:instrText>
            </w:r>
            <w:r>
              <w:rPr>
                <w:noProof/>
                <w:webHidden/>
              </w:rPr>
            </w:r>
            <w:r>
              <w:rPr>
                <w:noProof/>
                <w:webHidden/>
              </w:rPr>
              <w:fldChar w:fldCharType="separate"/>
            </w:r>
            <w:r>
              <w:rPr>
                <w:noProof/>
                <w:webHidden/>
              </w:rPr>
              <w:t>24</w:t>
            </w:r>
            <w:r>
              <w:rPr>
                <w:noProof/>
                <w:webHidden/>
              </w:rPr>
              <w:fldChar w:fldCharType="end"/>
            </w:r>
          </w:hyperlink>
        </w:p>
        <w:p w14:paraId="4D8DEE73" w14:textId="6F87FA38" w:rsidR="00F06518" w:rsidRDefault="00F06518">
          <w:pPr>
            <w:pStyle w:val="TOC3"/>
            <w:tabs>
              <w:tab w:val="right" w:leader="dot" w:pos="9010"/>
            </w:tabs>
            <w:rPr>
              <w:rFonts w:eastAsiaTheme="minorEastAsia"/>
              <w:noProof/>
              <w:sz w:val="24"/>
              <w:szCs w:val="24"/>
              <w:lang w:eastAsia="en-GB"/>
            </w:rPr>
          </w:pPr>
          <w:hyperlink w:anchor="_Toc167763049" w:history="1">
            <w:r w:rsidRPr="00B5303D">
              <w:rPr>
                <w:rStyle w:val="Hyperlink"/>
                <w:rFonts w:ascii="Times New Roman" w:hAnsi="Times New Roman" w:cs="Times New Roman"/>
                <w:noProof/>
              </w:rPr>
              <w:t>6.2.1 The Impact of Accounting Fraud on Dividend Smoothing</w:t>
            </w:r>
            <w:r>
              <w:rPr>
                <w:noProof/>
                <w:webHidden/>
              </w:rPr>
              <w:tab/>
            </w:r>
            <w:r>
              <w:rPr>
                <w:noProof/>
                <w:webHidden/>
              </w:rPr>
              <w:fldChar w:fldCharType="begin"/>
            </w:r>
            <w:r>
              <w:rPr>
                <w:noProof/>
                <w:webHidden/>
              </w:rPr>
              <w:instrText xml:space="preserve"> PAGEREF _Toc167763049 \h </w:instrText>
            </w:r>
            <w:r>
              <w:rPr>
                <w:noProof/>
                <w:webHidden/>
              </w:rPr>
            </w:r>
            <w:r>
              <w:rPr>
                <w:noProof/>
                <w:webHidden/>
              </w:rPr>
              <w:fldChar w:fldCharType="separate"/>
            </w:r>
            <w:r>
              <w:rPr>
                <w:noProof/>
                <w:webHidden/>
              </w:rPr>
              <w:t>24</w:t>
            </w:r>
            <w:r>
              <w:rPr>
                <w:noProof/>
                <w:webHidden/>
              </w:rPr>
              <w:fldChar w:fldCharType="end"/>
            </w:r>
          </w:hyperlink>
        </w:p>
        <w:p w14:paraId="59019881" w14:textId="535B6330" w:rsidR="00F06518" w:rsidRDefault="00F06518">
          <w:pPr>
            <w:pStyle w:val="TOC3"/>
            <w:tabs>
              <w:tab w:val="right" w:leader="dot" w:pos="9010"/>
            </w:tabs>
            <w:rPr>
              <w:rFonts w:eastAsiaTheme="minorEastAsia"/>
              <w:noProof/>
              <w:sz w:val="24"/>
              <w:szCs w:val="24"/>
              <w:lang w:eastAsia="en-GB"/>
            </w:rPr>
          </w:pPr>
          <w:hyperlink w:anchor="_Toc167763050" w:history="1">
            <w:r w:rsidRPr="00B5303D">
              <w:rPr>
                <w:rStyle w:val="Hyperlink"/>
                <w:rFonts w:ascii="Times New Roman" w:hAnsi="Times New Roman" w:cs="Times New Roman"/>
                <w:noProof/>
              </w:rPr>
              <w:t>6.2.2 Robustness Test</w:t>
            </w:r>
            <w:r>
              <w:rPr>
                <w:noProof/>
                <w:webHidden/>
              </w:rPr>
              <w:tab/>
            </w:r>
            <w:r>
              <w:rPr>
                <w:noProof/>
                <w:webHidden/>
              </w:rPr>
              <w:fldChar w:fldCharType="begin"/>
            </w:r>
            <w:r>
              <w:rPr>
                <w:noProof/>
                <w:webHidden/>
              </w:rPr>
              <w:instrText xml:space="preserve"> PAGEREF _Toc167763050 \h </w:instrText>
            </w:r>
            <w:r>
              <w:rPr>
                <w:noProof/>
                <w:webHidden/>
              </w:rPr>
            </w:r>
            <w:r>
              <w:rPr>
                <w:noProof/>
                <w:webHidden/>
              </w:rPr>
              <w:fldChar w:fldCharType="separate"/>
            </w:r>
            <w:r>
              <w:rPr>
                <w:noProof/>
                <w:webHidden/>
              </w:rPr>
              <w:t>25</w:t>
            </w:r>
            <w:r>
              <w:rPr>
                <w:noProof/>
                <w:webHidden/>
              </w:rPr>
              <w:fldChar w:fldCharType="end"/>
            </w:r>
          </w:hyperlink>
        </w:p>
        <w:p w14:paraId="2D4467D4" w14:textId="1FBEE487" w:rsidR="00F06518" w:rsidRDefault="00F06518">
          <w:pPr>
            <w:pStyle w:val="TOC2"/>
            <w:tabs>
              <w:tab w:val="right" w:leader="dot" w:pos="9010"/>
            </w:tabs>
            <w:rPr>
              <w:rFonts w:eastAsiaTheme="minorEastAsia"/>
              <w:b w:val="0"/>
              <w:bCs w:val="0"/>
              <w:noProof/>
              <w:sz w:val="24"/>
              <w:szCs w:val="24"/>
              <w:lang w:eastAsia="en-GB"/>
            </w:rPr>
          </w:pPr>
          <w:hyperlink w:anchor="_Toc167763051" w:history="1">
            <w:r w:rsidRPr="00B5303D">
              <w:rPr>
                <w:rStyle w:val="Hyperlink"/>
                <w:rFonts w:ascii="Times New Roman" w:hAnsi="Times New Roman" w:cs="Times New Roman"/>
                <w:noProof/>
              </w:rPr>
              <w:t>6.3 Additional Tests</w:t>
            </w:r>
            <w:r>
              <w:rPr>
                <w:noProof/>
                <w:webHidden/>
              </w:rPr>
              <w:tab/>
            </w:r>
            <w:r>
              <w:rPr>
                <w:noProof/>
                <w:webHidden/>
              </w:rPr>
              <w:fldChar w:fldCharType="begin"/>
            </w:r>
            <w:r>
              <w:rPr>
                <w:noProof/>
                <w:webHidden/>
              </w:rPr>
              <w:instrText xml:space="preserve"> PAGEREF _Toc167763051 \h </w:instrText>
            </w:r>
            <w:r>
              <w:rPr>
                <w:noProof/>
                <w:webHidden/>
              </w:rPr>
            </w:r>
            <w:r>
              <w:rPr>
                <w:noProof/>
                <w:webHidden/>
              </w:rPr>
              <w:fldChar w:fldCharType="separate"/>
            </w:r>
            <w:r>
              <w:rPr>
                <w:noProof/>
                <w:webHidden/>
              </w:rPr>
              <w:t>26</w:t>
            </w:r>
            <w:r>
              <w:rPr>
                <w:noProof/>
                <w:webHidden/>
              </w:rPr>
              <w:fldChar w:fldCharType="end"/>
            </w:r>
          </w:hyperlink>
        </w:p>
        <w:p w14:paraId="344FF720" w14:textId="7FCFD1DF" w:rsidR="00F06518" w:rsidRDefault="00F06518">
          <w:pPr>
            <w:pStyle w:val="TOC2"/>
            <w:tabs>
              <w:tab w:val="right" w:leader="dot" w:pos="9010"/>
            </w:tabs>
            <w:rPr>
              <w:rFonts w:eastAsiaTheme="minorEastAsia"/>
              <w:b w:val="0"/>
              <w:bCs w:val="0"/>
              <w:noProof/>
              <w:sz w:val="24"/>
              <w:szCs w:val="24"/>
              <w:lang w:eastAsia="en-GB"/>
            </w:rPr>
          </w:pPr>
          <w:hyperlink w:anchor="_Toc167763052" w:history="1">
            <w:r w:rsidRPr="00B5303D">
              <w:rPr>
                <w:rStyle w:val="Hyperlink"/>
                <w:rFonts w:ascii="Times New Roman" w:hAnsi="Times New Roman" w:cs="Times New Roman"/>
                <w:noProof/>
              </w:rPr>
              <w:t>6.4 Cross-sectional variations in fraud</w:t>
            </w:r>
            <w:r>
              <w:rPr>
                <w:noProof/>
                <w:webHidden/>
              </w:rPr>
              <w:tab/>
            </w:r>
            <w:r>
              <w:rPr>
                <w:noProof/>
                <w:webHidden/>
              </w:rPr>
              <w:fldChar w:fldCharType="begin"/>
            </w:r>
            <w:r>
              <w:rPr>
                <w:noProof/>
                <w:webHidden/>
              </w:rPr>
              <w:instrText xml:space="preserve"> PAGEREF _Toc167763052 \h </w:instrText>
            </w:r>
            <w:r>
              <w:rPr>
                <w:noProof/>
                <w:webHidden/>
              </w:rPr>
            </w:r>
            <w:r>
              <w:rPr>
                <w:noProof/>
                <w:webHidden/>
              </w:rPr>
              <w:fldChar w:fldCharType="separate"/>
            </w:r>
            <w:r>
              <w:rPr>
                <w:noProof/>
                <w:webHidden/>
              </w:rPr>
              <w:t>26</w:t>
            </w:r>
            <w:r>
              <w:rPr>
                <w:noProof/>
                <w:webHidden/>
              </w:rPr>
              <w:fldChar w:fldCharType="end"/>
            </w:r>
          </w:hyperlink>
        </w:p>
        <w:p w14:paraId="7AC8488F" w14:textId="522D6542" w:rsidR="00F06518" w:rsidRDefault="00F06518">
          <w:pPr>
            <w:pStyle w:val="TOC1"/>
            <w:tabs>
              <w:tab w:val="left" w:pos="480"/>
              <w:tab w:val="right" w:leader="dot" w:pos="9010"/>
            </w:tabs>
            <w:rPr>
              <w:rFonts w:eastAsiaTheme="minorEastAsia"/>
              <w:b w:val="0"/>
              <w:bCs w:val="0"/>
              <w:i w:val="0"/>
              <w:iCs w:val="0"/>
              <w:noProof/>
              <w:lang w:eastAsia="en-GB"/>
            </w:rPr>
          </w:pPr>
          <w:hyperlink w:anchor="_Toc167763053" w:history="1">
            <w:r w:rsidRPr="00B5303D">
              <w:rPr>
                <w:rStyle w:val="Hyperlink"/>
                <w:rFonts w:ascii="Times New Roman" w:eastAsia="Times New Roman" w:hAnsi="Times New Roman" w:cs="Times New Roman"/>
                <w:noProof/>
                <w:lang w:eastAsia="en-GB"/>
              </w:rPr>
              <w:t>7.</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Conclusion</w:t>
            </w:r>
            <w:r>
              <w:rPr>
                <w:noProof/>
                <w:webHidden/>
              </w:rPr>
              <w:tab/>
            </w:r>
            <w:r>
              <w:rPr>
                <w:noProof/>
                <w:webHidden/>
              </w:rPr>
              <w:fldChar w:fldCharType="begin"/>
            </w:r>
            <w:r>
              <w:rPr>
                <w:noProof/>
                <w:webHidden/>
              </w:rPr>
              <w:instrText xml:space="preserve"> PAGEREF _Toc167763053 \h </w:instrText>
            </w:r>
            <w:r>
              <w:rPr>
                <w:noProof/>
                <w:webHidden/>
              </w:rPr>
            </w:r>
            <w:r>
              <w:rPr>
                <w:noProof/>
                <w:webHidden/>
              </w:rPr>
              <w:fldChar w:fldCharType="separate"/>
            </w:r>
            <w:r>
              <w:rPr>
                <w:noProof/>
                <w:webHidden/>
              </w:rPr>
              <w:t>28</w:t>
            </w:r>
            <w:r>
              <w:rPr>
                <w:noProof/>
                <w:webHidden/>
              </w:rPr>
              <w:fldChar w:fldCharType="end"/>
            </w:r>
          </w:hyperlink>
        </w:p>
        <w:p w14:paraId="70949028" w14:textId="289969F1" w:rsidR="00F06518" w:rsidRDefault="00F06518">
          <w:pPr>
            <w:pStyle w:val="TOC1"/>
            <w:tabs>
              <w:tab w:val="left" w:pos="480"/>
              <w:tab w:val="right" w:leader="dot" w:pos="9010"/>
            </w:tabs>
            <w:rPr>
              <w:rFonts w:eastAsiaTheme="minorEastAsia"/>
              <w:b w:val="0"/>
              <w:bCs w:val="0"/>
              <w:i w:val="0"/>
              <w:iCs w:val="0"/>
              <w:noProof/>
              <w:lang w:eastAsia="en-GB"/>
            </w:rPr>
          </w:pPr>
          <w:hyperlink w:anchor="_Toc167763054" w:history="1">
            <w:r w:rsidRPr="00B5303D">
              <w:rPr>
                <w:rStyle w:val="Hyperlink"/>
                <w:rFonts w:ascii="Times New Roman" w:eastAsia="Times New Roman" w:hAnsi="Times New Roman" w:cs="Times New Roman"/>
                <w:noProof/>
                <w:lang w:eastAsia="en-GB"/>
              </w:rPr>
              <w:t>8.</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Limitations and Suggestions for Future Research</w:t>
            </w:r>
            <w:r>
              <w:rPr>
                <w:noProof/>
                <w:webHidden/>
              </w:rPr>
              <w:tab/>
            </w:r>
            <w:r>
              <w:rPr>
                <w:noProof/>
                <w:webHidden/>
              </w:rPr>
              <w:fldChar w:fldCharType="begin"/>
            </w:r>
            <w:r>
              <w:rPr>
                <w:noProof/>
                <w:webHidden/>
              </w:rPr>
              <w:instrText xml:space="preserve"> PAGEREF _Toc167763054 \h </w:instrText>
            </w:r>
            <w:r>
              <w:rPr>
                <w:noProof/>
                <w:webHidden/>
              </w:rPr>
            </w:r>
            <w:r>
              <w:rPr>
                <w:noProof/>
                <w:webHidden/>
              </w:rPr>
              <w:fldChar w:fldCharType="separate"/>
            </w:r>
            <w:r>
              <w:rPr>
                <w:noProof/>
                <w:webHidden/>
              </w:rPr>
              <w:t>29</w:t>
            </w:r>
            <w:r>
              <w:rPr>
                <w:noProof/>
                <w:webHidden/>
              </w:rPr>
              <w:fldChar w:fldCharType="end"/>
            </w:r>
          </w:hyperlink>
        </w:p>
        <w:p w14:paraId="0E6B3244" w14:textId="042B542E" w:rsidR="00F06518" w:rsidRDefault="00F06518">
          <w:pPr>
            <w:pStyle w:val="TOC1"/>
            <w:tabs>
              <w:tab w:val="left" w:pos="480"/>
              <w:tab w:val="right" w:leader="dot" w:pos="9010"/>
            </w:tabs>
            <w:rPr>
              <w:rFonts w:eastAsiaTheme="minorEastAsia"/>
              <w:b w:val="0"/>
              <w:bCs w:val="0"/>
              <w:i w:val="0"/>
              <w:iCs w:val="0"/>
              <w:noProof/>
              <w:lang w:eastAsia="en-GB"/>
            </w:rPr>
          </w:pPr>
          <w:hyperlink w:anchor="_Toc167763055" w:history="1">
            <w:r w:rsidRPr="00B5303D">
              <w:rPr>
                <w:rStyle w:val="Hyperlink"/>
                <w:rFonts w:ascii="Times New Roman" w:eastAsia="Times New Roman" w:hAnsi="Times New Roman" w:cs="Times New Roman"/>
                <w:noProof/>
                <w:lang w:eastAsia="en-GB"/>
              </w:rPr>
              <w:t>9.</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Appendix A (Definition of Variables)</w:t>
            </w:r>
            <w:r>
              <w:rPr>
                <w:noProof/>
                <w:webHidden/>
              </w:rPr>
              <w:tab/>
            </w:r>
            <w:r>
              <w:rPr>
                <w:noProof/>
                <w:webHidden/>
              </w:rPr>
              <w:fldChar w:fldCharType="begin"/>
            </w:r>
            <w:r>
              <w:rPr>
                <w:noProof/>
                <w:webHidden/>
              </w:rPr>
              <w:instrText xml:space="preserve"> PAGEREF _Toc167763055 \h </w:instrText>
            </w:r>
            <w:r>
              <w:rPr>
                <w:noProof/>
                <w:webHidden/>
              </w:rPr>
            </w:r>
            <w:r>
              <w:rPr>
                <w:noProof/>
                <w:webHidden/>
              </w:rPr>
              <w:fldChar w:fldCharType="separate"/>
            </w:r>
            <w:r>
              <w:rPr>
                <w:noProof/>
                <w:webHidden/>
              </w:rPr>
              <w:t>31</w:t>
            </w:r>
            <w:r>
              <w:rPr>
                <w:noProof/>
                <w:webHidden/>
              </w:rPr>
              <w:fldChar w:fldCharType="end"/>
            </w:r>
          </w:hyperlink>
        </w:p>
        <w:p w14:paraId="41740530" w14:textId="68C3A581" w:rsidR="00F06518" w:rsidRDefault="00F06518">
          <w:pPr>
            <w:pStyle w:val="TOC1"/>
            <w:tabs>
              <w:tab w:val="left" w:pos="720"/>
              <w:tab w:val="right" w:leader="dot" w:pos="9010"/>
            </w:tabs>
            <w:rPr>
              <w:rFonts w:eastAsiaTheme="minorEastAsia"/>
              <w:b w:val="0"/>
              <w:bCs w:val="0"/>
              <w:i w:val="0"/>
              <w:iCs w:val="0"/>
              <w:noProof/>
              <w:lang w:eastAsia="en-GB"/>
            </w:rPr>
          </w:pPr>
          <w:hyperlink w:anchor="_Toc167763056" w:history="1">
            <w:r w:rsidRPr="00B5303D">
              <w:rPr>
                <w:rStyle w:val="Hyperlink"/>
                <w:rFonts w:ascii="Times New Roman" w:eastAsia="Times New Roman" w:hAnsi="Times New Roman" w:cs="Times New Roman"/>
                <w:noProof/>
                <w:lang w:eastAsia="en-GB"/>
              </w:rPr>
              <w:t>10.</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References</w:t>
            </w:r>
            <w:r>
              <w:rPr>
                <w:noProof/>
                <w:webHidden/>
              </w:rPr>
              <w:tab/>
            </w:r>
            <w:r>
              <w:rPr>
                <w:noProof/>
                <w:webHidden/>
              </w:rPr>
              <w:fldChar w:fldCharType="begin"/>
            </w:r>
            <w:r>
              <w:rPr>
                <w:noProof/>
                <w:webHidden/>
              </w:rPr>
              <w:instrText xml:space="preserve"> PAGEREF _Toc167763056 \h </w:instrText>
            </w:r>
            <w:r>
              <w:rPr>
                <w:noProof/>
                <w:webHidden/>
              </w:rPr>
            </w:r>
            <w:r>
              <w:rPr>
                <w:noProof/>
                <w:webHidden/>
              </w:rPr>
              <w:fldChar w:fldCharType="separate"/>
            </w:r>
            <w:r>
              <w:rPr>
                <w:noProof/>
                <w:webHidden/>
              </w:rPr>
              <w:t>32</w:t>
            </w:r>
            <w:r>
              <w:rPr>
                <w:noProof/>
                <w:webHidden/>
              </w:rPr>
              <w:fldChar w:fldCharType="end"/>
            </w:r>
          </w:hyperlink>
        </w:p>
        <w:p w14:paraId="1AF7DBE8" w14:textId="51AF12D9" w:rsidR="00F06518" w:rsidRDefault="00F06518">
          <w:pPr>
            <w:pStyle w:val="TOC1"/>
            <w:tabs>
              <w:tab w:val="left" w:pos="720"/>
              <w:tab w:val="right" w:leader="dot" w:pos="9010"/>
            </w:tabs>
            <w:rPr>
              <w:rFonts w:eastAsiaTheme="minorEastAsia"/>
              <w:b w:val="0"/>
              <w:bCs w:val="0"/>
              <w:i w:val="0"/>
              <w:iCs w:val="0"/>
              <w:noProof/>
              <w:lang w:eastAsia="en-GB"/>
            </w:rPr>
          </w:pPr>
          <w:hyperlink w:anchor="_Toc167763057" w:history="1">
            <w:r w:rsidRPr="00B5303D">
              <w:rPr>
                <w:rStyle w:val="Hyperlink"/>
                <w:rFonts w:ascii="Times New Roman" w:eastAsia="Times New Roman" w:hAnsi="Times New Roman" w:cs="Times New Roman"/>
                <w:noProof/>
                <w:lang w:eastAsia="en-GB"/>
              </w:rPr>
              <w:t>11.</w:t>
            </w:r>
            <w:r>
              <w:rPr>
                <w:rFonts w:eastAsiaTheme="minorEastAsia"/>
                <w:b w:val="0"/>
                <w:bCs w:val="0"/>
                <w:i w:val="0"/>
                <w:iCs w:val="0"/>
                <w:noProof/>
                <w:lang w:eastAsia="en-GB"/>
              </w:rPr>
              <w:tab/>
            </w:r>
            <w:r w:rsidRPr="00B5303D">
              <w:rPr>
                <w:rStyle w:val="Hyperlink"/>
                <w:rFonts w:ascii="Times New Roman" w:eastAsia="Times New Roman" w:hAnsi="Times New Roman" w:cs="Times New Roman"/>
                <w:noProof/>
                <w:lang w:eastAsia="en-GB"/>
              </w:rPr>
              <w:t>Tables</w:t>
            </w:r>
            <w:r>
              <w:rPr>
                <w:noProof/>
                <w:webHidden/>
              </w:rPr>
              <w:tab/>
            </w:r>
            <w:r>
              <w:rPr>
                <w:noProof/>
                <w:webHidden/>
              </w:rPr>
              <w:fldChar w:fldCharType="begin"/>
            </w:r>
            <w:r>
              <w:rPr>
                <w:noProof/>
                <w:webHidden/>
              </w:rPr>
              <w:instrText xml:space="preserve"> PAGEREF _Toc167763057 \h </w:instrText>
            </w:r>
            <w:r>
              <w:rPr>
                <w:noProof/>
                <w:webHidden/>
              </w:rPr>
            </w:r>
            <w:r>
              <w:rPr>
                <w:noProof/>
                <w:webHidden/>
              </w:rPr>
              <w:fldChar w:fldCharType="separate"/>
            </w:r>
            <w:r>
              <w:rPr>
                <w:noProof/>
                <w:webHidden/>
              </w:rPr>
              <w:t>38</w:t>
            </w:r>
            <w:r>
              <w:rPr>
                <w:noProof/>
                <w:webHidden/>
              </w:rPr>
              <w:fldChar w:fldCharType="end"/>
            </w:r>
          </w:hyperlink>
        </w:p>
        <w:p w14:paraId="31BC021D" w14:textId="6E1A0712" w:rsidR="00F06518" w:rsidRDefault="00F06518">
          <w:pPr>
            <w:pStyle w:val="TOC2"/>
            <w:tabs>
              <w:tab w:val="right" w:leader="dot" w:pos="9010"/>
            </w:tabs>
            <w:rPr>
              <w:rFonts w:eastAsiaTheme="minorEastAsia"/>
              <w:b w:val="0"/>
              <w:bCs w:val="0"/>
              <w:noProof/>
              <w:sz w:val="24"/>
              <w:szCs w:val="24"/>
              <w:lang w:eastAsia="en-GB"/>
            </w:rPr>
          </w:pPr>
          <w:hyperlink w:anchor="_Toc167763058" w:history="1">
            <w:r w:rsidRPr="00B5303D">
              <w:rPr>
                <w:rStyle w:val="Hyperlink"/>
                <w:rFonts w:ascii="Times New Roman" w:hAnsi="Times New Roman" w:cs="Times New Roman"/>
                <w:noProof/>
              </w:rPr>
              <w:t>Table 1</w:t>
            </w:r>
            <w:r>
              <w:rPr>
                <w:noProof/>
                <w:webHidden/>
              </w:rPr>
              <w:tab/>
            </w:r>
            <w:r>
              <w:rPr>
                <w:noProof/>
                <w:webHidden/>
              </w:rPr>
              <w:fldChar w:fldCharType="begin"/>
            </w:r>
            <w:r>
              <w:rPr>
                <w:noProof/>
                <w:webHidden/>
              </w:rPr>
              <w:instrText xml:space="preserve"> PAGEREF _Toc167763058 \h </w:instrText>
            </w:r>
            <w:r>
              <w:rPr>
                <w:noProof/>
                <w:webHidden/>
              </w:rPr>
            </w:r>
            <w:r>
              <w:rPr>
                <w:noProof/>
                <w:webHidden/>
              </w:rPr>
              <w:fldChar w:fldCharType="separate"/>
            </w:r>
            <w:r>
              <w:rPr>
                <w:noProof/>
                <w:webHidden/>
              </w:rPr>
              <w:t>38</w:t>
            </w:r>
            <w:r>
              <w:rPr>
                <w:noProof/>
                <w:webHidden/>
              </w:rPr>
              <w:fldChar w:fldCharType="end"/>
            </w:r>
          </w:hyperlink>
        </w:p>
        <w:p w14:paraId="14A9DA2B" w14:textId="16CAC39A" w:rsidR="00F06518" w:rsidRDefault="00F06518">
          <w:pPr>
            <w:pStyle w:val="TOC2"/>
            <w:tabs>
              <w:tab w:val="right" w:leader="dot" w:pos="9010"/>
            </w:tabs>
            <w:rPr>
              <w:rFonts w:eastAsiaTheme="minorEastAsia"/>
              <w:b w:val="0"/>
              <w:bCs w:val="0"/>
              <w:noProof/>
              <w:sz w:val="24"/>
              <w:szCs w:val="24"/>
              <w:lang w:eastAsia="en-GB"/>
            </w:rPr>
          </w:pPr>
          <w:hyperlink w:anchor="_Toc167763059" w:history="1">
            <w:r w:rsidRPr="00B5303D">
              <w:rPr>
                <w:rStyle w:val="Hyperlink"/>
                <w:rFonts w:ascii="Times New Roman" w:hAnsi="Times New Roman" w:cs="Times New Roman"/>
                <w:noProof/>
              </w:rPr>
              <w:t>Table 2</w:t>
            </w:r>
            <w:r>
              <w:rPr>
                <w:noProof/>
                <w:webHidden/>
              </w:rPr>
              <w:tab/>
            </w:r>
            <w:r>
              <w:rPr>
                <w:noProof/>
                <w:webHidden/>
              </w:rPr>
              <w:fldChar w:fldCharType="begin"/>
            </w:r>
            <w:r>
              <w:rPr>
                <w:noProof/>
                <w:webHidden/>
              </w:rPr>
              <w:instrText xml:space="preserve"> PAGEREF _Toc167763059 \h </w:instrText>
            </w:r>
            <w:r>
              <w:rPr>
                <w:noProof/>
                <w:webHidden/>
              </w:rPr>
            </w:r>
            <w:r>
              <w:rPr>
                <w:noProof/>
                <w:webHidden/>
              </w:rPr>
              <w:fldChar w:fldCharType="separate"/>
            </w:r>
            <w:r>
              <w:rPr>
                <w:noProof/>
                <w:webHidden/>
              </w:rPr>
              <w:t>39</w:t>
            </w:r>
            <w:r>
              <w:rPr>
                <w:noProof/>
                <w:webHidden/>
              </w:rPr>
              <w:fldChar w:fldCharType="end"/>
            </w:r>
          </w:hyperlink>
        </w:p>
        <w:p w14:paraId="53236FF9" w14:textId="01F6A83D" w:rsidR="00F06518" w:rsidRDefault="00F06518">
          <w:pPr>
            <w:pStyle w:val="TOC2"/>
            <w:tabs>
              <w:tab w:val="right" w:leader="dot" w:pos="9010"/>
            </w:tabs>
            <w:rPr>
              <w:rFonts w:eastAsiaTheme="minorEastAsia"/>
              <w:b w:val="0"/>
              <w:bCs w:val="0"/>
              <w:noProof/>
              <w:sz w:val="24"/>
              <w:szCs w:val="24"/>
              <w:lang w:eastAsia="en-GB"/>
            </w:rPr>
          </w:pPr>
          <w:hyperlink w:anchor="_Toc167763060" w:history="1">
            <w:r w:rsidRPr="00B5303D">
              <w:rPr>
                <w:rStyle w:val="Hyperlink"/>
                <w:rFonts w:ascii="Times New Roman" w:hAnsi="Times New Roman" w:cs="Times New Roman"/>
                <w:noProof/>
              </w:rPr>
              <w:t>Table 3</w:t>
            </w:r>
            <w:r>
              <w:rPr>
                <w:noProof/>
                <w:webHidden/>
              </w:rPr>
              <w:tab/>
            </w:r>
            <w:r>
              <w:rPr>
                <w:noProof/>
                <w:webHidden/>
              </w:rPr>
              <w:fldChar w:fldCharType="begin"/>
            </w:r>
            <w:r>
              <w:rPr>
                <w:noProof/>
                <w:webHidden/>
              </w:rPr>
              <w:instrText xml:space="preserve"> PAGEREF _Toc167763060 \h </w:instrText>
            </w:r>
            <w:r>
              <w:rPr>
                <w:noProof/>
                <w:webHidden/>
              </w:rPr>
            </w:r>
            <w:r>
              <w:rPr>
                <w:noProof/>
                <w:webHidden/>
              </w:rPr>
              <w:fldChar w:fldCharType="separate"/>
            </w:r>
            <w:r>
              <w:rPr>
                <w:noProof/>
                <w:webHidden/>
              </w:rPr>
              <w:t>40</w:t>
            </w:r>
            <w:r>
              <w:rPr>
                <w:noProof/>
                <w:webHidden/>
              </w:rPr>
              <w:fldChar w:fldCharType="end"/>
            </w:r>
          </w:hyperlink>
        </w:p>
        <w:p w14:paraId="118B80D2" w14:textId="20A1130F" w:rsidR="00F06518" w:rsidRDefault="00F06518">
          <w:pPr>
            <w:pStyle w:val="TOC2"/>
            <w:tabs>
              <w:tab w:val="right" w:leader="dot" w:pos="9010"/>
            </w:tabs>
            <w:rPr>
              <w:rFonts w:eastAsiaTheme="minorEastAsia"/>
              <w:b w:val="0"/>
              <w:bCs w:val="0"/>
              <w:noProof/>
              <w:sz w:val="24"/>
              <w:szCs w:val="24"/>
              <w:lang w:eastAsia="en-GB"/>
            </w:rPr>
          </w:pPr>
          <w:hyperlink w:anchor="_Toc167763061" w:history="1">
            <w:r w:rsidRPr="00B5303D">
              <w:rPr>
                <w:rStyle w:val="Hyperlink"/>
                <w:rFonts w:ascii="Times New Roman" w:hAnsi="Times New Roman" w:cs="Times New Roman"/>
                <w:noProof/>
              </w:rPr>
              <w:t>Table 4</w:t>
            </w:r>
            <w:r>
              <w:rPr>
                <w:noProof/>
                <w:webHidden/>
              </w:rPr>
              <w:tab/>
            </w:r>
            <w:r>
              <w:rPr>
                <w:noProof/>
                <w:webHidden/>
              </w:rPr>
              <w:fldChar w:fldCharType="begin"/>
            </w:r>
            <w:r>
              <w:rPr>
                <w:noProof/>
                <w:webHidden/>
              </w:rPr>
              <w:instrText xml:space="preserve"> PAGEREF _Toc167763061 \h </w:instrText>
            </w:r>
            <w:r>
              <w:rPr>
                <w:noProof/>
                <w:webHidden/>
              </w:rPr>
            </w:r>
            <w:r>
              <w:rPr>
                <w:noProof/>
                <w:webHidden/>
              </w:rPr>
              <w:fldChar w:fldCharType="separate"/>
            </w:r>
            <w:r>
              <w:rPr>
                <w:noProof/>
                <w:webHidden/>
              </w:rPr>
              <w:t>41</w:t>
            </w:r>
            <w:r>
              <w:rPr>
                <w:noProof/>
                <w:webHidden/>
              </w:rPr>
              <w:fldChar w:fldCharType="end"/>
            </w:r>
          </w:hyperlink>
        </w:p>
        <w:p w14:paraId="2FD9B834" w14:textId="754E8D28" w:rsidR="00F06518" w:rsidRDefault="00F06518">
          <w:pPr>
            <w:pStyle w:val="TOC2"/>
            <w:tabs>
              <w:tab w:val="right" w:leader="dot" w:pos="9010"/>
            </w:tabs>
            <w:rPr>
              <w:rFonts w:eastAsiaTheme="minorEastAsia"/>
              <w:b w:val="0"/>
              <w:bCs w:val="0"/>
              <w:noProof/>
              <w:sz w:val="24"/>
              <w:szCs w:val="24"/>
              <w:lang w:eastAsia="en-GB"/>
            </w:rPr>
          </w:pPr>
          <w:hyperlink w:anchor="_Toc167763062" w:history="1">
            <w:r w:rsidRPr="00B5303D">
              <w:rPr>
                <w:rStyle w:val="Hyperlink"/>
                <w:rFonts w:ascii="Times New Roman" w:hAnsi="Times New Roman" w:cs="Times New Roman"/>
                <w:noProof/>
              </w:rPr>
              <w:t>Table 5</w:t>
            </w:r>
            <w:r>
              <w:rPr>
                <w:noProof/>
                <w:webHidden/>
              </w:rPr>
              <w:tab/>
            </w:r>
            <w:r>
              <w:rPr>
                <w:noProof/>
                <w:webHidden/>
              </w:rPr>
              <w:fldChar w:fldCharType="begin"/>
            </w:r>
            <w:r>
              <w:rPr>
                <w:noProof/>
                <w:webHidden/>
              </w:rPr>
              <w:instrText xml:space="preserve"> PAGEREF _Toc167763062 \h </w:instrText>
            </w:r>
            <w:r>
              <w:rPr>
                <w:noProof/>
                <w:webHidden/>
              </w:rPr>
            </w:r>
            <w:r>
              <w:rPr>
                <w:noProof/>
                <w:webHidden/>
              </w:rPr>
              <w:fldChar w:fldCharType="separate"/>
            </w:r>
            <w:r>
              <w:rPr>
                <w:noProof/>
                <w:webHidden/>
              </w:rPr>
              <w:t>42</w:t>
            </w:r>
            <w:r>
              <w:rPr>
                <w:noProof/>
                <w:webHidden/>
              </w:rPr>
              <w:fldChar w:fldCharType="end"/>
            </w:r>
          </w:hyperlink>
        </w:p>
        <w:p w14:paraId="4E7C7A68" w14:textId="1A087B54" w:rsidR="00F06518" w:rsidRDefault="00F06518">
          <w:pPr>
            <w:pStyle w:val="TOC2"/>
            <w:tabs>
              <w:tab w:val="right" w:leader="dot" w:pos="9010"/>
            </w:tabs>
            <w:rPr>
              <w:rFonts w:eastAsiaTheme="minorEastAsia"/>
              <w:b w:val="0"/>
              <w:bCs w:val="0"/>
              <w:noProof/>
              <w:sz w:val="24"/>
              <w:szCs w:val="24"/>
              <w:lang w:eastAsia="en-GB"/>
            </w:rPr>
          </w:pPr>
          <w:hyperlink w:anchor="_Toc167763063" w:history="1">
            <w:r w:rsidRPr="00B5303D">
              <w:rPr>
                <w:rStyle w:val="Hyperlink"/>
                <w:rFonts w:ascii="Times New Roman" w:hAnsi="Times New Roman" w:cs="Times New Roman"/>
                <w:noProof/>
              </w:rPr>
              <w:t>Table 6</w:t>
            </w:r>
            <w:r>
              <w:rPr>
                <w:noProof/>
                <w:webHidden/>
              </w:rPr>
              <w:tab/>
            </w:r>
            <w:r>
              <w:rPr>
                <w:noProof/>
                <w:webHidden/>
              </w:rPr>
              <w:fldChar w:fldCharType="begin"/>
            </w:r>
            <w:r>
              <w:rPr>
                <w:noProof/>
                <w:webHidden/>
              </w:rPr>
              <w:instrText xml:space="preserve"> PAGEREF _Toc167763063 \h </w:instrText>
            </w:r>
            <w:r>
              <w:rPr>
                <w:noProof/>
                <w:webHidden/>
              </w:rPr>
            </w:r>
            <w:r>
              <w:rPr>
                <w:noProof/>
                <w:webHidden/>
              </w:rPr>
              <w:fldChar w:fldCharType="separate"/>
            </w:r>
            <w:r>
              <w:rPr>
                <w:noProof/>
                <w:webHidden/>
              </w:rPr>
              <w:t>43</w:t>
            </w:r>
            <w:r>
              <w:rPr>
                <w:noProof/>
                <w:webHidden/>
              </w:rPr>
              <w:fldChar w:fldCharType="end"/>
            </w:r>
          </w:hyperlink>
        </w:p>
        <w:p w14:paraId="5C9C4BED" w14:textId="1870C79E" w:rsidR="00E15C4B" w:rsidRPr="00E15C4B" w:rsidRDefault="00E24325" w:rsidP="00E15C4B">
          <w:pPr>
            <w:spacing w:line="360" w:lineRule="auto"/>
            <w:jc w:val="both"/>
            <w:rPr>
              <w:rFonts w:ascii="Times New Roman" w:hAnsi="Times New Roman" w:cs="Times New Roman"/>
              <w:b/>
              <w:bCs/>
              <w:noProof/>
              <w:sz w:val="20"/>
              <w:szCs w:val="20"/>
            </w:rPr>
            <w:sectPr w:rsidR="00E15C4B" w:rsidRPr="00E15C4B" w:rsidSect="00416076">
              <w:pgSz w:w="11900" w:h="16840"/>
              <w:pgMar w:top="1440" w:right="1440" w:bottom="1440" w:left="1440" w:header="1701" w:footer="454" w:gutter="0"/>
              <w:pgNumType w:fmt="lowerRoman" w:start="1"/>
              <w:cols w:space="708"/>
              <w:docGrid w:linePitch="360"/>
            </w:sectPr>
          </w:pPr>
          <w:r w:rsidRPr="00E15C4B">
            <w:rPr>
              <w:rFonts w:ascii="Times New Roman" w:hAnsi="Times New Roman" w:cs="Times New Roman"/>
              <w:b/>
              <w:bCs/>
              <w:noProof/>
            </w:rPr>
            <w:fldChar w:fldCharType="end"/>
          </w:r>
        </w:p>
      </w:sdtContent>
    </w:sdt>
    <w:p w14:paraId="759BFA92" w14:textId="7F795328" w:rsidR="00E15C4B" w:rsidRPr="00E15C4B" w:rsidRDefault="00E15C4B" w:rsidP="00E15C4B">
      <w:pPr>
        <w:pStyle w:val="Heading1"/>
        <w:numPr>
          <w:ilvl w:val="0"/>
          <w:numId w:val="26"/>
        </w:numPr>
        <w:rPr>
          <w:rFonts w:ascii="Times New Roman" w:hAnsi="Times New Roman" w:cs="Times New Roman"/>
          <w:b/>
          <w:bCs/>
          <w:color w:val="auto"/>
          <w:sz w:val="24"/>
          <w:szCs w:val="24"/>
        </w:rPr>
      </w:pPr>
      <w:bookmarkStart w:id="1" w:name="_Toc167763030"/>
      <w:r w:rsidRPr="00E15C4B">
        <w:rPr>
          <w:rFonts w:ascii="Times New Roman" w:hAnsi="Times New Roman" w:cs="Times New Roman"/>
          <w:b/>
          <w:bCs/>
          <w:color w:val="auto"/>
          <w:sz w:val="24"/>
          <w:szCs w:val="24"/>
        </w:rPr>
        <w:lastRenderedPageBreak/>
        <w:t>Introduction</w:t>
      </w:r>
      <w:bookmarkEnd w:id="1"/>
    </w:p>
    <w:p w14:paraId="10BAC55C" w14:textId="77777777" w:rsidR="00B668B7" w:rsidRPr="00785BF3" w:rsidRDefault="00B668B7" w:rsidP="00CA7220">
      <w:pPr>
        <w:spacing w:line="480" w:lineRule="auto"/>
        <w:jc w:val="both"/>
        <w:rPr>
          <w:rFonts w:ascii="Times New Roman" w:hAnsi="Times New Roman" w:cs="Times New Roman"/>
          <w:lang w:eastAsia="en-GB"/>
        </w:rPr>
      </w:pPr>
    </w:p>
    <w:p w14:paraId="717071B9" w14:textId="22B2E2C3" w:rsidR="00B668B7" w:rsidRPr="00785BF3" w:rsidRDefault="00B668B7" w:rsidP="00CA7220">
      <w:pPr>
        <w:spacing w:line="480" w:lineRule="auto"/>
        <w:jc w:val="both"/>
        <w:rPr>
          <w:rFonts w:ascii="Times New Roman" w:hAnsi="Times New Roman" w:cs="Times New Roman"/>
        </w:rPr>
      </w:pPr>
      <w:r w:rsidRPr="00785BF3">
        <w:rPr>
          <w:rFonts w:ascii="Times New Roman" w:hAnsi="Times New Roman" w:cs="Times New Roman"/>
        </w:rPr>
        <w:t xml:space="preserve">Accounting fraud and dividend smoothing are important subject areas in finance, carrying </w:t>
      </w:r>
      <w:r w:rsidR="009571C7" w:rsidRPr="00785BF3">
        <w:rPr>
          <w:rFonts w:ascii="Times New Roman" w:hAnsi="Times New Roman" w:cs="Times New Roman"/>
        </w:rPr>
        <w:t>substantial</w:t>
      </w:r>
      <w:r w:rsidRPr="00785BF3">
        <w:rPr>
          <w:rFonts w:ascii="Times New Roman" w:hAnsi="Times New Roman" w:cs="Times New Roman"/>
        </w:rPr>
        <w:t xml:space="preserve"> implications for stakeholders and market perceptions. Accounting fraud involves the manipulation of financial statements, often resulting in negative consequences for both the company and its stakeholders. Despite advancements in regulations and detection technologies, accounting fraud remains a concern as seen through major U.S. scandals such as </w:t>
      </w:r>
      <w:r w:rsidRPr="00485651">
        <w:rPr>
          <w:rFonts w:ascii="Times New Roman" w:hAnsi="Times New Roman" w:cs="Times New Roman"/>
        </w:rPr>
        <w:t>Enron and WorldCom (</w:t>
      </w:r>
      <w:proofErr w:type="spellStart"/>
      <w:r w:rsidRPr="00485651">
        <w:rPr>
          <w:rFonts w:ascii="Times New Roman" w:hAnsi="Times New Roman" w:cs="Times New Roman"/>
        </w:rPr>
        <w:t>Rezaee</w:t>
      </w:r>
      <w:proofErr w:type="spellEnd"/>
      <w:r w:rsidRPr="00485651">
        <w:rPr>
          <w:rFonts w:ascii="Times New Roman" w:hAnsi="Times New Roman" w:cs="Times New Roman"/>
        </w:rPr>
        <w:t xml:space="preserve">, 2005; </w:t>
      </w:r>
      <w:proofErr w:type="spellStart"/>
      <w:r w:rsidRPr="00485651">
        <w:rPr>
          <w:rFonts w:ascii="Times New Roman" w:hAnsi="Times New Roman" w:cs="Times New Roman"/>
        </w:rPr>
        <w:t>Wuerges</w:t>
      </w:r>
      <w:proofErr w:type="spellEnd"/>
      <w:r w:rsidRPr="00485651">
        <w:rPr>
          <w:rFonts w:ascii="Times New Roman" w:hAnsi="Times New Roman" w:cs="Times New Roman"/>
        </w:rPr>
        <w:t xml:space="preserve"> &amp; </w:t>
      </w:r>
      <w:proofErr w:type="spellStart"/>
      <w:r w:rsidRPr="00485651">
        <w:rPr>
          <w:rFonts w:ascii="Times New Roman" w:hAnsi="Times New Roman" w:cs="Times New Roman"/>
        </w:rPr>
        <w:t>Borba</w:t>
      </w:r>
      <w:proofErr w:type="spellEnd"/>
      <w:r w:rsidRPr="00485651">
        <w:rPr>
          <w:rFonts w:ascii="Times New Roman" w:hAnsi="Times New Roman" w:cs="Times New Roman"/>
        </w:rPr>
        <w:t>, 2014).</w:t>
      </w:r>
      <w:r w:rsidRPr="00785BF3">
        <w:rPr>
          <w:rFonts w:ascii="Times New Roman" w:hAnsi="Times New Roman" w:cs="Times New Roman"/>
        </w:rPr>
        <w:t xml:space="preserve"> </w:t>
      </w:r>
      <w:r w:rsidR="009571C7">
        <w:rPr>
          <w:rFonts w:ascii="Times New Roman" w:hAnsi="Times New Roman" w:cs="Times New Roman"/>
        </w:rPr>
        <w:t xml:space="preserve">Additionally, </w:t>
      </w:r>
      <w:r w:rsidRPr="00785BF3">
        <w:rPr>
          <w:rFonts w:ascii="Times New Roman" w:hAnsi="Times New Roman" w:cs="Times New Roman"/>
        </w:rPr>
        <w:t xml:space="preserve">Dividend smoothing is a </w:t>
      </w:r>
      <w:r w:rsidR="009571C7">
        <w:rPr>
          <w:rFonts w:ascii="Times New Roman" w:hAnsi="Times New Roman" w:cs="Times New Roman"/>
        </w:rPr>
        <w:t>method</w:t>
      </w:r>
      <w:r w:rsidRPr="00785BF3">
        <w:rPr>
          <w:rFonts w:ascii="Times New Roman" w:hAnsi="Times New Roman" w:cs="Times New Roman"/>
        </w:rPr>
        <w:t xml:space="preserve"> </w:t>
      </w:r>
      <w:r w:rsidR="009571C7">
        <w:rPr>
          <w:rFonts w:ascii="Times New Roman" w:hAnsi="Times New Roman" w:cs="Times New Roman"/>
        </w:rPr>
        <w:t>employed</w:t>
      </w:r>
      <w:r w:rsidRPr="00785BF3">
        <w:rPr>
          <w:rFonts w:ascii="Times New Roman" w:hAnsi="Times New Roman" w:cs="Times New Roman"/>
        </w:rPr>
        <w:t xml:space="preserve"> by </w:t>
      </w:r>
      <w:r w:rsidR="009571C7">
        <w:rPr>
          <w:rFonts w:ascii="Times New Roman" w:hAnsi="Times New Roman" w:cs="Times New Roman"/>
        </w:rPr>
        <w:t>organisations</w:t>
      </w:r>
      <w:r w:rsidRPr="00785BF3">
        <w:rPr>
          <w:rFonts w:ascii="Times New Roman" w:hAnsi="Times New Roman" w:cs="Times New Roman"/>
        </w:rPr>
        <w:t xml:space="preserve"> to maintain a consistent dividend </w:t>
      </w:r>
      <w:r w:rsidR="009571C7">
        <w:rPr>
          <w:rFonts w:ascii="Times New Roman" w:hAnsi="Times New Roman" w:cs="Times New Roman"/>
        </w:rPr>
        <w:t>distribution</w:t>
      </w:r>
      <w:r w:rsidRPr="00785BF3">
        <w:rPr>
          <w:rFonts w:ascii="Times New Roman" w:hAnsi="Times New Roman" w:cs="Times New Roman"/>
        </w:rPr>
        <w:t xml:space="preserve"> over time. This concept was first </w:t>
      </w:r>
      <w:r w:rsidRPr="00B6637F">
        <w:rPr>
          <w:rFonts w:ascii="Times New Roman" w:hAnsi="Times New Roman" w:cs="Times New Roman"/>
        </w:rPr>
        <w:t>introduced by Litner (1956) in</w:t>
      </w:r>
      <w:r w:rsidRPr="00785BF3">
        <w:rPr>
          <w:rFonts w:ascii="Times New Roman" w:hAnsi="Times New Roman" w:cs="Times New Roman"/>
        </w:rPr>
        <w:t xml:space="preserve"> his seminal work on dividend smoothing being aimed at signalling financial stability and reliability to investors. </w:t>
      </w:r>
      <w:r w:rsidRPr="00B6637F">
        <w:rPr>
          <w:rFonts w:ascii="Times New Roman" w:hAnsi="Times New Roman" w:cs="Times New Roman"/>
        </w:rPr>
        <w:t xml:space="preserve">Further studies (Fama and </w:t>
      </w:r>
      <w:proofErr w:type="spellStart"/>
      <w:r w:rsidRPr="00B6637F">
        <w:rPr>
          <w:rFonts w:ascii="Times New Roman" w:hAnsi="Times New Roman" w:cs="Times New Roman"/>
        </w:rPr>
        <w:t>Babiak</w:t>
      </w:r>
      <w:proofErr w:type="spellEnd"/>
      <w:r w:rsidRPr="00B6637F">
        <w:rPr>
          <w:rFonts w:ascii="Times New Roman" w:hAnsi="Times New Roman" w:cs="Times New Roman"/>
        </w:rPr>
        <w:t>, 1968), provided</w:t>
      </w:r>
      <w:r w:rsidRPr="00785BF3">
        <w:rPr>
          <w:rFonts w:ascii="Times New Roman" w:hAnsi="Times New Roman" w:cs="Times New Roman"/>
        </w:rPr>
        <w:t xml:space="preserve"> empirical evidence supporting the idea that companies frequently utilise earnings to forecast and maintain dividend payments. This research reinforces the idea that steady dividends are utili</w:t>
      </w:r>
      <w:r w:rsidR="009571C7">
        <w:rPr>
          <w:rFonts w:ascii="Times New Roman" w:hAnsi="Times New Roman" w:cs="Times New Roman"/>
        </w:rPr>
        <w:t>s</w:t>
      </w:r>
      <w:r w:rsidRPr="00785BF3">
        <w:rPr>
          <w:rFonts w:ascii="Times New Roman" w:hAnsi="Times New Roman" w:cs="Times New Roman"/>
        </w:rPr>
        <w:t>ed to shape investor expectations and reduce perceived risks.</w:t>
      </w:r>
      <w:r w:rsidR="00BE2019">
        <w:rPr>
          <w:rFonts w:ascii="Times New Roman" w:hAnsi="Times New Roman" w:cs="Times New Roman"/>
        </w:rPr>
        <w:t xml:space="preserve"> </w:t>
      </w:r>
      <w:r w:rsidRPr="00485651">
        <w:rPr>
          <w:rFonts w:ascii="Times New Roman" w:hAnsi="Times New Roman" w:cs="Times New Roman"/>
        </w:rPr>
        <w:t xml:space="preserve">These topics play a </w:t>
      </w:r>
      <w:r w:rsidRPr="00785BF3">
        <w:rPr>
          <w:rFonts w:ascii="Times New Roman" w:hAnsi="Times New Roman" w:cs="Times New Roman"/>
        </w:rPr>
        <w:t>significant</w:t>
      </w:r>
      <w:r w:rsidRPr="00485651">
        <w:rPr>
          <w:rFonts w:ascii="Times New Roman" w:hAnsi="Times New Roman" w:cs="Times New Roman"/>
        </w:rPr>
        <w:t xml:space="preserve"> role in corporate governance and finance</w:t>
      </w:r>
      <w:r w:rsidRPr="00785BF3">
        <w:rPr>
          <w:rFonts w:ascii="Times New Roman" w:hAnsi="Times New Roman" w:cs="Times New Roman"/>
        </w:rPr>
        <w:t xml:space="preserve"> due to their impact on investor trust and company valuation. Understanding how fraudulent practices affect dividend decisions can offer insights into reporting standards and ultimately enhance transparency and integrity throughout financial markets.</w:t>
      </w:r>
    </w:p>
    <w:p w14:paraId="01C7CAFC" w14:textId="77777777" w:rsidR="00B668B7" w:rsidRPr="00785BF3" w:rsidRDefault="00B668B7" w:rsidP="00CA7220">
      <w:pPr>
        <w:spacing w:line="480" w:lineRule="auto"/>
        <w:jc w:val="both"/>
        <w:rPr>
          <w:rFonts w:ascii="Times New Roman" w:hAnsi="Times New Roman" w:cs="Times New Roman"/>
        </w:rPr>
      </w:pPr>
    </w:p>
    <w:p w14:paraId="70FBEC06" w14:textId="4F8BB058" w:rsidR="00BE2019" w:rsidRDefault="00B668B7" w:rsidP="00CA7220">
      <w:pPr>
        <w:spacing w:line="480" w:lineRule="auto"/>
        <w:jc w:val="both"/>
        <w:rPr>
          <w:rFonts w:ascii="Times New Roman" w:hAnsi="Times New Roman" w:cs="Times New Roman"/>
        </w:rPr>
      </w:pPr>
      <w:r w:rsidRPr="00485651">
        <w:rPr>
          <w:rFonts w:ascii="Times New Roman" w:hAnsi="Times New Roman" w:cs="Times New Roman"/>
        </w:rPr>
        <w:t xml:space="preserve">Despite the extensive literature on accounting fraud and dividend smoothing, there is a notable gap in research </w:t>
      </w:r>
      <w:r w:rsidRPr="00785BF3">
        <w:rPr>
          <w:rFonts w:ascii="Times New Roman" w:hAnsi="Times New Roman" w:cs="Times New Roman"/>
        </w:rPr>
        <w:t>connecting these two practices</w:t>
      </w:r>
      <w:r w:rsidRPr="00485651">
        <w:rPr>
          <w:rFonts w:ascii="Times New Roman" w:hAnsi="Times New Roman" w:cs="Times New Roman"/>
        </w:rPr>
        <w:t>. Studies on accounting fraud primarily focus on detection, impact, and prevention (Skousen et al., 2009), while research on dividend smoothing explores its determinants, benefits</w:t>
      </w:r>
      <w:r w:rsidR="00B82C90">
        <w:rPr>
          <w:rFonts w:ascii="Times New Roman" w:hAnsi="Times New Roman" w:cs="Times New Roman"/>
        </w:rPr>
        <w:t>,</w:t>
      </w:r>
      <w:r w:rsidRPr="00485651">
        <w:rPr>
          <w:rFonts w:ascii="Times New Roman" w:hAnsi="Times New Roman" w:cs="Times New Roman"/>
        </w:rPr>
        <w:t xml:space="preserve"> and implications (</w:t>
      </w:r>
      <w:r w:rsidR="00647852" w:rsidRPr="00485651">
        <w:rPr>
          <w:rFonts w:ascii="Times New Roman" w:hAnsi="Times New Roman" w:cs="Times New Roman"/>
        </w:rPr>
        <w:t xml:space="preserve">Fama &amp; </w:t>
      </w:r>
      <w:proofErr w:type="spellStart"/>
      <w:r w:rsidR="00647852" w:rsidRPr="00485651">
        <w:rPr>
          <w:rFonts w:ascii="Times New Roman" w:hAnsi="Times New Roman" w:cs="Times New Roman"/>
        </w:rPr>
        <w:t>Babiak</w:t>
      </w:r>
      <w:proofErr w:type="spellEnd"/>
      <w:r w:rsidR="00647852" w:rsidRPr="00485651">
        <w:rPr>
          <w:rFonts w:ascii="Times New Roman" w:hAnsi="Times New Roman" w:cs="Times New Roman"/>
        </w:rPr>
        <w:t>, 1968; Leary &amp; Michaely, 201</w:t>
      </w:r>
      <w:r w:rsidR="00647852">
        <w:rPr>
          <w:rFonts w:ascii="Times New Roman" w:hAnsi="Times New Roman" w:cs="Times New Roman"/>
        </w:rPr>
        <w:t>1;</w:t>
      </w:r>
      <w:r w:rsidR="00647852" w:rsidRPr="00647852">
        <w:rPr>
          <w:rFonts w:ascii="Times New Roman" w:hAnsi="Times New Roman" w:cs="Times New Roman"/>
        </w:rPr>
        <w:t xml:space="preserve"> </w:t>
      </w:r>
      <w:r w:rsidR="00647852" w:rsidRPr="00485651">
        <w:rPr>
          <w:rFonts w:ascii="Times New Roman" w:hAnsi="Times New Roman" w:cs="Times New Roman"/>
        </w:rPr>
        <w:t>Lintner, 1956</w:t>
      </w:r>
      <w:r w:rsidR="00647852">
        <w:rPr>
          <w:rFonts w:ascii="Times New Roman" w:hAnsi="Times New Roman" w:cs="Times New Roman"/>
        </w:rPr>
        <w:t xml:space="preserve">). </w:t>
      </w:r>
      <w:r w:rsidRPr="00485651">
        <w:rPr>
          <w:rFonts w:ascii="Times New Roman" w:hAnsi="Times New Roman" w:cs="Times New Roman"/>
        </w:rPr>
        <w:t>However, the potential linkage between accounting fraud and dividend smoothing remains largely unexplored.</w:t>
      </w:r>
      <w:r w:rsidR="00BE2019">
        <w:rPr>
          <w:rFonts w:ascii="Times New Roman" w:hAnsi="Times New Roman" w:cs="Times New Roman"/>
        </w:rPr>
        <w:t xml:space="preserve"> </w:t>
      </w:r>
      <w:r w:rsidRPr="00485651">
        <w:rPr>
          <w:rFonts w:ascii="Times New Roman" w:hAnsi="Times New Roman" w:cs="Times New Roman"/>
        </w:rPr>
        <w:t xml:space="preserve">Addressing this gap </w:t>
      </w:r>
      <w:r w:rsidRPr="001B18E6">
        <w:rPr>
          <w:rFonts w:ascii="Times New Roman" w:hAnsi="Times New Roman" w:cs="Times New Roman"/>
        </w:rPr>
        <w:t>c</w:t>
      </w:r>
      <w:r w:rsidRPr="00485651">
        <w:rPr>
          <w:rFonts w:ascii="Times New Roman" w:hAnsi="Times New Roman" w:cs="Times New Roman"/>
        </w:rPr>
        <w:t xml:space="preserve">an </w:t>
      </w:r>
      <w:r w:rsidR="001B18E6" w:rsidRPr="001B18E6">
        <w:rPr>
          <w:rFonts w:ascii="Times New Roman" w:hAnsi="Times New Roman" w:cs="Times New Roman"/>
        </w:rPr>
        <w:t>be beneficial</w:t>
      </w:r>
      <w:r w:rsidRPr="00485651">
        <w:rPr>
          <w:rFonts w:ascii="Times New Roman" w:hAnsi="Times New Roman" w:cs="Times New Roman"/>
        </w:rPr>
        <w:t xml:space="preserve"> in </w:t>
      </w:r>
      <w:r w:rsidR="001B18E6" w:rsidRPr="001B18E6">
        <w:rPr>
          <w:rFonts w:ascii="Times New Roman" w:hAnsi="Times New Roman" w:cs="Times New Roman"/>
        </w:rPr>
        <w:t xml:space="preserve">understanding </w:t>
      </w:r>
      <w:r w:rsidRPr="00485651">
        <w:rPr>
          <w:rFonts w:ascii="Times New Roman" w:hAnsi="Times New Roman" w:cs="Times New Roman"/>
        </w:rPr>
        <w:lastRenderedPageBreak/>
        <w:t xml:space="preserve">the </w:t>
      </w:r>
      <w:r w:rsidR="00F11502">
        <w:rPr>
          <w:rFonts w:ascii="Times New Roman" w:hAnsi="Times New Roman" w:cs="Times New Roman"/>
        </w:rPr>
        <w:t>environment in which fraud is present</w:t>
      </w:r>
      <w:r w:rsidRPr="00485651">
        <w:rPr>
          <w:rFonts w:ascii="Times New Roman" w:hAnsi="Times New Roman" w:cs="Times New Roman"/>
        </w:rPr>
        <w:t xml:space="preserve">, maintaining market and shareholder confidence </w:t>
      </w:r>
      <w:r w:rsidR="001B18E6" w:rsidRPr="001B18E6">
        <w:rPr>
          <w:rFonts w:ascii="Times New Roman" w:hAnsi="Times New Roman" w:cs="Times New Roman"/>
        </w:rPr>
        <w:t>and establishing</w:t>
      </w:r>
      <w:r w:rsidRPr="00485651">
        <w:rPr>
          <w:rFonts w:ascii="Times New Roman" w:hAnsi="Times New Roman" w:cs="Times New Roman"/>
        </w:rPr>
        <w:t xml:space="preserve"> detection methods for auditors (Cressy, 1953; </w:t>
      </w:r>
      <w:proofErr w:type="spellStart"/>
      <w:r w:rsidRPr="00485651">
        <w:rPr>
          <w:rFonts w:ascii="Times New Roman" w:hAnsi="Times New Roman" w:cs="Times New Roman"/>
        </w:rPr>
        <w:t>Rezaee</w:t>
      </w:r>
      <w:proofErr w:type="spellEnd"/>
      <w:r w:rsidRPr="00485651">
        <w:rPr>
          <w:rFonts w:ascii="Times New Roman" w:hAnsi="Times New Roman" w:cs="Times New Roman"/>
        </w:rPr>
        <w:t>, 2005; Lou &amp; Wang, 2009).</w:t>
      </w:r>
      <w:r w:rsidRPr="00B6637F">
        <w:rPr>
          <w:rFonts w:ascii="Times New Roman" w:hAnsi="Times New Roman" w:cs="Times New Roman"/>
        </w:rPr>
        <w:t xml:space="preserve"> More specifically</w:t>
      </w:r>
      <w:r w:rsidRPr="00785BF3">
        <w:rPr>
          <w:rFonts w:ascii="Times New Roman" w:hAnsi="Times New Roman" w:cs="Times New Roman"/>
        </w:rPr>
        <w:t xml:space="preserve">, it can reveal </w:t>
      </w:r>
      <w:r w:rsidRPr="00485651">
        <w:rPr>
          <w:rFonts w:ascii="Times New Roman" w:hAnsi="Times New Roman" w:cs="Times New Roman"/>
        </w:rPr>
        <w:t xml:space="preserve">whether companies involved in fraudulent activities use dividend smoothing as a strategy to present </w:t>
      </w:r>
      <w:r w:rsidRPr="00785BF3">
        <w:rPr>
          <w:rFonts w:ascii="Times New Roman" w:hAnsi="Times New Roman" w:cs="Times New Roman"/>
        </w:rPr>
        <w:t xml:space="preserve">fabricated </w:t>
      </w:r>
      <w:r w:rsidRPr="00485651">
        <w:rPr>
          <w:rFonts w:ascii="Times New Roman" w:hAnsi="Times New Roman" w:cs="Times New Roman"/>
        </w:rPr>
        <w:t>financial stability.</w:t>
      </w:r>
      <w:r w:rsidRPr="00785BF3">
        <w:rPr>
          <w:rFonts w:ascii="Times New Roman" w:hAnsi="Times New Roman" w:cs="Times New Roman"/>
        </w:rPr>
        <w:t xml:space="preserve"> </w:t>
      </w:r>
      <w:r w:rsidRPr="00485651">
        <w:rPr>
          <w:rFonts w:ascii="Times New Roman" w:hAnsi="Times New Roman" w:cs="Times New Roman"/>
        </w:rPr>
        <w:t xml:space="preserve">Understanding this relationship could provide valuable insights into corporate </w:t>
      </w:r>
      <w:r w:rsidRPr="00785BF3">
        <w:rPr>
          <w:rFonts w:ascii="Times New Roman" w:hAnsi="Times New Roman" w:cs="Times New Roman"/>
        </w:rPr>
        <w:t>behaviour</w:t>
      </w:r>
      <w:r w:rsidRPr="00485651">
        <w:rPr>
          <w:rFonts w:ascii="Times New Roman" w:hAnsi="Times New Roman" w:cs="Times New Roman"/>
        </w:rPr>
        <w:t>, informing better regulatory practices and improving governance frameworks.</w:t>
      </w:r>
    </w:p>
    <w:p w14:paraId="42076CCE" w14:textId="77777777" w:rsidR="00BE2019" w:rsidRDefault="00BE2019" w:rsidP="00CA7220">
      <w:pPr>
        <w:spacing w:line="480" w:lineRule="auto"/>
        <w:jc w:val="both"/>
        <w:rPr>
          <w:rFonts w:ascii="Times New Roman" w:hAnsi="Times New Roman" w:cs="Times New Roman"/>
        </w:rPr>
      </w:pPr>
    </w:p>
    <w:p w14:paraId="66A75339" w14:textId="664E75BE" w:rsidR="00B668B7" w:rsidRPr="00485651" w:rsidRDefault="00B668B7" w:rsidP="00CA7220">
      <w:pPr>
        <w:spacing w:line="480" w:lineRule="auto"/>
        <w:jc w:val="both"/>
        <w:rPr>
          <w:rFonts w:ascii="Times New Roman" w:hAnsi="Times New Roman" w:cs="Times New Roman"/>
        </w:rPr>
      </w:pPr>
      <w:r w:rsidRPr="00785BF3">
        <w:rPr>
          <w:rFonts w:ascii="Times New Roman" w:hAnsi="Times New Roman" w:cs="Times New Roman"/>
        </w:rPr>
        <w:t>As a result, this study will explore its main question, “Does a company committing accounting fraud increase the use of dividend smoothing?”</w:t>
      </w:r>
      <w:r w:rsidR="009B4841">
        <w:rPr>
          <w:rFonts w:ascii="Times New Roman" w:hAnsi="Times New Roman" w:cs="Times New Roman"/>
        </w:rPr>
        <w:t xml:space="preserve"> </w:t>
      </w:r>
      <w:r w:rsidRPr="00785BF3">
        <w:rPr>
          <w:rFonts w:ascii="Times New Roman" w:hAnsi="Times New Roman" w:cs="Times New Roman"/>
        </w:rPr>
        <w:t>by examining the reasoning behin</w:t>
      </w:r>
      <w:r w:rsidRPr="009B4841">
        <w:rPr>
          <w:rFonts w:ascii="Times New Roman" w:hAnsi="Times New Roman" w:cs="Times New Roman"/>
        </w:rPr>
        <w:t xml:space="preserve">d the use of dividend smoothing and the subsequent benefits this may have for fraudulent companies. </w:t>
      </w:r>
      <w:r w:rsidRPr="00485651">
        <w:rPr>
          <w:rFonts w:ascii="Times New Roman" w:hAnsi="Times New Roman" w:cs="Times New Roman"/>
        </w:rPr>
        <w:t xml:space="preserve">This </w:t>
      </w:r>
      <w:r w:rsidR="009B4841" w:rsidRPr="009B4841">
        <w:rPr>
          <w:rFonts w:ascii="Times New Roman" w:hAnsi="Times New Roman" w:cs="Times New Roman"/>
        </w:rPr>
        <w:t xml:space="preserve">study will examine </w:t>
      </w:r>
      <w:r w:rsidRPr="00485651">
        <w:rPr>
          <w:rFonts w:ascii="Times New Roman" w:hAnsi="Times New Roman" w:cs="Times New Roman"/>
        </w:rPr>
        <w:t xml:space="preserve">fraudulent </w:t>
      </w:r>
      <w:r w:rsidR="009B4841" w:rsidRPr="009B4841">
        <w:rPr>
          <w:rFonts w:ascii="Times New Roman" w:hAnsi="Times New Roman" w:cs="Times New Roman"/>
        </w:rPr>
        <w:t xml:space="preserve">data and dividend strategies obtained </w:t>
      </w:r>
      <w:r w:rsidR="00BC7773" w:rsidRPr="009B4841">
        <w:rPr>
          <w:rFonts w:ascii="Times New Roman" w:hAnsi="Times New Roman" w:cs="Times New Roman"/>
        </w:rPr>
        <w:t>from</w:t>
      </w:r>
      <w:r w:rsidR="009B4841" w:rsidRPr="009B4841">
        <w:rPr>
          <w:rFonts w:ascii="Times New Roman" w:hAnsi="Times New Roman" w:cs="Times New Roman"/>
        </w:rPr>
        <w:t xml:space="preserve"> </w:t>
      </w:r>
      <w:r w:rsidRPr="00485651">
        <w:rPr>
          <w:rFonts w:ascii="Times New Roman" w:hAnsi="Times New Roman" w:cs="Times New Roman"/>
        </w:rPr>
        <w:t xml:space="preserve">U.S. firms, as findings </w:t>
      </w:r>
      <w:r w:rsidR="009B4841" w:rsidRPr="009B4841">
        <w:rPr>
          <w:rFonts w:ascii="Times New Roman" w:hAnsi="Times New Roman" w:cs="Times New Roman"/>
        </w:rPr>
        <w:t>reveal</w:t>
      </w:r>
      <w:r w:rsidRPr="00485651">
        <w:rPr>
          <w:rFonts w:ascii="Times New Roman" w:hAnsi="Times New Roman" w:cs="Times New Roman"/>
        </w:rPr>
        <w:t xml:space="preserve"> that dividend smoothing </w:t>
      </w:r>
      <w:r w:rsidR="009B4841" w:rsidRPr="009B4841">
        <w:rPr>
          <w:rFonts w:ascii="Times New Roman" w:hAnsi="Times New Roman" w:cs="Times New Roman"/>
        </w:rPr>
        <w:t>is</w:t>
      </w:r>
      <w:r w:rsidRPr="00485651">
        <w:rPr>
          <w:rFonts w:ascii="Times New Roman" w:hAnsi="Times New Roman" w:cs="Times New Roman"/>
        </w:rPr>
        <w:t xml:space="preserve"> more </w:t>
      </w:r>
      <w:r w:rsidR="009B4841" w:rsidRPr="009B4841">
        <w:rPr>
          <w:rFonts w:ascii="Times New Roman" w:hAnsi="Times New Roman" w:cs="Times New Roman"/>
        </w:rPr>
        <w:t xml:space="preserve">prevalent </w:t>
      </w:r>
      <w:r w:rsidRPr="00485651">
        <w:rPr>
          <w:rFonts w:ascii="Times New Roman" w:hAnsi="Times New Roman" w:cs="Times New Roman"/>
        </w:rPr>
        <w:t>in large equity markets (</w:t>
      </w:r>
      <w:proofErr w:type="spellStart"/>
      <w:r w:rsidRPr="00485651">
        <w:rPr>
          <w:rFonts w:ascii="Times New Roman" w:hAnsi="Times New Roman" w:cs="Times New Roman"/>
        </w:rPr>
        <w:t>Litner</w:t>
      </w:r>
      <w:proofErr w:type="spellEnd"/>
      <w:r w:rsidRPr="00485651">
        <w:rPr>
          <w:rFonts w:ascii="Times New Roman" w:hAnsi="Times New Roman" w:cs="Times New Roman"/>
        </w:rPr>
        <w:t xml:space="preserve">, 1956; </w:t>
      </w:r>
      <w:proofErr w:type="spellStart"/>
      <w:r w:rsidRPr="00485651">
        <w:rPr>
          <w:rFonts w:ascii="Times New Roman" w:hAnsi="Times New Roman" w:cs="Times New Roman"/>
        </w:rPr>
        <w:t>Rangvid</w:t>
      </w:r>
      <w:proofErr w:type="spellEnd"/>
      <w:r w:rsidRPr="00485651">
        <w:rPr>
          <w:rFonts w:ascii="Times New Roman" w:hAnsi="Times New Roman" w:cs="Times New Roman"/>
        </w:rPr>
        <w:t xml:space="preserve">, Schmeling &amp; </w:t>
      </w:r>
      <w:proofErr w:type="spellStart"/>
      <w:r w:rsidRPr="00485651">
        <w:rPr>
          <w:rFonts w:ascii="Times New Roman" w:hAnsi="Times New Roman" w:cs="Times New Roman"/>
        </w:rPr>
        <w:t>Schrimpf</w:t>
      </w:r>
      <w:proofErr w:type="spellEnd"/>
      <w:r w:rsidRPr="00485651">
        <w:rPr>
          <w:rFonts w:ascii="Times New Roman" w:hAnsi="Times New Roman" w:cs="Times New Roman"/>
        </w:rPr>
        <w:t>, 2014</w:t>
      </w:r>
      <w:r w:rsidRPr="009B4841">
        <w:rPr>
          <w:rFonts w:ascii="Times New Roman" w:hAnsi="Times New Roman" w:cs="Times New Roman"/>
        </w:rPr>
        <w:t xml:space="preserve">). </w:t>
      </w:r>
      <w:r w:rsidR="009B4841" w:rsidRPr="009B4841">
        <w:rPr>
          <w:rFonts w:ascii="Times New Roman" w:hAnsi="Times New Roman" w:cs="Times New Roman"/>
        </w:rPr>
        <w:t>As well as this</w:t>
      </w:r>
      <w:r w:rsidRPr="00485651">
        <w:rPr>
          <w:rFonts w:ascii="Times New Roman" w:hAnsi="Times New Roman" w:cs="Times New Roman"/>
        </w:rPr>
        <w:t xml:space="preserve">, </w:t>
      </w:r>
      <w:r w:rsidR="009B4841" w:rsidRPr="009B4841">
        <w:rPr>
          <w:rFonts w:ascii="Times New Roman" w:hAnsi="Times New Roman" w:cs="Times New Roman"/>
        </w:rPr>
        <w:t>the i</w:t>
      </w:r>
      <w:r w:rsidR="009571C7">
        <w:rPr>
          <w:rFonts w:ascii="Times New Roman" w:hAnsi="Times New Roman" w:cs="Times New Roman"/>
        </w:rPr>
        <w:t>mplementation</w:t>
      </w:r>
      <w:r w:rsidR="009B4841" w:rsidRPr="009B4841">
        <w:rPr>
          <w:rFonts w:ascii="Times New Roman" w:hAnsi="Times New Roman" w:cs="Times New Roman"/>
        </w:rPr>
        <w:t xml:space="preserve"> of the </w:t>
      </w:r>
      <w:r w:rsidR="009B4841" w:rsidRPr="00485651">
        <w:rPr>
          <w:rFonts w:ascii="Times New Roman" w:hAnsi="Times New Roman" w:cs="Times New Roman"/>
        </w:rPr>
        <w:t xml:space="preserve">Sarbanes-Oxley act </w:t>
      </w:r>
      <w:r w:rsidR="009B4841" w:rsidRPr="009B4841">
        <w:rPr>
          <w:rFonts w:ascii="Times New Roman" w:hAnsi="Times New Roman" w:cs="Times New Roman"/>
        </w:rPr>
        <w:t xml:space="preserve">following the rise in </w:t>
      </w:r>
      <w:r w:rsidRPr="00485651">
        <w:rPr>
          <w:rFonts w:ascii="Times New Roman" w:hAnsi="Times New Roman" w:cs="Times New Roman"/>
        </w:rPr>
        <w:t xml:space="preserve">large U.S. </w:t>
      </w:r>
      <w:r w:rsidRPr="009B4841">
        <w:rPr>
          <w:rFonts w:ascii="Times New Roman" w:hAnsi="Times New Roman" w:cs="Times New Roman"/>
        </w:rPr>
        <w:t xml:space="preserve">scandals </w:t>
      </w:r>
      <w:r w:rsidR="009B4841" w:rsidRPr="009B4841">
        <w:rPr>
          <w:rFonts w:ascii="Times New Roman" w:hAnsi="Times New Roman" w:cs="Times New Roman"/>
        </w:rPr>
        <w:t>emphasises</w:t>
      </w:r>
      <w:r w:rsidRPr="00485651">
        <w:rPr>
          <w:rFonts w:ascii="Times New Roman" w:hAnsi="Times New Roman" w:cs="Times New Roman"/>
        </w:rPr>
        <w:t xml:space="preserve"> the importance of </w:t>
      </w:r>
      <w:r w:rsidRPr="009B4841">
        <w:rPr>
          <w:rFonts w:ascii="Times New Roman" w:hAnsi="Times New Roman" w:cs="Times New Roman"/>
        </w:rPr>
        <w:t xml:space="preserve">understanding the reasonings behind </w:t>
      </w:r>
      <w:r w:rsidRPr="00485651">
        <w:rPr>
          <w:rFonts w:ascii="Times New Roman" w:hAnsi="Times New Roman" w:cs="Times New Roman"/>
        </w:rPr>
        <w:t xml:space="preserve">fraud occurrences in the U.S. </w:t>
      </w:r>
      <w:r w:rsidRPr="009B4841">
        <w:rPr>
          <w:rFonts w:ascii="Times New Roman" w:hAnsi="Times New Roman" w:cs="Times New Roman"/>
        </w:rPr>
        <w:t xml:space="preserve">going undetected </w:t>
      </w:r>
      <w:r w:rsidRPr="00485651">
        <w:rPr>
          <w:rFonts w:ascii="Times New Roman" w:hAnsi="Times New Roman" w:cs="Times New Roman"/>
        </w:rPr>
        <w:t xml:space="preserve">(Giroux, 2008; Sorensen &amp; Miller, 2017; </w:t>
      </w:r>
      <w:proofErr w:type="spellStart"/>
      <w:r w:rsidRPr="00485651">
        <w:rPr>
          <w:rFonts w:ascii="Times New Roman" w:hAnsi="Times New Roman" w:cs="Times New Roman"/>
        </w:rPr>
        <w:t>Tutino</w:t>
      </w:r>
      <w:proofErr w:type="spellEnd"/>
      <w:r w:rsidRPr="00485651">
        <w:rPr>
          <w:rFonts w:ascii="Times New Roman" w:hAnsi="Times New Roman" w:cs="Times New Roman"/>
        </w:rPr>
        <w:t xml:space="preserve"> &amp; Merlo, 2019). </w:t>
      </w:r>
    </w:p>
    <w:p w14:paraId="3C30ADF0" w14:textId="77777777" w:rsidR="00B668B7" w:rsidRPr="00785BF3" w:rsidRDefault="00B668B7" w:rsidP="00CA7220">
      <w:pPr>
        <w:spacing w:line="480" w:lineRule="auto"/>
        <w:jc w:val="both"/>
        <w:rPr>
          <w:rFonts w:ascii="Times New Roman" w:hAnsi="Times New Roman" w:cs="Times New Roman"/>
        </w:rPr>
      </w:pPr>
    </w:p>
    <w:p w14:paraId="328DB02C" w14:textId="261F9EA9" w:rsidR="00B668B7" w:rsidRPr="000D02B8" w:rsidRDefault="00BE2019" w:rsidP="00CA7220">
      <w:pPr>
        <w:spacing w:line="480" w:lineRule="auto"/>
        <w:jc w:val="both"/>
        <w:rPr>
          <w:rFonts w:ascii="Times New Roman" w:hAnsi="Times New Roman" w:cs="Times New Roman"/>
        </w:rPr>
      </w:pPr>
      <w:r>
        <w:rPr>
          <w:rFonts w:ascii="Times New Roman" w:hAnsi="Times New Roman" w:cs="Times New Roman"/>
        </w:rPr>
        <w:t>The topics of accounting fraud and dividend smoothing</w:t>
      </w:r>
      <w:r w:rsidR="00B668B7" w:rsidRPr="000D02B8">
        <w:rPr>
          <w:rFonts w:ascii="Times New Roman" w:hAnsi="Times New Roman" w:cs="Times New Roman"/>
        </w:rPr>
        <w:t xml:space="preserve"> </w:t>
      </w:r>
      <w:r>
        <w:rPr>
          <w:rFonts w:ascii="Times New Roman" w:hAnsi="Times New Roman" w:cs="Times New Roman"/>
        </w:rPr>
        <w:t>are</w:t>
      </w:r>
      <w:r w:rsidR="00B668B7" w:rsidRPr="000D02B8">
        <w:rPr>
          <w:rFonts w:ascii="Times New Roman" w:hAnsi="Times New Roman" w:cs="Times New Roman"/>
        </w:rPr>
        <w:t xml:space="preserve"> grounded in several theoretical frameworks</w:t>
      </w:r>
      <w:r w:rsidR="00B668B7" w:rsidRPr="00B6637F">
        <w:rPr>
          <w:rFonts w:ascii="Times New Roman" w:hAnsi="Times New Roman" w:cs="Times New Roman"/>
        </w:rPr>
        <w:t xml:space="preserve"> </w:t>
      </w:r>
      <w:r w:rsidR="00B668B7" w:rsidRPr="000D02B8">
        <w:rPr>
          <w:rFonts w:ascii="Times New Roman" w:hAnsi="Times New Roman" w:cs="Times New Roman"/>
        </w:rPr>
        <w:t xml:space="preserve">including </w:t>
      </w:r>
      <w:r w:rsidR="00B668B7" w:rsidRPr="00B6637F">
        <w:rPr>
          <w:rFonts w:ascii="Times New Roman" w:hAnsi="Times New Roman" w:cs="Times New Roman"/>
        </w:rPr>
        <w:t xml:space="preserve">the </w:t>
      </w:r>
      <w:r w:rsidR="00B668B7" w:rsidRPr="000D02B8">
        <w:rPr>
          <w:rFonts w:ascii="Times New Roman" w:eastAsia="Times New Roman" w:hAnsi="Times New Roman" w:cs="Times New Roman"/>
        </w:rPr>
        <w:t xml:space="preserve">agency </w:t>
      </w:r>
      <w:r w:rsidR="009571C7">
        <w:rPr>
          <w:rFonts w:ascii="Times New Roman" w:eastAsia="Times New Roman" w:hAnsi="Times New Roman" w:cs="Times New Roman"/>
        </w:rPr>
        <w:t xml:space="preserve">theory </w:t>
      </w:r>
      <w:r w:rsidR="00B668B7" w:rsidRPr="000D02B8">
        <w:rPr>
          <w:rFonts w:ascii="Times New Roman" w:hAnsi="Times New Roman" w:cs="Times New Roman"/>
        </w:rPr>
        <w:t xml:space="preserve">and </w:t>
      </w:r>
      <w:r w:rsidR="009571C7">
        <w:rPr>
          <w:rFonts w:ascii="Times New Roman" w:hAnsi="Times New Roman" w:cs="Times New Roman"/>
        </w:rPr>
        <w:t xml:space="preserve">the </w:t>
      </w:r>
      <w:r w:rsidR="00B668B7" w:rsidRPr="00B6637F">
        <w:rPr>
          <w:rFonts w:ascii="Times New Roman" w:hAnsi="Times New Roman" w:cs="Times New Roman"/>
        </w:rPr>
        <w:t>signalling</w:t>
      </w:r>
      <w:r w:rsidR="00B668B7" w:rsidRPr="000D02B8">
        <w:rPr>
          <w:rFonts w:ascii="Times New Roman" w:eastAsia="Times New Roman" w:hAnsi="Times New Roman" w:cs="Times New Roman"/>
        </w:rPr>
        <w:t xml:space="preserve"> theory</w:t>
      </w:r>
      <w:r w:rsidR="00B668B7" w:rsidRPr="000D02B8">
        <w:rPr>
          <w:rFonts w:ascii="Times New Roman" w:hAnsi="Times New Roman" w:cs="Times New Roman"/>
        </w:rPr>
        <w:t xml:space="preserve">. </w:t>
      </w:r>
      <w:r w:rsidR="00B668B7" w:rsidRPr="00B6637F">
        <w:rPr>
          <w:rFonts w:ascii="Times New Roman" w:hAnsi="Times New Roman" w:cs="Times New Roman"/>
        </w:rPr>
        <w:t>The a</w:t>
      </w:r>
      <w:r w:rsidR="00B668B7" w:rsidRPr="000D02B8">
        <w:rPr>
          <w:rFonts w:ascii="Times New Roman" w:eastAsia="Times New Roman" w:hAnsi="Times New Roman" w:cs="Times New Roman"/>
        </w:rPr>
        <w:t>gency theory</w:t>
      </w:r>
      <w:r w:rsidR="00F742B1">
        <w:rPr>
          <w:rFonts w:ascii="Times New Roman" w:hAnsi="Times New Roman" w:cs="Times New Roman"/>
        </w:rPr>
        <w:t xml:space="preserve"> </w:t>
      </w:r>
      <w:r w:rsidR="00B668B7" w:rsidRPr="000D02B8">
        <w:rPr>
          <w:rFonts w:ascii="Times New Roman" w:hAnsi="Times New Roman" w:cs="Times New Roman"/>
        </w:rPr>
        <w:t xml:space="preserve">(Jensen &amp; </w:t>
      </w:r>
      <w:proofErr w:type="spellStart"/>
      <w:r w:rsidR="00B668B7" w:rsidRPr="000D02B8">
        <w:rPr>
          <w:rFonts w:ascii="Times New Roman" w:hAnsi="Times New Roman" w:cs="Times New Roman"/>
        </w:rPr>
        <w:t>Meckling</w:t>
      </w:r>
      <w:proofErr w:type="spellEnd"/>
      <w:r w:rsidR="00B668B7" w:rsidRPr="000D02B8">
        <w:rPr>
          <w:rFonts w:ascii="Times New Roman" w:hAnsi="Times New Roman" w:cs="Times New Roman"/>
        </w:rPr>
        <w:t>, 1976) explores the conflicts of interest between managers (agents) and shareholders (principals)</w:t>
      </w:r>
      <w:r w:rsidR="00647852">
        <w:rPr>
          <w:rFonts w:ascii="Times New Roman" w:hAnsi="Times New Roman" w:cs="Times New Roman"/>
        </w:rPr>
        <w:t xml:space="preserve">. Research suggests </w:t>
      </w:r>
      <w:r w:rsidR="00B668B7" w:rsidRPr="000D02B8">
        <w:rPr>
          <w:rFonts w:ascii="Times New Roman" w:hAnsi="Times New Roman" w:cs="Times New Roman"/>
        </w:rPr>
        <w:t xml:space="preserve">that dividend </w:t>
      </w:r>
      <w:r w:rsidR="00647852">
        <w:rPr>
          <w:rFonts w:ascii="Times New Roman" w:hAnsi="Times New Roman" w:cs="Times New Roman"/>
        </w:rPr>
        <w:t>smoothing is more prevalent in agency conflicts (</w:t>
      </w:r>
      <w:r w:rsidR="00647852" w:rsidRPr="00485651">
        <w:rPr>
          <w:rFonts w:ascii="Times New Roman" w:hAnsi="Times New Roman" w:cs="Times New Roman"/>
        </w:rPr>
        <w:t>Leary &amp; Michaely, 201</w:t>
      </w:r>
      <w:r w:rsidR="00647852">
        <w:rPr>
          <w:rFonts w:ascii="Times New Roman" w:hAnsi="Times New Roman" w:cs="Times New Roman"/>
        </w:rPr>
        <w:t>1). Moreover, t</w:t>
      </w:r>
      <w:r w:rsidR="00B668B7" w:rsidRPr="00785BF3">
        <w:rPr>
          <w:rFonts w:ascii="Times New Roman" w:hAnsi="Times New Roman" w:cs="Times New Roman"/>
        </w:rPr>
        <w:t>he signalling</w:t>
      </w:r>
      <w:r w:rsidR="00B668B7" w:rsidRPr="000D02B8">
        <w:rPr>
          <w:rFonts w:ascii="Times New Roman" w:eastAsia="Times New Roman" w:hAnsi="Times New Roman" w:cs="Times New Roman"/>
        </w:rPr>
        <w:t xml:space="preserve"> theory</w:t>
      </w:r>
      <w:r w:rsidR="00B668B7" w:rsidRPr="000D02B8">
        <w:rPr>
          <w:rFonts w:ascii="Times New Roman" w:hAnsi="Times New Roman" w:cs="Times New Roman"/>
        </w:rPr>
        <w:t xml:space="preserve"> (Bhattacharya, 1979; Miller &amp; Rock, 1985) </w:t>
      </w:r>
      <w:r w:rsidR="001C183B">
        <w:rPr>
          <w:rFonts w:ascii="Times New Roman" w:hAnsi="Times New Roman" w:cs="Times New Roman"/>
        </w:rPr>
        <w:t>suggests</w:t>
      </w:r>
      <w:r w:rsidR="00B668B7" w:rsidRPr="00B6637F">
        <w:rPr>
          <w:rFonts w:ascii="Times New Roman" w:hAnsi="Times New Roman" w:cs="Times New Roman"/>
        </w:rPr>
        <w:t xml:space="preserve"> </w:t>
      </w:r>
      <w:r w:rsidR="00B668B7" w:rsidRPr="000D02B8">
        <w:rPr>
          <w:rFonts w:ascii="Times New Roman" w:hAnsi="Times New Roman" w:cs="Times New Roman"/>
        </w:rPr>
        <w:t>that dividends c</w:t>
      </w:r>
      <w:r w:rsidR="001C183B">
        <w:rPr>
          <w:rFonts w:ascii="Times New Roman" w:hAnsi="Times New Roman" w:cs="Times New Roman"/>
        </w:rPr>
        <w:t>ommunicate</w:t>
      </w:r>
      <w:r w:rsidR="00B668B7" w:rsidRPr="000D02B8">
        <w:rPr>
          <w:rFonts w:ascii="Times New Roman" w:hAnsi="Times New Roman" w:cs="Times New Roman"/>
        </w:rPr>
        <w:t xml:space="preserve"> information about a firm's future </w:t>
      </w:r>
      <w:r w:rsidR="001C183B">
        <w:rPr>
          <w:rFonts w:ascii="Times New Roman" w:hAnsi="Times New Roman" w:cs="Times New Roman"/>
        </w:rPr>
        <w:t>prospects</w:t>
      </w:r>
      <w:r w:rsidR="00B668B7" w:rsidRPr="000D02B8">
        <w:rPr>
          <w:rFonts w:ascii="Times New Roman" w:hAnsi="Times New Roman" w:cs="Times New Roman"/>
        </w:rPr>
        <w:t xml:space="preserve"> and financial health to investors, thereby reducing information asymmetry.</w:t>
      </w:r>
      <w:r w:rsidR="00B668B7" w:rsidRPr="00785BF3">
        <w:rPr>
          <w:rFonts w:ascii="Times New Roman" w:hAnsi="Times New Roman" w:cs="Times New Roman"/>
        </w:rPr>
        <w:t xml:space="preserve"> These concepts are also embedded in the reasoning behind committing accounting </w:t>
      </w:r>
      <w:r w:rsidR="00B668B7" w:rsidRPr="00B6637F">
        <w:rPr>
          <w:rFonts w:ascii="Times New Roman" w:hAnsi="Times New Roman" w:cs="Times New Roman"/>
        </w:rPr>
        <w:t xml:space="preserve">fraud (Lou </w:t>
      </w:r>
      <w:r w:rsidR="00B668B7" w:rsidRPr="00B6637F">
        <w:rPr>
          <w:rFonts w:ascii="Times New Roman" w:hAnsi="Times New Roman" w:cs="Times New Roman"/>
        </w:rPr>
        <w:lastRenderedPageBreak/>
        <w:t>&amp; Wang, 2009;</w:t>
      </w:r>
      <w:r w:rsidR="00B668B7" w:rsidRPr="00785BF3">
        <w:rPr>
          <w:rFonts w:ascii="Times New Roman" w:hAnsi="Times New Roman" w:cs="Times New Roman"/>
        </w:rPr>
        <w:t xml:space="preserve"> Skousen et al., 200</w:t>
      </w:r>
      <w:r w:rsidR="00B6637F">
        <w:rPr>
          <w:rFonts w:ascii="Times New Roman" w:hAnsi="Times New Roman" w:cs="Times New Roman"/>
        </w:rPr>
        <w:t>9</w:t>
      </w:r>
      <w:r w:rsidR="00B668B7" w:rsidRPr="00785BF3">
        <w:rPr>
          <w:rFonts w:ascii="Times New Roman" w:hAnsi="Times New Roman" w:cs="Times New Roman"/>
        </w:rPr>
        <w:t xml:space="preserve">), providing a link between these two concepts. Further research finds both smoothing practices and fraud to be weakened in the presence of quality corporate governance </w:t>
      </w:r>
      <w:r w:rsidR="00B668B7" w:rsidRPr="00B6637F">
        <w:rPr>
          <w:rFonts w:ascii="Times New Roman" w:hAnsi="Times New Roman" w:cs="Times New Roman"/>
        </w:rPr>
        <w:t>(</w:t>
      </w:r>
      <w:proofErr w:type="spellStart"/>
      <w:r w:rsidR="00B668B7" w:rsidRPr="00B6637F">
        <w:rPr>
          <w:rFonts w:ascii="Times New Roman" w:hAnsi="Times New Roman" w:cs="Times New Roman"/>
        </w:rPr>
        <w:t>Beneish</w:t>
      </w:r>
      <w:proofErr w:type="spellEnd"/>
      <w:r w:rsidR="00B668B7" w:rsidRPr="00B6637F">
        <w:rPr>
          <w:rFonts w:ascii="Times New Roman" w:hAnsi="Times New Roman" w:cs="Times New Roman"/>
        </w:rPr>
        <w:t>, 1999; Knyazeva and Knyazeva, 2014) and accounting</w:t>
      </w:r>
      <w:r w:rsidR="00B668B7" w:rsidRPr="00785BF3">
        <w:rPr>
          <w:rFonts w:ascii="Times New Roman" w:hAnsi="Times New Roman" w:cs="Times New Roman"/>
        </w:rPr>
        <w:t xml:space="preserve"> conservatism </w:t>
      </w:r>
      <w:r w:rsidR="00B668B7" w:rsidRPr="00B6637F">
        <w:rPr>
          <w:rFonts w:ascii="Times New Roman" w:hAnsi="Times New Roman" w:cs="Times New Roman"/>
        </w:rPr>
        <w:t xml:space="preserve">(Biddle et al., 2022; </w:t>
      </w:r>
      <w:proofErr w:type="spellStart"/>
      <w:r w:rsidR="00B668B7" w:rsidRPr="00B6637F">
        <w:rPr>
          <w:rFonts w:ascii="Times New Roman" w:hAnsi="Times New Roman" w:cs="Times New Roman"/>
        </w:rPr>
        <w:t>Harakeh</w:t>
      </w:r>
      <w:proofErr w:type="spellEnd"/>
      <w:r w:rsidR="00B668B7" w:rsidRPr="00B6637F">
        <w:rPr>
          <w:rFonts w:ascii="Times New Roman" w:hAnsi="Times New Roman" w:cs="Times New Roman"/>
        </w:rPr>
        <w:t xml:space="preserve">, 2017). </w:t>
      </w:r>
      <w:r w:rsidR="00B668B7" w:rsidRPr="000D02B8">
        <w:rPr>
          <w:rFonts w:ascii="Times New Roman" w:hAnsi="Times New Roman" w:cs="Times New Roman"/>
        </w:rPr>
        <w:t xml:space="preserve">Based on these theories and the literature review, </w:t>
      </w:r>
      <w:r w:rsidR="0009399F">
        <w:rPr>
          <w:rFonts w:ascii="Times New Roman" w:hAnsi="Times New Roman" w:cs="Times New Roman"/>
        </w:rPr>
        <w:t xml:space="preserve">I </w:t>
      </w:r>
      <w:r w:rsidR="00B668B7" w:rsidRPr="00785BF3">
        <w:rPr>
          <w:rFonts w:ascii="Times New Roman" w:hAnsi="Times New Roman" w:cs="Times New Roman"/>
        </w:rPr>
        <w:t xml:space="preserve">can develop the following hypotheses: the presence of accounting fraud is positively correlated with dividend smoothing practices (H1), effective corporate governance reduces the negative impact of accounting fraud on financial practices (H2), accounting conservatism weakens the association between accounting fraud and the use of dividend smoothing (H3). </w:t>
      </w:r>
    </w:p>
    <w:p w14:paraId="477B0F9F" w14:textId="77777777" w:rsidR="00785BF3" w:rsidRPr="00785BF3" w:rsidRDefault="00785BF3" w:rsidP="00CA7220">
      <w:pPr>
        <w:spacing w:line="480" w:lineRule="auto"/>
        <w:jc w:val="both"/>
        <w:rPr>
          <w:rFonts w:ascii="Times New Roman" w:hAnsi="Times New Roman" w:cs="Times New Roman"/>
          <w:color w:val="FF0000"/>
        </w:rPr>
      </w:pPr>
    </w:p>
    <w:p w14:paraId="724F98D0" w14:textId="12F60D3C" w:rsidR="00785BF3" w:rsidRPr="00785BF3" w:rsidRDefault="006B305E" w:rsidP="00CA7220">
      <w:pPr>
        <w:spacing w:line="480" w:lineRule="auto"/>
        <w:jc w:val="both"/>
        <w:rPr>
          <w:rFonts w:ascii="Times New Roman" w:hAnsi="Times New Roman" w:cs="Times New Roman"/>
        </w:rPr>
      </w:pPr>
      <w:r>
        <w:rPr>
          <w:rFonts w:ascii="Times New Roman" w:hAnsi="Times New Roman" w:cs="Times New Roman"/>
        </w:rPr>
        <w:t xml:space="preserve">My data sample </w:t>
      </w:r>
      <w:r w:rsidRPr="006B305E">
        <w:rPr>
          <w:rFonts w:ascii="Times New Roman" w:hAnsi="Times New Roman" w:cs="Times New Roman"/>
        </w:rPr>
        <w:t xml:space="preserve">is obtained from </w:t>
      </w:r>
      <w:proofErr w:type="spellStart"/>
      <w:r w:rsidRPr="006B305E">
        <w:rPr>
          <w:rFonts w:ascii="Times New Roman" w:hAnsi="Times New Roman" w:cs="Times New Roman"/>
        </w:rPr>
        <w:t>Compustat</w:t>
      </w:r>
      <w:proofErr w:type="spellEnd"/>
      <w:r w:rsidRPr="006B305E">
        <w:rPr>
          <w:rFonts w:ascii="Times New Roman" w:hAnsi="Times New Roman" w:cs="Times New Roman"/>
        </w:rPr>
        <w:t xml:space="preserve"> </w:t>
      </w:r>
      <w:r>
        <w:rPr>
          <w:rFonts w:ascii="Times New Roman" w:hAnsi="Times New Roman" w:cs="Times New Roman"/>
        </w:rPr>
        <w:t xml:space="preserve">and Bao et al. (2020) </w:t>
      </w:r>
      <w:r w:rsidRPr="006B305E">
        <w:rPr>
          <w:rFonts w:ascii="Times New Roman" w:hAnsi="Times New Roman" w:cs="Times New Roman"/>
        </w:rPr>
        <w:t>including U.S. public corporations for the years 1998 to 2009</w:t>
      </w:r>
      <w:r w:rsidR="009571C7">
        <w:rPr>
          <w:rFonts w:ascii="Times New Roman" w:hAnsi="Times New Roman" w:cs="Times New Roman"/>
        </w:rPr>
        <w:t xml:space="preserve"> and is </w:t>
      </w:r>
      <w:r w:rsidRPr="006B305E">
        <w:rPr>
          <w:rFonts w:ascii="Times New Roman" w:hAnsi="Times New Roman" w:cs="Times New Roman"/>
        </w:rPr>
        <w:t>made up of 2,866 firm-year observations, belonging to 373 unique firms</w:t>
      </w:r>
      <w:r>
        <w:rPr>
          <w:rFonts w:ascii="Times New Roman" w:hAnsi="Times New Roman" w:cs="Times New Roman"/>
        </w:rPr>
        <w:t xml:space="preserve">. </w:t>
      </w:r>
      <w:r w:rsidR="00785BF3" w:rsidRPr="00A35F31">
        <w:rPr>
          <w:rFonts w:ascii="Times New Roman" w:hAnsi="Times New Roman" w:cs="Times New Roman"/>
        </w:rPr>
        <w:t>This study</w:t>
      </w:r>
      <w:r w:rsidR="00CF3F8B">
        <w:rPr>
          <w:rFonts w:ascii="Times New Roman" w:hAnsi="Times New Roman" w:cs="Times New Roman"/>
        </w:rPr>
        <w:t>’s</w:t>
      </w:r>
      <w:r w:rsidR="00785BF3" w:rsidRPr="00A35F31">
        <w:rPr>
          <w:rFonts w:ascii="Times New Roman" w:hAnsi="Times New Roman" w:cs="Times New Roman"/>
        </w:rPr>
        <w:t xml:space="preserve"> </w:t>
      </w:r>
      <w:r w:rsidR="00CF3F8B">
        <w:rPr>
          <w:rFonts w:ascii="Times New Roman" w:hAnsi="Times New Roman" w:cs="Times New Roman"/>
        </w:rPr>
        <w:t xml:space="preserve">empirical </w:t>
      </w:r>
      <w:r w:rsidR="00785BF3" w:rsidRPr="00A35F31">
        <w:rPr>
          <w:rFonts w:ascii="Times New Roman" w:hAnsi="Times New Roman" w:cs="Times New Roman"/>
        </w:rPr>
        <w:t>findings indicate a notable positive relationship between accounting fraud and dividend smoothing practices. This suggests that firms involve</w:t>
      </w:r>
      <w:r w:rsidR="00CF3F8B">
        <w:rPr>
          <w:rFonts w:ascii="Times New Roman" w:hAnsi="Times New Roman" w:cs="Times New Roman"/>
        </w:rPr>
        <w:t>d</w:t>
      </w:r>
      <w:r w:rsidR="00785BF3" w:rsidRPr="00A35F31">
        <w:rPr>
          <w:rFonts w:ascii="Times New Roman" w:hAnsi="Times New Roman" w:cs="Times New Roman"/>
        </w:rPr>
        <w:t xml:space="preserve"> in fraudulent reporting are more likely to smooth their dividends. The relationship suggests that fraudulent compan</w:t>
      </w:r>
      <w:r w:rsidR="00CF3F8B">
        <w:rPr>
          <w:rFonts w:ascii="Times New Roman" w:hAnsi="Times New Roman" w:cs="Times New Roman"/>
        </w:rPr>
        <w:t>ies</w:t>
      </w:r>
      <w:r w:rsidR="00785BF3" w:rsidRPr="00A35F31">
        <w:rPr>
          <w:rFonts w:ascii="Times New Roman" w:hAnsi="Times New Roman" w:cs="Times New Roman"/>
        </w:rPr>
        <w:t xml:space="preserve"> employ dividend smoothing as a strategy to communicate a healthier financial position to shareholders and investors.</w:t>
      </w:r>
    </w:p>
    <w:p w14:paraId="72A64EA2" w14:textId="77777777" w:rsidR="00785BF3" w:rsidRPr="00A35F31" w:rsidRDefault="00785BF3" w:rsidP="00CA7220">
      <w:pPr>
        <w:spacing w:line="480" w:lineRule="auto"/>
        <w:jc w:val="both"/>
        <w:rPr>
          <w:rFonts w:ascii="Times New Roman" w:hAnsi="Times New Roman" w:cs="Times New Roman"/>
        </w:rPr>
      </w:pPr>
    </w:p>
    <w:p w14:paraId="71238C6B" w14:textId="6200C7F1" w:rsidR="00785BF3" w:rsidRPr="00A35F31" w:rsidRDefault="00785BF3" w:rsidP="00CA7220">
      <w:pPr>
        <w:spacing w:line="480" w:lineRule="auto"/>
        <w:jc w:val="both"/>
        <w:rPr>
          <w:rFonts w:ascii="Times New Roman" w:hAnsi="Times New Roman" w:cs="Times New Roman"/>
        </w:rPr>
      </w:pPr>
      <w:r w:rsidRPr="00A35F31">
        <w:rPr>
          <w:rFonts w:ascii="Times New Roman" w:hAnsi="Times New Roman" w:cs="Times New Roman"/>
        </w:rPr>
        <w:t xml:space="preserve">The data analysis utilises Ordinary Least Squares (OLS) regressions to analyse the impact of accounting fraud on SOA (Speed of Adjustment) - which is negatively related to dividend smoothing. The results suggest a significant negative relationship between </w:t>
      </w:r>
      <w:r w:rsidRPr="00785BF3">
        <w:rPr>
          <w:rFonts w:ascii="Times New Roman" w:hAnsi="Times New Roman" w:cs="Times New Roman"/>
        </w:rPr>
        <w:t xml:space="preserve">firms </w:t>
      </w:r>
      <w:r w:rsidRPr="00A35F31">
        <w:rPr>
          <w:rFonts w:ascii="Times New Roman" w:hAnsi="Times New Roman" w:cs="Times New Roman"/>
        </w:rPr>
        <w:t>engag</w:t>
      </w:r>
      <w:r w:rsidRPr="00785BF3">
        <w:rPr>
          <w:rFonts w:ascii="Times New Roman" w:hAnsi="Times New Roman" w:cs="Times New Roman"/>
        </w:rPr>
        <w:t>ing in fraudulent reporting</w:t>
      </w:r>
      <w:r w:rsidRPr="00A35F31">
        <w:rPr>
          <w:rFonts w:ascii="Times New Roman" w:hAnsi="Times New Roman" w:cs="Times New Roman"/>
        </w:rPr>
        <w:t xml:space="preserve"> and SOA at the 1% significance level. From an economic perspective, if accounting fraud increases by one standard deviation, the SOA reduces by 3.27%</w:t>
      </w:r>
      <w:r w:rsidRPr="00785BF3">
        <w:rPr>
          <w:rFonts w:ascii="Times New Roman" w:hAnsi="Times New Roman" w:cs="Times New Roman"/>
        </w:rPr>
        <w:t>,</w:t>
      </w:r>
      <w:r w:rsidRPr="00A35F31">
        <w:rPr>
          <w:rFonts w:ascii="Times New Roman" w:hAnsi="Times New Roman" w:cs="Times New Roman"/>
        </w:rPr>
        <w:t xml:space="preserve"> compared to its average value. This finding remains consistent across several specifications, </w:t>
      </w:r>
      <w:r w:rsidRPr="00785BF3">
        <w:rPr>
          <w:rFonts w:ascii="Times New Roman" w:hAnsi="Times New Roman" w:cs="Times New Roman"/>
        </w:rPr>
        <w:t xml:space="preserve">as </w:t>
      </w:r>
      <w:r w:rsidRPr="00A35F31">
        <w:rPr>
          <w:rFonts w:ascii="Times New Roman" w:hAnsi="Times New Roman" w:cs="Times New Roman"/>
        </w:rPr>
        <w:t>the inclusion of industry fixed effects</w:t>
      </w:r>
      <w:r w:rsidRPr="00785BF3">
        <w:rPr>
          <w:rFonts w:ascii="Times New Roman" w:hAnsi="Times New Roman" w:cs="Times New Roman"/>
        </w:rPr>
        <w:t xml:space="preserve"> reveals </w:t>
      </w:r>
      <w:r w:rsidRPr="00A35F31">
        <w:rPr>
          <w:rFonts w:ascii="Times New Roman" w:hAnsi="Times New Roman" w:cs="Times New Roman"/>
        </w:rPr>
        <w:t>a one standard deviation rise in accounting fraud leads to a 5.18% reduction in the SOA</w:t>
      </w:r>
      <w:r w:rsidRPr="00785BF3">
        <w:rPr>
          <w:rFonts w:ascii="Times New Roman" w:hAnsi="Times New Roman" w:cs="Times New Roman"/>
        </w:rPr>
        <w:t>,</w:t>
      </w:r>
      <w:r w:rsidRPr="00A35F31">
        <w:rPr>
          <w:rFonts w:ascii="Times New Roman" w:hAnsi="Times New Roman" w:cs="Times New Roman"/>
        </w:rPr>
        <w:t xml:space="preserve"> compared to its average value. This can be translated </w:t>
      </w:r>
      <w:r w:rsidRPr="00A35F31">
        <w:rPr>
          <w:rFonts w:ascii="Times New Roman" w:hAnsi="Times New Roman" w:cs="Times New Roman"/>
        </w:rPr>
        <w:lastRenderedPageBreak/>
        <w:t xml:space="preserve">to an increase in dividend smoothing by 3.27% and 5.18%, respectively. Thus, these results further support the positive correlation between accounting fraud and dividend smoothing. </w:t>
      </w:r>
    </w:p>
    <w:p w14:paraId="48233F16" w14:textId="1C7EA7EA" w:rsidR="00785BF3" w:rsidRPr="00A35F31" w:rsidRDefault="00785BF3" w:rsidP="00CA7220">
      <w:pPr>
        <w:spacing w:line="480" w:lineRule="auto"/>
        <w:jc w:val="both"/>
        <w:rPr>
          <w:rFonts w:ascii="Times New Roman" w:hAnsi="Times New Roman" w:cs="Times New Roman"/>
        </w:rPr>
      </w:pPr>
      <w:r w:rsidRPr="00A35F31">
        <w:rPr>
          <w:rFonts w:ascii="Times New Roman" w:hAnsi="Times New Roman" w:cs="Times New Roman"/>
        </w:rPr>
        <w:t xml:space="preserve">These regressions also reveal insight into firm characteristics and dividend smoothing. </w:t>
      </w:r>
      <w:r w:rsidR="0001090E">
        <w:rPr>
          <w:rFonts w:ascii="Times New Roman" w:hAnsi="Times New Roman" w:cs="Times New Roman"/>
        </w:rPr>
        <w:t>T</w:t>
      </w:r>
      <w:r w:rsidR="0001090E" w:rsidRPr="00A35F31">
        <w:rPr>
          <w:rFonts w:ascii="Times New Roman" w:hAnsi="Times New Roman" w:cs="Times New Roman"/>
        </w:rPr>
        <w:t>here is a positive association between payout and dividend smoothing, indicating that firms with high payout ratios smooth their dividends more</w:t>
      </w:r>
      <w:r w:rsidR="0001090E">
        <w:rPr>
          <w:rFonts w:ascii="Times New Roman" w:hAnsi="Times New Roman" w:cs="Times New Roman"/>
        </w:rPr>
        <w:t xml:space="preserve"> supporting the findings of </w:t>
      </w:r>
      <w:r w:rsidR="0001090E" w:rsidRPr="00A35F31">
        <w:rPr>
          <w:rFonts w:ascii="Times New Roman" w:hAnsi="Times New Roman" w:cs="Times New Roman"/>
        </w:rPr>
        <w:t>Leary and Michaely (2011)</w:t>
      </w:r>
      <w:r w:rsidR="0001090E">
        <w:rPr>
          <w:rFonts w:ascii="Times New Roman" w:hAnsi="Times New Roman" w:cs="Times New Roman"/>
        </w:rPr>
        <w:t xml:space="preserve">. </w:t>
      </w:r>
      <w:r w:rsidRPr="00A35F31">
        <w:rPr>
          <w:rFonts w:ascii="Times New Roman" w:hAnsi="Times New Roman" w:cs="Times New Roman"/>
        </w:rPr>
        <w:t xml:space="preserve">Moreover, there is a positive correlation between the market-to-book ratio and dividend smoothing, which supports previous research that connects </w:t>
      </w:r>
      <w:r w:rsidRPr="00785BF3">
        <w:rPr>
          <w:rFonts w:ascii="Times New Roman" w:hAnsi="Times New Roman" w:cs="Times New Roman"/>
        </w:rPr>
        <w:t xml:space="preserve">higher </w:t>
      </w:r>
      <w:r w:rsidRPr="00A35F31">
        <w:rPr>
          <w:rFonts w:ascii="Times New Roman" w:hAnsi="Times New Roman" w:cs="Times New Roman"/>
        </w:rPr>
        <w:t>growth prospects with the practice of dividend smoothing (Guttman et al., 2010</w:t>
      </w:r>
      <w:r w:rsidR="0001090E">
        <w:rPr>
          <w:rFonts w:ascii="Times New Roman" w:hAnsi="Times New Roman" w:cs="Times New Roman"/>
        </w:rPr>
        <w:t>;</w:t>
      </w:r>
      <w:r w:rsidR="0001090E" w:rsidRPr="0001090E">
        <w:rPr>
          <w:rFonts w:ascii="Times New Roman" w:hAnsi="Times New Roman" w:cs="Times New Roman"/>
        </w:rPr>
        <w:t xml:space="preserve"> </w:t>
      </w:r>
      <w:proofErr w:type="spellStart"/>
      <w:r w:rsidR="0001090E" w:rsidRPr="00A35F31">
        <w:rPr>
          <w:rFonts w:ascii="Times New Roman" w:hAnsi="Times New Roman" w:cs="Times New Roman"/>
        </w:rPr>
        <w:t>Javakhadze</w:t>
      </w:r>
      <w:proofErr w:type="spellEnd"/>
      <w:r w:rsidR="0001090E" w:rsidRPr="00A35F31">
        <w:rPr>
          <w:rFonts w:ascii="Times New Roman" w:hAnsi="Times New Roman" w:cs="Times New Roman"/>
        </w:rPr>
        <w:t xml:space="preserve"> et al., 2014</w:t>
      </w:r>
      <w:r w:rsidRPr="00A35F31">
        <w:rPr>
          <w:rFonts w:ascii="Times New Roman" w:hAnsi="Times New Roman" w:cs="Times New Roman"/>
        </w:rPr>
        <w:t>). Conversely, firms with higher investment opportunities and those investing heavily in capital expenditures tend to engage in less dividend smoothing. This suggests that these companies prioritise reinvesting their profits rather than maintaining a consistent dividend payout.</w:t>
      </w:r>
      <w:r w:rsidR="00BE2019">
        <w:rPr>
          <w:rFonts w:ascii="Times New Roman" w:hAnsi="Times New Roman" w:cs="Times New Roman"/>
        </w:rPr>
        <w:t xml:space="preserve"> </w:t>
      </w:r>
      <w:r w:rsidRPr="00A35F31">
        <w:rPr>
          <w:rFonts w:ascii="Times New Roman" w:hAnsi="Times New Roman" w:cs="Times New Roman"/>
        </w:rPr>
        <w:t xml:space="preserve">The robustness of these findings </w:t>
      </w:r>
      <w:r w:rsidR="00B52A8C">
        <w:rPr>
          <w:rFonts w:ascii="Times New Roman" w:hAnsi="Times New Roman" w:cs="Times New Roman"/>
        </w:rPr>
        <w:t>is</w:t>
      </w:r>
      <w:r w:rsidRPr="00A35F31">
        <w:rPr>
          <w:rFonts w:ascii="Times New Roman" w:hAnsi="Times New Roman" w:cs="Times New Roman"/>
        </w:rPr>
        <w:t xml:space="preserve"> verified through various tests, including firm fixed effects. These test results are consistent with the primary findings, further supporting the hypothesis that firms with accounting fraud are positively related to dividend smoothing</w:t>
      </w:r>
      <w:r w:rsidRPr="00785BF3">
        <w:rPr>
          <w:rFonts w:ascii="Times New Roman" w:hAnsi="Times New Roman" w:cs="Times New Roman"/>
        </w:rPr>
        <w:t xml:space="preserve"> (</w:t>
      </w:r>
      <w:r w:rsidRPr="00A35F31">
        <w:rPr>
          <w:rFonts w:ascii="Times New Roman" w:hAnsi="Times New Roman" w:cs="Times New Roman"/>
        </w:rPr>
        <w:t xml:space="preserve">inversely related to SOA). </w:t>
      </w:r>
      <w:r w:rsidRPr="00785BF3">
        <w:rPr>
          <w:rFonts w:ascii="Times New Roman" w:hAnsi="Times New Roman" w:cs="Times New Roman"/>
        </w:rPr>
        <w:t xml:space="preserve">Considering </w:t>
      </w:r>
      <w:r w:rsidRPr="00A35F31">
        <w:rPr>
          <w:rFonts w:ascii="Times New Roman" w:hAnsi="Times New Roman" w:cs="Times New Roman"/>
        </w:rPr>
        <w:t>firm fixed effects</w:t>
      </w:r>
      <w:r w:rsidRPr="00785BF3">
        <w:rPr>
          <w:rFonts w:ascii="Times New Roman" w:hAnsi="Times New Roman" w:cs="Times New Roman"/>
        </w:rPr>
        <w:t xml:space="preserve">, I document </w:t>
      </w:r>
      <w:r w:rsidRPr="00A35F31">
        <w:rPr>
          <w:rFonts w:ascii="Times New Roman" w:hAnsi="Times New Roman" w:cs="Times New Roman"/>
        </w:rPr>
        <w:t>a one standard deviation rise in accounting fraud leads to a 3% decrease in SOA, emphasising the long-lasting effect of fraud on dividend smoothing methods.</w:t>
      </w:r>
      <w:r w:rsidR="00AD2980">
        <w:rPr>
          <w:rFonts w:ascii="Times New Roman" w:hAnsi="Times New Roman" w:cs="Times New Roman"/>
        </w:rPr>
        <w:t xml:space="preserve"> </w:t>
      </w:r>
    </w:p>
    <w:p w14:paraId="0B37F9B3" w14:textId="77777777" w:rsidR="00785BF3" w:rsidRDefault="00785BF3" w:rsidP="00CA7220">
      <w:pPr>
        <w:spacing w:line="480" w:lineRule="auto"/>
        <w:jc w:val="both"/>
        <w:rPr>
          <w:rFonts w:ascii="Times New Roman" w:hAnsi="Times New Roman" w:cs="Times New Roman"/>
        </w:rPr>
      </w:pPr>
    </w:p>
    <w:p w14:paraId="3FB42F33" w14:textId="76E7811E" w:rsidR="00785BF3" w:rsidRPr="00A35F31" w:rsidRDefault="00AD2980" w:rsidP="00CA7220">
      <w:pPr>
        <w:spacing w:line="480" w:lineRule="auto"/>
        <w:jc w:val="both"/>
        <w:rPr>
          <w:rFonts w:ascii="Times New Roman" w:hAnsi="Times New Roman" w:cs="Times New Roman"/>
        </w:rPr>
      </w:pPr>
      <w:r w:rsidRPr="00AD2980">
        <w:rPr>
          <w:rFonts w:ascii="Times New Roman" w:hAnsi="Times New Roman" w:cs="Times New Roman"/>
        </w:rPr>
        <w:t xml:space="preserve">It is </w:t>
      </w:r>
      <w:r w:rsidR="009571C7" w:rsidRPr="00AD2980">
        <w:rPr>
          <w:rFonts w:ascii="Times New Roman" w:hAnsi="Times New Roman" w:cs="Times New Roman"/>
        </w:rPr>
        <w:t>imperative</w:t>
      </w:r>
      <w:r w:rsidRPr="00AD2980">
        <w:rPr>
          <w:rFonts w:ascii="Times New Roman" w:hAnsi="Times New Roman" w:cs="Times New Roman"/>
        </w:rPr>
        <w:t xml:space="preserve"> to acknowledge that firms make a voluntary decision to engage in accounting deception or dividend smoothing when analysing my results. Consequently, my inferenc</w:t>
      </w:r>
      <w:r w:rsidR="009571C7">
        <w:rPr>
          <w:rFonts w:ascii="Times New Roman" w:hAnsi="Times New Roman" w:cs="Times New Roman"/>
        </w:rPr>
        <w:t>es</w:t>
      </w:r>
      <w:r w:rsidRPr="00AD2980">
        <w:rPr>
          <w:rFonts w:ascii="Times New Roman" w:hAnsi="Times New Roman" w:cs="Times New Roman"/>
        </w:rPr>
        <w:t xml:space="preserve"> may be exposed to endogeneity bias, potentially attributable to both observable and unobservable factors. Thus</w:t>
      </w:r>
      <w:r w:rsidR="009571C7">
        <w:rPr>
          <w:rFonts w:ascii="Times New Roman" w:hAnsi="Times New Roman" w:cs="Times New Roman"/>
        </w:rPr>
        <w:t>,</w:t>
      </w:r>
      <w:r w:rsidRPr="00AD2980">
        <w:rPr>
          <w:rFonts w:ascii="Times New Roman" w:hAnsi="Times New Roman" w:cs="Times New Roman"/>
        </w:rPr>
        <w:t xml:space="preserve"> the entropy balancing technique (introduced by Hainmueller, 2012) is implemented to mitigate these biases. I also employ a cross-sectional analysis to further mitigate concerns about missing correlated variables and </w:t>
      </w:r>
      <w:r w:rsidR="0001090E">
        <w:rPr>
          <w:rFonts w:ascii="Times New Roman" w:hAnsi="Times New Roman" w:cs="Times New Roman"/>
        </w:rPr>
        <w:t>to gain a more comprehensive understanding of</w:t>
      </w:r>
      <w:r w:rsidRPr="00AD2980">
        <w:rPr>
          <w:rFonts w:ascii="Times New Roman" w:hAnsi="Times New Roman" w:cs="Times New Roman"/>
        </w:rPr>
        <w:t xml:space="preserve"> the </w:t>
      </w:r>
      <w:r w:rsidR="0001090E">
        <w:rPr>
          <w:rFonts w:ascii="Times New Roman" w:hAnsi="Times New Roman" w:cs="Times New Roman"/>
        </w:rPr>
        <w:t>correlation</w:t>
      </w:r>
      <w:r w:rsidRPr="00AD2980">
        <w:rPr>
          <w:rFonts w:ascii="Times New Roman" w:hAnsi="Times New Roman" w:cs="Times New Roman"/>
        </w:rPr>
        <w:t xml:space="preserve"> between accounting fraud and dividend smoothing.</w:t>
      </w:r>
      <w:r>
        <w:rPr>
          <w:rFonts w:ascii="Times New Roman" w:hAnsi="Times New Roman" w:cs="Times New Roman"/>
        </w:rPr>
        <w:t xml:space="preserve"> </w:t>
      </w:r>
      <w:r w:rsidR="00785BF3" w:rsidRPr="00A35F31">
        <w:rPr>
          <w:rFonts w:ascii="Times New Roman" w:hAnsi="Times New Roman" w:cs="Times New Roman"/>
        </w:rPr>
        <w:t xml:space="preserve">This </w:t>
      </w:r>
      <w:r>
        <w:rPr>
          <w:rFonts w:ascii="Times New Roman" w:hAnsi="Times New Roman" w:cs="Times New Roman"/>
        </w:rPr>
        <w:t>cross-</w:t>
      </w:r>
      <w:r>
        <w:rPr>
          <w:rFonts w:ascii="Times New Roman" w:hAnsi="Times New Roman" w:cs="Times New Roman"/>
        </w:rPr>
        <w:lastRenderedPageBreak/>
        <w:t>sectional test</w:t>
      </w:r>
      <w:r w:rsidR="00785BF3" w:rsidRPr="00A35F31">
        <w:rPr>
          <w:rFonts w:ascii="Times New Roman" w:hAnsi="Times New Roman" w:cs="Times New Roman"/>
        </w:rPr>
        <w:t xml:space="preserve"> reveal</w:t>
      </w:r>
      <w:r w:rsidR="00F742B1">
        <w:rPr>
          <w:rFonts w:ascii="Times New Roman" w:hAnsi="Times New Roman" w:cs="Times New Roman"/>
        </w:rPr>
        <w:t>s</w:t>
      </w:r>
      <w:r w:rsidR="00785BF3" w:rsidRPr="00A35F31">
        <w:rPr>
          <w:rFonts w:ascii="Times New Roman" w:hAnsi="Times New Roman" w:cs="Times New Roman"/>
        </w:rPr>
        <w:t xml:space="preserve"> both </w:t>
      </w:r>
      <w:r w:rsidR="00785BF3" w:rsidRPr="00785BF3">
        <w:rPr>
          <w:rFonts w:ascii="Times New Roman" w:hAnsi="Times New Roman" w:cs="Times New Roman"/>
        </w:rPr>
        <w:t xml:space="preserve">these </w:t>
      </w:r>
      <w:r w:rsidR="00785BF3" w:rsidRPr="00A35F31">
        <w:rPr>
          <w:rFonts w:ascii="Times New Roman" w:hAnsi="Times New Roman" w:cs="Times New Roman"/>
        </w:rPr>
        <w:t xml:space="preserve">practices to be more common in the absence of strong corporate governance whereby mechanisms, such as Environmental, Social, and Governance </w:t>
      </w:r>
      <w:r w:rsidR="00785BF3" w:rsidRPr="00785BF3">
        <w:rPr>
          <w:rFonts w:ascii="Times New Roman" w:hAnsi="Times New Roman" w:cs="Times New Roman"/>
        </w:rPr>
        <w:t>(</w:t>
      </w:r>
      <w:r w:rsidR="00785BF3" w:rsidRPr="00A35F31">
        <w:rPr>
          <w:rFonts w:ascii="Times New Roman" w:hAnsi="Times New Roman" w:cs="Times New Roman"/>
        </w:rPr>
        <w:t>ESG</w:t>
      </w:r>
      <w:r w:rsidR="00785BF3" w:rsidRPr="00785BF3">
        <w:rPr>
          <w:rFonts w:ascii="Times New Roman" w:hAnsi="Times New Roman" w:cs="Times New Roman"/>
        </w:rPr>
        <w:t>)</w:t>
      </w:r>
      <w:r w:rsidR="00785BF3" w:rsidRPr="00A35F31">
        <w:rPr>
          <w:rFonts w:ascii="Times New Roman" w:hAnsi="Times New Roman" w:cs="Times New Roman"/>
        </w:rPr>
        <w:t xml:space="preserve"> scores, significantly reduce the incidence of both accounting fraud and dividend smoothing. Higher ESG scores are linked to decreased levels of fraudulent activities and the use dividend smoothing, suggesting that strong governance might help alleviate the negative effects of fraud.</w:t>
      </w:r>
      <w:r w:rsidR="00A35559">
        <w:rPr>
          <w:rFonts w:ascii="Times New Roman" w:hAnsi="Times New Roman" w:cs="Times New Roman"/>
        </w:rPr>
        <w:t xml:space="preserve"> </w:t>
      </w:r>
      <w:r w:rsidR="00785BF3" w:rsidRPr="00A35F31">
        <w:rPr>
          <w:rFonts w:ascii="Times New Roman" w:hAnsi="Times New Roman" w:cs="Times New Roman"/>
        </w:rPr>
        <w:t>Similarly, accounting conservatism restrict</w:t>
      </w:r>
      <w:r w:rsidR="0001090E">
        <w:rPr>
          <w:rFonts w:ascii="Times New Roman" w:hAnsi="Times New Roman" w:cs="Times New Roman"/>
        </w:rPr>
        <w:t>s</w:t>
      </w:r>
      <w:r w:rsidR="00785BF3" w:rsidRPr="00A35F31">
        <w:rPr>
          <w:rFonts w:ascii="Times New Roman" w:hAnsi="Times New Roman" w:cs="Times New Roman"/>
        </w:rPr>
        <w:t xml:space="preserve"> managers' capacity to manipulate earnings, therefore decreasing the probability of accounting fraud and the practice of dividend smoothing. The findings show that firms with conservative accounting practices are less </w:t>
      </w:r>
      <w:r w:rsidR="0001090E">
        <w:rPr>
          <w:rFonts w:ascii="Times New Roman" w:hAnsi="Times New Roman" w:cs="Times New Roman"/>
        </w:rPr>
        <w:t xml:space="preserve">inclined </w:t>
      </w:r>
      <w:r w:rsidR="00785BF3" w:rsidRPr="00A35F31">
        <w:rPr>
          <w:rFonts w:ascii="Times New Roman" w:hAnsi="Times New Roman" w:cs="Times New Roman"/>
        </w:rPr>
        <w:t xml:space="preserve">to engage in both fraudulent reporting and dividend smoothing. This relationship </w:t>
      </w:r>
      <w:r w:rsidR="0001090E">
        <w:rPr>
          <w:rFonts w:ascii="Times New Roman" w:hAnsi="Times New Roman" w:cs="Times New Roman"/>
        </w:rPr>
        <w:t>appears</w:t>
      </w:r>
      <w:r w:rsidR="00785BF3" w:rsidRPr="00A35F31">
        <w:rPr>
          <w:rFonts w:ascii="Times New Roman" w:hAnsi="Times New Roman" w:cs="Times New Roman"/>
        </w:rPr>
        <w:t xml:space="preserve"> statistically significant, with conservative accounting methods serving as a deterrent to manipulative practices. The cross-sectional analysis employed in this study offers a detailed review of these links by accounting for potential endogeneity and verifying the reliability of the findings.</w:t>
      </w:r>
    </w:p>
    <w:p w14:paraId="7E8386DF" w14:textId="77777777" w:rsidR="00785BF3" w:rsidRPr="00785BF3" w:rsidRDefault="00785BF3" w:rsidP="00CA7220">
      <w:pPr>
        <w:spacing w:line="480" w:lineRule="auto"/>
        <w:jc w:val="both"/>
        <w:rPr>
          <w:rFonts w:ascii="Times New Roman" w:hAnsi="Times New Roman" w:cs="Times New Roman"/>
        </w:rPr>
      </w:pPr>
    </w:p>
    <w:p w14:paraId="3AFDE328" w14:textId="4BC41929" w:rsidR="00CA7220" w:rsidRDefault="00785BF3" w:rsidP="00CA7220">
      <w:pPr>
        <w:spacing w:line="480" w:lineRule="auto"/>
        <w:jc w:val="both"/>
        <w:rPr>
          <w:rFonts w:ascii="Times New Roman" w:hAnsi="Times New Roman" w:cs="Times New Roman"/>
        </w:rPr>
      </w:pPr>
      <w:r w:rsidRPr="00785BF3">
        <w:rPr>
          <w:rFonts w:ascii="Times New Roman" w:hAnsi="Times New Roman" w:cs="Times New Roman"/>
        </w:rPr>
        <w:t xml:space="preserve">Overall, this study has important practical and academic implications. Practically, it offers valuable insights for regulators and policymakers who are looking to enhance corporate governance frameworks and improve financial transparency among financial markets. Understanding the connection between fraud and dividend </w:t>
      </w:r>
      <w:r w:rsidR="009571C7">
        <w:rPr>
          <w:rFonts w:ascii="Times New Roman" w:hAnsi="Times New Roman" w:cs="Times New Roman"/>
        </w:rPr>
        <w:t>smoothing</w:t>
      </w:r>
      <w:r w:rsidRPr="00785BF3">
        <w:rPr>
          <w:rFonts w:ascii="Times New Roman" w:hAnsi="Times New Roman" w:cs="Times New Roman"/>
        </w:rPr>
        <w:t xml:space="preserve"> can benefit corporate managers and auditors in detecting and preventing fraudulent activities by monitoring a company’s business practices more closely if smoothing is detected. In the academic field, this study contributes to </w:t>
      </w:r>
      <w:r w:rsidR="0001090E">
        <w:rPr>
          <w:rFonts w:ascii="Times New Roman" w:hAnsi="Times New Roman" w:cs="Times New Roman"/>
        </w:rPr>
        <w:t>earlier</w:t>
      </w:r>
      <w:r w:rsidRPr="00785BF3">
        <w:rPr>
          <w:rFonts w:ascii="Times New Roman" w:hAnsi="Times New Roman" w:cs="Times New Roman"/>
        </w:rPr>
        <w:t xml:space="preserve"> literature by filling the gap between accounting fraud and dividend smoothing. It provides new insights into the impact of fraudulent behaviours on dividend policies, improving the discussion on corporate finance and governance.</w:t>
      </w:r>
    </w:p>
    <w:p w14:paraId="4676A4CB" w14:textId="77777777" w:rsidR="00903F21" w:rsidRPr="00785BF3" w:rsidRDefault="00903F21" w:rsidP="00CA7220">
      <w:pPr>
        <w:spacing w:line="480" w:lineRule="auto"/>
        <w:jc w:val="both"/>
        <w:rPr>
          <w:rFonts w:ascii="Times New Roman" w:hAnsi="Times New Roman" w:cs="Times New Roman"/>
        </w:rPr>
      </w:pPr>
    </w:p>
    <w:p w14:paraId="49AB357E" w14:textId="0C14F0A4" w:rsidR="00E24325" w:rsidRPr="00742B4A" w:rsidRDefault="00E2432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2" w:name="_Toc167763031"/>
      <w:r w:rsidRPr="00742B4A">
        <w:rPr>
          <w:rFonts w:ascii="Times New Roman" w:eastAsia="Times New Roman" w:hAnsi="Times New Roman" w:cs="Times New Roman"/>
          <w:b/>
          <w:bCs/>
          <w:color w:val="auto"/>
          <w:sz w:val="24"/>
          <w:szCs w:val="24"/>
          <w:lang w:eastAsia="en-GB"/>
        </w:rPr>
        <w:lastRenderedPageBreak/>
        <w:t>Literature review</w:t>
      </w:r>
      <w:bookmarkEnd w:id="2"/>
      <w:r w:rsidRPr="00742B4A">
        <w:rPr>
          <w:rFonts w:ascii="Times New Roman" w:eastAsia="Times New Roman" w:hAnsi="Times New Roman" w:cs="Times New Roman"/>
          <w:b/>
          <w:bCs/>
          <w:color w:val="auto"/>
          <w:sz w:val="24"/>
          <w:szCs w:val="24"/>
          <w:lang w:eastAsia="en-GB"/>
        </w:rPr>
        <w:t xml:space="preserve"> </w:t>
      </w:r>
    </w:p>
    <w:p w14:paraId="5CCF1AB3" w14:textId="77777777" w:rsidR="00E24325" w:rsidRPr="00785BF3" w:rsidRDefault="00E24325" w:rsidP="00CA7220">
      <w:pPr>
        <w:spacing w:line="480" w:lineRule="auto"/>
        <w:jc w:val="both"/>
        <w:rPr>
          <w:rFonts w:ascii="Times New Roman" w:hAnsi="Times New Roman" w:cs="Times New Roman"/>
          <w:lang w:eastAsia="en-GB"/>
        </w:rPr>
      </w:pPr>
    </w:p>
    <w:p w14:paraId="10402936" w14:textId="41914A9F"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 xml:space="preserve">This literature review aims to examine companies engaging in accounting fraud and how it influences their </w:t>
      </w:r>
      <w:r w:rsidR="009571C7">
        <w:rPr>
          <w:rFonts w:ascii="Times New Roman" w:hAnsi="Times New Roman" w:cs="Times New Roman"/>
          <w:lang w:eastAsia="en-GB"/>
        </w:rPr>
        <w:t>use of</w:t>
      </w:r>
      <w:r w:rsidRPr="00785BF3">
        <w:rPr>
          <w:rFonts w:ascii="Times New Roman" w:hAnsi="Times New Roman" w:cs="Times New Roman"/>
          <w:lang w:eastAsia="en-GB"/>
        </w:rPr>
        <w:t xml:space="preserve"> dividend smoothing. The </w:t>
      </w:r>
      <w:r w:rsidR="00313BEA">
        <w:rPr>
          <w:rFonts w:ascii="Times New Roman" w:hAnsi="Times New Roman" w:cs="Times New Roman"/>
          <w:lang w:eastAsia="en-GB"/>
        </w:rPr>
        <w:t>primary</w:t>
      </w:r>
      <w:r w:rsidRPr="00785BF3">
        <w:rPr>
          <w:rFonts w:ascii="Times New Roman" w:hAnsi="Times New Roman" w:cs="Times New Roman"/>
          <w:lang w:eastAsia="en-GB"/>
        </w:rPr>
        <w:t xml:space="preserve"> goal of this research is to delve into topics such as accounting fraud, dividend smoothing techniques, the role of governance and the effects of accounting conservatism. Through synthesising the literature on these themes, this review intends to shed light on how fraudulent behaviours impact dividend decisions, ultimately enhancing our understanding of financial disclosure practices.</w:t>
      </w:r>
    </w:p>
    <w:p w14:paraId="0879AA7A" w14:textId="77777777" w:rsidR="00E24325" w:rsidRPr="00785BF3" w:rsidRDefault="00E24325" w:rsidP="00CA7220">
      <w:pPr>
        <w:spacing w:line="480" w:lineRule="auto"/>
        <w:jc w:val="both"/>
        <w:rPr>
          <w:rFonts w:ascii="Times New Roman" w:hAnsi="Times New Roman" w:cs="Times New Roman"/>
          <w:lang w:eastAsia="en-GB"/>
        </w:rPr>
      </w:pPr>
    </w:p>
    <w:p w14:paraId="3E8DC417" w14:textId="3C78DB1D"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This topic was chosen due to a gap identified in existing research that connects the ideas of accounting fraud and smoothing dividends together. Despite investigations on each topic, the overlap between these ideas remains largely unexplored alongside the relationship between their broader themes facing further discrepancies. This overview aims to offer a background on these topics and this study’s main research question; "Does a company committing accounting fraud increase the use of dividend smoothing?". Additionally</w:t>
      </w:r>
      <w:r w:rsidR="00F742B1">
        <w:rPr>
          <w:rFonts w:ascii="Times New Roman" w:hAnsi="Times New Roman" w:cs="Times New Roman"/>
          <w:lang w:eastAsia="en-GB"/>
        </w:rPr>
        <w:t>,</w:t>
      </w:r>
      <w:r w:rsidRPr="00785BF3">
        <w:rPr>
          <w:rFonts w:ascii="Times New Roman" w:hAnsi="Times New Roman" w:cs="Times New Roman"/>
          <w:lang w:eastAsia="en-GB"/>
        </w:rPr>
        <w:t xml:space="preserve"> the impacts of corporate governance and accounting conservatism on the association between fraud and dividend smoothing will also be explored</w:t>
      </w:r>
      <w:r w:rsidR="009571C7">
        <w:rPr>
          <w:rFonts w:ascii="Times New Roman" w:hAnsi="Times New Roman" w:cs="Times New Roman"/>
          <w:lang w:eastAsia="en-GB"/>
        </w:rPr>
        <w:t>; b</w:t>
      </w:r>
      <w:r w:rsidRPr="00785BF3">
        <w:rPr>
          <w:rFonts w:ascii="Times New Roman" w:hAnsi="Times New Roman" w:cs="Times New Roman"/>
          <w:lang w:eastAsia="en-GB"/>
        </w:rPr>
        <w:t>y linking these themes, the review aims to bridge this gap for future research.</w:t>
      </w:r>
    </w:p>
    <w:p w14:paraId="5F67A19E" w14:textId="77777777" w:rsidR="00E24325" w:rsidRPr="00785BF3" w:rsidRDefault="00E24325" w:rsidP="00CA7220">
      <w:pPr>
        <w:spacing w:line="480" w:lineRule="auto"/>
        <w:jc w:val="both"/>
        <w:rPr>
          <w:rFonts w:ascii="Times New Roman" w:hAnsi="Times New Roman" w:cs="Times New Roman"/>
          <w:lang w:eastAsia="en-GB"/>
        </w:rPr>
      </w:pPr>
    </w:p>
    <w:p w14:paraId="25B0013E" w14:textId="6B47305A" w:rsidR="00E24325" w:rsidRPr="00785BF3" w:rsidRDefault="00E24325" w:rsidP="00CA7220">
      <w:pPr>
        <w:spacing w:line="480" w:lineRule="auto"/>
        <w:jc w:val="both"/>
        <w:rPr>
          <w:rFonts w:ascii="Times New Roman" w:hAnsi="Times New Roman" w:cs="Times New Roman"/>
          <w:lang w:eastAsia="en-GB"/>
        </w:rPr>
      </w:pPr>
      <w:r w:rsidRPr="008902EB">
        <w:rPr>
          <w:rFonts w:ascii="Times New Roman" w:hAnsi="Times New Roman" w:cs="Times New Roman"/>
          <w:lang w:eastAsia="en-GB"/>
        </w:rPr>
        <w:t>Accounting fraud is defined by the AICPA (2002) as “</w:t>
      </w:r>
      <w:r w:rsidRPr="00785BF3">
        <w:rPr>
          <w:rFonts w:ascii="Times New Roman" w:hAnsi="Times New Roman" w:cs="Times New Roman"/>
          <w:lang w:eastAsia="en-GB"/>
        </w:rPr>
        <w:t xml:space="preserve">an intentional act that results in a material misstatement in financial statements that are subject of an audit”, identifying misstatements </w:t>
      </w:r>
      <w:r w:rsidR="0001090E">
        <w:rPr>
          <w:rFonts w:ascii="Times New Roman" w:hAnsi="Times New Roman" w:cs="Times New Roman"/>
          <w:lang w:eastAsia="en-GB"/>
        </w:rPr>
        <w:t>that result</w:t>
      </w:r>
      <w:r w:rsidRPr="00785BF3">
        <w:rPr>
          <w:rFonts w:ascii="Times New Roman" w:hAnsi="Times New Roman" w:cs="Times New Roman"/>
          <w:lang w:eastAsia="en-GB"/>
        </w:rPr>
        <w:t xml:space="preserve"> from </w:t>
      </w:r>
      <w:r w:rsidR="0001090E">
        <w:rPr>
          <w:rFonts w:ascii="Times New Roman" w:hAnsi="Times New Roman" w:cs="Times New Roman"/>
          <w:lang w:eastAsia="en-GB"/>
        </w:rPr>
        <w:t xml:space="preserve">the </w:t>
      </w:r>
      <w:r w:rsidR="0001090E" w:rsidRPr="00785BF3">
        <w:rPr>
          <w:rFonts w:ascii="Times New Roman" w:hAnsi="Times New Roman" w:cs="Times New Roman"/>
          <w:lang w:eastAsia="en-GB"/>
        </w:rPr>
        <w:t xml:space="preserve">misappropriation of assets </w:t>
      </w:r>
      <w:r w:rsidR="0001090E">
        <w:rPr>
          <w:rFonts w:ascii="Times New Roman" w:hAnsi="Times New Roman" w:cs="Times New Roman"/>
          <w:lang w:eastAsia="en-GB"/>
        </w:rPr>
        <w:t xml:space="preserve">and </w:t>
      </w:r>
      <w:r w:rsidRPr="00785BF3">
        <w:rPr>
          <w:rFonts w:ascii="Times New Roman" w:hAnsi="Times New Roman" w:cs="Times New Roman"/>
          <w:lang w:eastAsia="en-GB"/>
        </w:rPr>
        <w:t>fraudulent reporting. Although new regulations and technologies have improved the detection and deterrence of accounting fraud, it remains a persistent issue (</w:t>
      </w:r>
      <w:proofErr w:type="spellStart"/>
      <w:r w:rsidRPr="00785BF3">
        <w:rPr>
          <w:rFonts w:ascii="Times New Roman" w:hAnsi="Times New Roman" w:cs="Times New Roman"/>
          <w:lang w:eastAsia="en-GB"/>
        </w:rPr>
        <w:t>Rezaee</w:t>
      </w:r>
      <w:proofErr w:type="spellEnd"/>
      <w:r w:rsidRPr="00785BF3">
        <w:rPr>
          <w:rFonts w:ascii="Times New Roman" w:hAnsi="Times New Roman" w:cs="Times New Roman"/>
          <w:lang w:eastAsia="en-GB"/>
        </w:rPr>
        <w:t xml:space="preserve">, 2005; Skousen et al., 2009; </w:t>
      </w:r>
      <w:proofErr w:type="spellStart"/>
      <w:r w:rsidRPr="00785BF3">
        <w:rPr>
          <w:rFonts w:ascii="Times New Roman" w:hAnsi="Times New Roman" w:cs="Times New Roman"/>
          <w:lang w:eastAsia="en-GB"/>
        </w:rPr>
        <w:t>Wuerges</w:t>
      </w:r>
      <w:proofErr w:type="spellEnd"/>
      <w:r w:rsidRPr="00785BF3">
        <w:rPr>
          <w:rFonts w:ascii="Times New Roman" w:hAnsi="Times New Roman" w:cs="Times New Roman"/>
          <w:lang w:eastAsia="en-GB"/>
        </w:rPr>
        <w:t xml:space="preserve"> &amp; </w:t>
      </w:r>
      <w:proofErr w:type="spellStart"/>
      <w:r w:rsidRPr="00785BF3">
        <w:rPr>
          <w:rFonts w:ascii="Times New Roman" w:hAnsi="Times New Roman" w:cs="Times New Roman"/>
          <w:lang w:eastAsia="en-GB"/>
        </w:rPr>
        <w:t>Borba</w:t>
      </w:r>
      <w:proofErr w:type="spellEnd"/>
      <w:r w:rsidRPr="00785BF3">
        <w:rPr>
          <w:rFonts w:ascii="Times New Roman" w:hAnsi="Times New Roman" w:cs="Times New Roman"/>
          <w:lang w:eastAsia="en-GB"/>
        </w:rPr>
        <w:t>, 2014). Some of the biggest company accounting scandals in the US</w:t>
      </w:r>
      <w:r w:rsidR="00B6637F">
        <w:rPr>
          <w:rFonts w:ascii="Times New Roman" w:hAnsi="Times New Roman" w:cs="Times New Roman"/>
          <w:lang w:eastAsia="en-GB"/>
        </w:rPr>
        <w:t>,</w:t>
      </w:r>
      <w:r w:rsidRPr="00785BF3">
        <w:rPr>
          <w:rFonts w:ascii="Times New Roman" w:hAnsi="Times New Roman" w:cs="Times New Roman"/>
          <w:lang w:eastAsia="en-GB"/>
        </w:rPr>
        <w:t xml:space="preserve"> such as the Enron and Lehman </w:t>
      </w:r>
      <w:r w:rsidRPr="00785BF3">
        <w:rPr>
          <w:rFonts w:ascii="Times New Roman" w:hAnsi="Times New Roman" w:cs="Times New Roman"/>
          <w:lang w:eastAsia="en-GB"/>
        </w:rPr>
        <w:lastRenderedPageBreak/>
        <w:t xml:space="preserve">Brothers scandals, were left </w:t>
      </w:r>
      <w:r w:rsidRPr="0001090E">
        <w:rPr>
          <w:rFonts w:ascii="Times New Roman" w:hAnsi="Times New Roman" w:cs="Times New Roman"/>
          <w:lang w:eastAsia="en-GB"/>
        </w:rPr>
        <w:t>undetected for a</w:t>
      </w:r>
      <w:r w:rsidR="0001090E" w:rsidRPr="0001090E">
        <w:rPr>
          <w:rFonts w:ascii="Times New Roman" w:hAnsi="Times New Roman" w:cs="Times New Roman"/>
          <w:lang w:eastAsia="en-GB"/>
        </w:rPr>
        <w:t>n extended</w:t>
      </w:r>
      <w:r w:rsidR="0001090E">
        <w:rPr>
          <w:rFonts w:ascii="Times New Roman" w:hAnsi="Times New Roman" w:cs="Times New Roman"/>
          <w:lang w:eastAsia="en-GB"/>
        </w:rPr>
        <w:t xml:space="preserve"> period </w:t>
      </w:r>
      <w:r w:rsidRPr="00785BF3">
        <w:rPr>
          <w:rFonts w:ascii="Times New Roman" w:hAnsi="Times New Roman" w:cs="Times New Roman"/>
          <w:lang w:eastAsia="en-GB"/>
        </w:rPr>
        <w:t xml:space="preserve">which highlights its importance. Understanding a fraudulent company’s practices is important in all respects, especially their reporting practices. </w:t>
      </w:r>
      <w:r w:rsidRPr="00B6637F">
        <w:rPr>
          <w:rFonts w:ascii="Times New Roman" w:hAnsi="Times New Roman" w:cs="Times New Roman"/>
          <w:lang w:eastAsia="en-GB"/>
        </w:rPr>
        <w:t xml:space="preserve">Guttman, </w:t>
      </w:r>
      <w:proofErr w:type="spellStart"/>
      <w:r w:rsidRPr="00B6637F">
        <w:rPr>
          <w:rFonts w:ascii="Times New Roman" w:hAnsi="Times New Roman" w:cs="Times New Roman"/>
          <w:lang w:eastAsia="en-GB"/>
        </w:rPr>
        <w:t>Kadan</w:t>
      </w:r>
      <w:proofErr w:type="spellEnd"/>
      <w:r w:rsidRPr="00B6637F">
        <w:rPr>
          <w:rFonts w:ascii="Times New Roman" w:hAnsi="Times New Roman" w:cs="Times New Roman"/>
          <w:lang w:eastAsia="en-GB"/>
        </w:rPr>
        <w:t xml:space="preserve"> &amp; Kandel (2007) describe</w:t>
      </w:r>
      <w:r w:rsidRPr="00785BF3">
        <w:rPr>
          <w:rFonts w:ascii="Times New Roman" w:hAnsi="Times New Roman" w:cs="Times New Roman"/>
          <w:lang w:eastAsia="en-GB"/>
        </w:rPr>
        <w:t xml:space="preserve"> ‘Dividend smoothing’ as “keeping dividends per-share constant over two or more consecutive years” expanding on </w:t>
      </w:r>
      <w:proofErr w:type="spellStart"/>
      <w:r w:rsidRPr="00785BF3">
        <w:rPr>
          <w:rFonts w:ascii="Times New Roman" w:hAnsi="Times New Roman" w:cs="Times New Roman"/>
          <w:lang w:eastAsia="en-GB"/>
        </w:rPr>
        <w:t>Litner’s</w:t>
      </w:r>
      <w:proofErr w:type="spellEnd"/>
      <w:r w:rsidRPr="00785BF3">
        <w:rPr>
          <w:rFonts w:ascii="Times New Roman" w:hAnsi="Times New Roman" w:cs="Times New Roman"/>
          <w:lang w:eastAsia="en-GB"/>
        </w:rPr>
        <w:t xml:space="preserve"> (1956) first documented idea. The relationship between accounting fraud and dividend smoothing can be explored through varying themes and theories. </w:t>
      </w:r>
    </w:p>
    <w:p w14:paraId="6C2C6F01" w14:textId="77777777" w:rsidR="00E24325" w:rsidRPr="00785BF3" w:rsidRDefault="00E24325" w:rsidP="00CA7220">
      <w:pPr>
        <w:spacing w:line="480" w:lineRule="auto"/>
        <w:jc w:val="both"/>
        <w:rPr>
          <w:rFonts w:ascii="Times New Roman" w:hAnsi="Times New Roman" w:cs="Times New Roman"/>
          <w:lang w:eastAsia="en-GB"/>
        </w:rPr>
      </w:pPr>
    </w:p>
    <w:p w14:paraId="7FAB5E23" w14:textId="21F58361" w:rsidR="00E24325" w:rsidRPr="00537A5B" w:rsidRDefault="00E24325" w:rsidP="00CA7220">
      <w:pPr>
        <w:spacing w:line="480" w:lineRule="auto"/>
        <w:jc w:val="both"/>
        <w:rPr>
          <w:rFonts w:ascii="Times New Roman" w:hAnsi="Times New Roman" w:cs="Times New Roman"/>
          <w:i/>
          <w:iCs/>
          <w:lang w:eastAsia="en-GB"/>
        </w:rPr>
      </w:pPr>
      <w:r w:rsidRPr="00537A5B">
        <w:rPr>
          <w:rFonts w:ascii="Times New Roman" w:hAnsi="Times New Roman" w:cs="Times New Roman"/>
          <w:i/>
          <w:iCs/>
          <w:lang w:eastAsia="en-GB"/>
        </w:rPr>
        <w:t xml:space="preserve">Dividend Decisions and Concealing Financial Weakness </w:t>
      </w:r>
    </w:p>
    <w:p w14:paraId="6C4770C1" w14:textId="77777777" w:rsidR="00E24325" w:rsidRPr="00785BF3" w:rsidRDefault="00E24325" w:rsidP="00CA7220">
      <w:pPr>
        <w:spacing w:line="480" w:lineRule="auto"/>
        <w:jc w:val="both"/>
        <w:rPr>
          <w:rFonts w:ascii="Times New Roman" w:hAnsi="Times New Roman" w:cs="Times New Roman"/>
          <w:lang w:eastAsia="en-GB"/>
        </w:rPr>
      </w:pPr>
    </w:p>
    <w:p w14:paraId="0BBD88B0" w14:textId="1BFF6ED6" w:rsidR="00E24325"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Lintner (1956) was the first to introduce the concept of dividend smoothing suggesting that managers prioriti</w:t>
      </w:r>
      <w:r w:rsidR="009571C7">
        <w:rPr>
          <w:rFonts w:ascii="Times New Roman" w:hAnsi="Times New Roman" w:cs="Times New Roman"/>
          <w:lang w:eastAsia="en-GB"/>
        </w:rPr>
        <w:t>s</w:t>
      </w:r>
      <w:r w:rsidRPr="00785BF3">
        <w:rPr>
          <w:rFonts w:ascii="Times New Roman" w:hAnsi="Times New Roman" w:cs="Times New Roman"/>
          <w:lang w:eastAsia="en-GB"/>
        </w:rPr>
        <w:t>e maintaining a steady stream of dividends to reassure investors. This foundational idea</w:t>
      </w:r>
      <w:r w:rsidR="00F742B1">
        <w:rPr>
          <w:rFonts w:ascii="Times New Roman" w:hAnsi="Times New Roman" w:cs="Times New Roman"/>
          <w:lang w:eastAsia="en-GB"/>
        </w:rPr>
        <w:t>,</w:t>
      </w:r>
      <w:r w:rsidRPr="00785BF3">
        <w:rPr>
          <w:rFonts w:ascii="Times New Roman" w:hAnsi="Times New Roman" w:cs="Times New Roman"/>
          <w:lang w:eastAsia="en-GB"/>
        </w:rPr>
        <w:t xml:space="preserve"> however</w:t>
      </w:r>
      <w:r w:rsidR="009571C7">
        <w:rPr>
          <w:rFonts w:ascii="Times New Roman" w:hAnsi="Times New Roman" w:cs="Times New Roman"/>
          <w:lang w:eastAsia="en-GB"/>
        </w:rPr>
        <w:t xml:space="preserve">, focuses </w:t>
      </w:r>
      <w:r w:rsidRPr="00785BF3">
        <w:rPr>
          <w:rFonts w:ascii="Times New Roman" w:hAnsi="Times New Roman" w:cs="Times New Roman"/>
          <w:lang w:eastAsia="en-GB"/>
        </w:rPr>
        <w:t>on historical and qualitative data</w:t>
      </w:r>
      <w:r w:rsidR="009571C7">
        <w:rPr>
          <w:rFonts w:ascii="Times New Roman" w:hAnsi="Times New Roman" w:cs="Times New Roman"/>
          <w:lang w:eastAsia="en-GB"/>
        </w:rPr>
        <w:t>. Nonetheless, Linter’s idea is</w:t>
      </w:r>
      <w:r w:rsidRPr="00785BF3">
        <w:rPr>
          <w:rFonts w:ascii="Times New Roman" w:hAnsi="Times New Roman" w:cs="Times New Roman"/>
          <w:lang w:eastAsia="en-GB"/>
        </w:rPr>
        <w:t xml:space="preserve"> further confirmed empirically by Fama and </w:t>
      </w:r>
      <w:proofErr w:type="spellStart"/>
      <w:r w:rsidRPr="00785BF3">
        <w:rPr>
          <w:rFonts w:ascii="Times New Roman" w:hAnsi="Times New Roman" w:cs="Times New Roman"/>
          <w:lang w:eastAsia="en-GB"/>
        </w:rPr>
        <w:t>Babiak</w:t>
      </w:r>
      <w:proofErr w:type="spellEnd"/>
      <w:r w:rsidRPr="00785BF3">
        <w:rPr>
          <w:rFonts w:ascii="Times New Roman" w:hAnsi="Times New Roman" w:cs="Times New Roman"/>
          <w:lang w:eastAsia="en-GB"/>
        </w:rPr>
        <w:t xml:space="preserve"> (1968). They applied Lintners partial adjustment model to individual firms, reaching the same conclusion and confirming that companies often use earnings to predict dividend payouts. As a result, fraudulent companies, irrespective of their financial health, may aim for dividends to appear steady as their main concern to avoid suspicion, linking to the ‘rationalisation’ element on the fraud triangle communicated by Lou &amp; Wang (2009) and Cressy (1953). </w:t>
      </w:r>
    </w:p>
    <w:p w14:paraId="733F0091" w14:textId="77777777" w:rsidR="00903F21" w:rsidRPr="00785BF3" w:rsidRDefault="00903F21" w:rsidP="00CA7220">
      <w:pPr>
        <w:spacing w:line="480" w:lineRule="auto"/>
        <w:jc w:val="both"/>
        <w:rPr>
          <w:rFonts w:ascii="Times New Roman" w:hAnsi="Times New Roman" w:cs="Times New Roman"/>
          <w:lang w:eastAsia="en-GB"/>
        </w:rPr>
      </w:pPr>
    </w:p>
    <w:p w14:paraId="0131830F" w14:textId="0E5EA1ED" w:rsidR="00E24325" w:rsidRDefault="00E24325" w:rsidP="00CA7220">
      <w:pPr>
        <w:spacing w:line="480" w:lineRule="auto"/>
        <w:jc w:val="both"/>
        <w:rPr>
          <w:rFonts w:ascii="Times New Roman" w:hAnsi="Times New Roman" w:cs="Times New Roman"/>
          <w:lang w:eastAsia="en-GB"/>
        </w:rPr>
      </w:pPr>
      <w:proofErr w:type="spellStart"/>
      <w:r w:rsidRPr="00785BF3">
        <w:rPr>
          <w:rFonts w:ascii="Times New Roman" w:hAnsi="Times New Roman" w:cs="Times New Roman"/>
          <w:lang w:eastAsia="en-GB"/>
        </w:rPr>
        <w:t>Beneish</w:t>
      </w:r>
      <w:proofErr w:type="spellEnd"/>
      <w:r w:rsidRPr="00785BF3">
        <w:rPr>
          <w:rFonts w:ascii="Times New Roman" w:hAnsi="Times New Roman" w:cs="Times New Roman"/>
          <w:lang w:eastAsia="en-GB"/>
        </w:rPr>
        <w:t xml:space="preserve"> (1999)</w:t>
      </w:r>
      <w:r w:rsidR="00B52A8C">
        <w:rPr>
          <w:rFonts w:ascii="Times New Roman" w:hAnsi="Times New Roman" w:cs="Times New Roman"/>
          <w:lang w:eastAsia="en-GB"/>
        </w:rPr>
        <w:t xml:space="preserve"> </w:t>
      </w:r>
      <w:r w:rsidRPr="00785BF3">
        <w:rPr>
          <w:rFonts w:ascii="Times New Roman" w:hAnsi="Times New Roman" w:cs="Times New Roman"/>
          <w:lang w:eastAsia="en-GB"/>
        </w:rPr>
        <w:t>supports this idea by developing a model that detects earnings manipulation in companies based on ratios</w:t>
      </w:r>
      <w:r w:rsidR="009571C7">
        <w:rPr>
          <w:rFonts w:ascii="Times New Roman" w:hAnsi="Times New Roman" w:cs="Times New Roman"/>
          <w:lang w:eastAsia="en-GB"/>
        </w:rPr>
        <w:t>;</w:t>
      </w:r>
      <w:r w:rsidRPr="00785BF3">
        <w:rPr>
          <w:rFonts w:ascii="Times New Roman" w:hAnsi="Times New Roman" w:cs="Times New Roman"/>
          <w:lang w:eastAsia="en-GB"/>
        </w:rPr>
        <w:t xml:space="preserve"> identifying key indicators like increases in receivables and decreasing margins, which could indicate manipulation. His research emphasises that companies often manipulate their earnings to show a position, masking underlying financial instability. The focus of the study, however, is primarily on detecting fraud through overstatements. This manipulation can be used strategically to maintain dividend payments </w:t>
      </w:r>
      <w:r w:rsidRPr="00785BF3">
        <w:rPr>
          <w:rFonts w:ascii="Times New Roman" w:hAnsi="Times New Roman" w:cs="Times New Roman"/>
          <w:lang w:eastAsia="en-GB"/>
        </w:rPr>
        <w:lastRenderedPageBreak/>
        <w:t xml:space="preserve">aligning with studies by Lintner (1956) and Fama and </w:t>
      </w:r>
      <w:proofErr w:type="spellStart"/>
      <w:r w:rsidRPr="00785BF3">
        <w:rPr>
          <w:rFonts w:ascii="Times New Roman" w:hAnsi="Times New Roman" w:cs="Times New Roman"/>
          <w:lang w:eastAsia="en-GB"/>
        </w:rPr>
        <w:t>Babiak</w:t>
      </w:r>
      <w:proofErr w:type="spellEnd"/>
      <w:r w:rsidRPr="00785BF3">
        <w:rPr>
          <w:rFonts w:ascii="Times New Roman" w:hAnsi="Times New Roman" w:cs="Times New Roman"/>
          <w:lang w:eastAsia="en-GB"/>
        </w:rPr>
        <w:t xml:space="preserve"> (1968) who suggest companies use earnings to decide on dividends. Therefore, businesses might adjust their earnings to ensure dividends remain consistent and thus hide any financial weaknesses. </w:t>
      </w:r>
    </w:p>
    <w:p w14:paraId="1CE226DE" w14:textId="77777777" w:rsidR="00903F21" w:rsidRPr="00785BF3" w:rsidRDefault="00903F21" w:rsidP="00CA7220">
      <w:pPr>
        <w:spacing w:line="480" w:lineRule="auto"/>
        <w:jc w:val="both"/>
        <w:rPr>
          <w:rFonts w:ascii="Times New Roman" w:hAnsi="Times New Roman" w:cs="Times New Roman"/>
          <w:lang w:eastAsia="en-GB"/>
        </w:rPr>
      </w:pPr>
    </w:p>
    <w:p w14:paraId="6495E1C2" w14:textId="1EB1CAFA" w:rsidR="004E76A6"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In contrast</w:t>
      </w:r>
      <w:r w:rsidRPr="00B6637F">
        <w:rPr>
          <w:rFonts w:ascii="Times New Roman" w:hAnsi="Times New Roman" w:cs="Times New Roman"/>
          <w:lang w:eastAsia="en-GB"/>
        </w:rPr>
        <w:t>, Miller and Modigliani’s (1961)</w:t>
      </w:r>
      <w:r w:rsidRPr="00785BF3">
        <w:rPr>
          <w:rFonts w:ascii="Times New Roman" w:hAnsi="Times New Roman" w:cs="Times New Roman"/>
          <w:lang w:eastAsia="en-GB"/>
        </w:rPr>
        <w:t xml:space="preserve"> dividend irrelevance theory argues that dividend </w:t>
      </w:r>
      <w:r w:rsidRPr="00B6637F">
        <w:rPr>
          <w:rFonts w:ascii="Times New Roman" w:hAnsi="Times New Roman" w:cs="Times New Roman"/>
          <w:lang w:eastAsia="en-GB"/>
        </w:rPr>
        <w:t>policies have no impact on a company’s share value in a perfect market.</w:t>
      </w:r>
      <w:r w:rsidR="00F060DB">
        <w:rPr>
          <w:rFonts w:ascii="Times New Roman" w:hAnsi="Times New Roman" w:cs="Times New Roman"/>
          <w:lang w:eastAsia="en-GB"/>
        </w:rPr>
        <w:t xml:space="preserve"> </w:t>
      </w:r>
      <w:r w:rsidRPr="00B6637F">
        <w:rPr>
          <w:rFonts w:ascii="Times New Roman" w:hAnsi="Times New Roman" w:cs="Times New Roman"/>
          <w:lang w:eastAsia="en-GB"/>
        </w:rPr>
        <w:t>Easterbrook (1984) expanded on this idea by emphasising shareholder’s ability to “home brew their own dividends”, casting</w:t>
      </w:r>
      <w:r w:rsidRPr="00785BF3">
        <w:rPr>
          <w:rFonts w:ascii="Times New Roman" w:hAnsi="Times New Roman" w:cs="Times New Roman"/>
          <w:lang w:eastAsia="en-GB"/>
        </w:rPr>
        <w:t xml:space="preserve"> doubt on the effectiveness of smoothing dividends in concealing accounting fraud. Nevertheless, the assumptions of perfect markets and rational behaviour in these theories are unrealistic in real world scenarios, where market imperfections and behavioural biases are prevalent.</w:t>
      </w:r>
      <w:r w:rsidR="00903F21">
        <w:rPr>
          <w:rFonts w:ascii="Times New Roman" w:hAnsi="Times New Roman" w:cs="Times New Roman"/>
          <w:lang w:eastAsia="en-GB"/>
        </w:rPr>
        <w:t xml:space="preserve"> </w:t>
      </w:r>
      <w:r w:rsidRPr="00785BF3">
        <w:rPr>
          <w:rFonts w:ascii="Times New Roman" w:hAnsi="Times New Roman" w:cs="Times New Roman"/>
          <w:lang w:eastAsia="en-GB"/>
        </w:rPr>
        <w:t xml:space="preserve">Overall, based on the practical applications in financial practices, the relationship between dividend smoothing and accounting fraud suggests that companies committing fraud may increase the use of dividend smoothing to present stability and cover up financial weaknesses. </w:t>
      </w:r>
    </w:p>
    <w:p w14:paraId="3A6F5217" w14:textId="77777777" w:rsidR="00E24325" w:rsidRPr="00785BF3" w:rsidRDefault="00E24325" w:rsidP="00CA7220">
      <w:pPr>
        <w:spacing w:line="480" w:lineRule="auto"/>
        <w:jc w:val="both"/>
        <w:rPr>
          <w:rFonts w:ascii="Times New Roman" w:hAnsi="Times New Roman" w:cs="Times New Roman"/>
          <w:lang w:eastAsia="en-GB"/>
        </w:rPr>
      </w:pPr>
    </w:p>
    <w:p w14:paraId="5BACFFDD" w14:textId="3E5AC167" w:rsidR="00E24325" w:rsidRPr="00537A5B" w:rsidRDefault="00E24325" w:rsidP="00CA7220">
      <w:pPr>
        <w:spacing w:line="480" w:lineRule="auto"/>
        <w:jc w:val="both"/>
        <w:rPr>
          <w:rFonts w:ascii="Times New Roman" w:hAnsi="Times New Roman" w:cs="Times New Roman"/>
          <w:i/>
          <w:iCs/>
          <w:lang w:eastAsia="en-GB"/>
        </w:rPr>
      </w:pPr>
      <w:r w:rsidRPr="00537A5B">
        <w:rPr>
          <w:rFonts w:ascii="Times New Roman" w:hAnsi="Times New Roman" w:cs="Times New Roman"/>
          <w:i/>
          <w:iCs/>
          <w:lang w:eastAsia="en-GB"/>
        </w:rPr>
        <w:t xml:space="preserve">Shareholder Expectations and Maintaining Investor Confidence </w:t>
      </w:r>
    </w:p>
    <w:p w14:paraId="16E0B461" w14:textId="77777777"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 xml:space="preserve"> </w:t>
      </w:r>
    </w:p>
    <w:p w14:paraId="4574A0B7" w14:textId="5E2A61B6" w:rsidR="00E24325" w:rsidRDefault="00E24325" w:rsidP="00CA7220">
      <w:pPr>
        <w:spacing w:line="480" w:lineRule="auto"/>
        <w:jc w:val="both"/>
        <w:rPr>
          <w:rFonts w:ascii="Times New Roman" w:hAnsi="Times New Roman" w:cs="Times New Roman"/>
          <w:lang w:eastAsia="en-GB"/>
        </w:rPr>
      </w:pPr>
      <w:r w:rsidRPr="00B6637F">
        <w:rPr>
          <w:rFonts w:ascii="Times New Roman" w:hAnsi="Times New Roman" w:cs="Times New Roman"/>
          <w:lang w:eastAsia="en-GB"/>
        </w:rPr>
        <w:t xml:space="preserve">Jensen and </w:t>
      </w:r>
      <w:proofErr w:type="spellStart"/>
      <w:r w:rsidRPr="00B6637F">
        <w:rPr>
          <w:rFonts w:ascii="Times New Roman" w:hAnsi="Times New Roman" w:cs="Times New Roman"/>
          <w:lang w:eastAsia="en-GB"/>
        </w:rPr>
        <w:t>Meckling</w:t>
      </w:r>
      <w:proofErr w:type="spellEnd"/>
      <w:r w:rsidRPr="00B6637F">
        <w:rPr>
          <w:rFonts w:ascii="Times New Roman" w:hAnsi="Times New Roman" w:cs="Times New Roman"/>
          <w:lang w:eastAsia="en-GB"/>
        </w:rPr>
        <w:t xml:space="preserve"> (1976) explain</w:t>
      </w:r>
      <w:r w:rsidRPr="00785BF3">
        <w:rPr>
          <w:rFonts w:ascii="Times New Roman" w:hAnsi="Times New Roman" w:cs="Times New Roman"/>
          <w:lang w:eastAsia="en-GB"/>
        </w:rPr>
        <w:t xml:space="preserve"> the agency theory </w:t>
      </w:r>
      <w:r w:rsidR="00F742B1">
        <w:rPr>
          <w:rFonts w:ascii="Times New Roman" w:hAnsi="Times New Roman" w:cs="Times New Roman"/>
          <w:lang w:eastAsia="en-GB"/>
        </w:rPr>
        <w:t xml:space="preserve">as the </w:t>
      </w:r>
      <w:r w:rsidRPr="00785BF3">
        <w:rPr>
          <w:rFonts w:ascii="Times New Roman" w:hAnsi="Times New Roman" w:cs="Times New Roman"/>
          <w:lang w:eastAsia="en-GB"/>
        </w:rPr>
        <w:t xml:space="preserve">“divergence between the agent’s decisions and those decisions which would maximise the welfare of the principal”. This is consistent with Leary and Michaely (2011), who show that firms subject to agency conflicts tend to smooth dividends more, a practice </w:t>
      </w:r>
      <w:r w:rsidR="0001090E">
        <w:rPr>
          <w:rFonts w:ascii="Times New Roman" w:hAnsi="Times New Roman" w:cs="Times New Roman"/>
          <w:lang w:eastAsia="en-GB"/>
        </w:rPr>
        <w:t>especially</w:t>
      </w:r>
      <w:r w:rsidRPr="00785BF3">
        <w:rPr>
          <w:rFonts w:ascii="Times New Roman" w:hAnsi="Times New Roman" w:cs="Times New Roman"/>
          <w:lang w:eastAsia="en-GB"/>
        </w:rPr>
        <w:t xml:space="preserve"> relevant in the context of fraudulent activities. The concept of agency theory also extends to the presence of asymmetric information, </w:t>
      </w:r>
      <w:r w:rsidRPr="00B6637F">
        <w:rPr>
          <w:rFonts w:ascii="Times New Roman" w:hAnsi="Times New Roman" w:cs="Times New Roman"/>
          <w:lang w:eastAsia="en-GB"/>
        </w:rPr>
        <w:t>Bhattacharya</w:t>
      </w:r>
      <w:r w:rsidR="00B6637F">
        <w:rPr>
          <w:rFonts w:ascii="Times New Roman" w:hAnsi="Times New Roman" w:cs="Times New Roman"/>
          <w:lang w:eastAsia="en-GB"/>
        </w:rPr>
        <w:t>’</w:t>
      </w:r>
      <w:r w:rsidRPr="00B6637F">
        <w:rPr>
          <w:rFonts w:ascii="Times New Roman" w:hAnsi="Times New Roman" w:cs="Times New Roman"/>
          <w:lang w:eastAsia="en-GB"/>
        </w:rPr>
        <w:t>s (1979) and Miller and Rock</w:t>
      </w:r>
      <w:r w:rsidR="00B6637F">
        <w:rPr>
          <w:rFonts w:ascii="Times New Roman" w:hAnsi="Times New Roman" w:cs="Times New Roman"/>
          <w:lang w:eastAsia="en-GB"/>
        </w:rPr>
        <w:t>’s</w:t>
      </w:r>
      <w:r w:rsidRPr="00B6637F">
        <w:rPr>
          <w:rFonts w:ascii="Times New Roman" w:hAnsi="Times New Roman" w:cs="Times New Roman"/>
          <w:lang w:eastAsia="en-GB"/>
        </w:rPr>
        <w:t xml:space="preserve"> (1985) signalling</w:t>
      </w:r>
      <w:r w:rsidRPr="00785BF3">
        <w:rPr>
          <w:rFonts w:ascii="Times New Roman" w:hAnsi="Times New Roman" w:cs="Times New Roman"/>
          <w:lang w:eastAsia="en-GB"/>
        </w:rPr>
        <w:t xml:space="preserve"> theories suggest that smoothing dividends helps address information asymmetries in markets, although this requires empirical confirmation. It can th</w:t>
      </w:r>
      <w:r w:rsidR="009571C7">
        <w:rPr>
          <w:rFonts w:ascii="Times New Roman" w:hAnsi="Times New Roman" w:cs="Times New Roman"/>
          <w:lang w:eastAsia="en-GB"/>
        </w:rPr>
        <w:t xml:space="preserve">erefore </w:t>
      </w:r>
      <w:r w:rsidRPr="00785BF3">
        <w:rPr>
          <w:rFonts w:ascii="Times New Roman" w:hAnsi="Times New Roman" w:cs="Times New Roman"/>
          <w:lang w:eastAsia="en-GB"/>
        </w:rPr>
        <w:t xml:space="preserve">be suggested that through dividend smoothing, </w:t>
      </w:r>
      <w:r w:rsidRPr="00785BF3">
        <w:rPr>
          <w:rFonts w:ascii="Times New Roman" w:hAnsi="Times New Roman" w:cs="Times New Roman"/>
          <w:lang w:eastAsia="en-GB"/>
        </w:rPr>
        <w:lastRenderedPageBreak/>
        <w:t>firms can signal their financial stability and ultimately boost confidence among shareholders and investors.</w:t>
      </w:r>
    </w:p>
    <w:p w14:paraId="384F0AE9" w14:textId="77777777" w:rsidR="00903F21" w:rsidRPr="00785BF3" w:rsidRDefault="00903F21" w:rsidP="00CA7220">
      <w:pPr>
        <w:spacing w:line="480" w:lineRule="auto"/>
        <w:jc w:val="both"/>
        <w:rPr>
          <w:rFonts w:ascii="Times New Roman" w:hAnsi="Times New Roman" w:cs="Times New Roman"/>
          <w:lang w:eastAsia="en-GB"/>
        </w:rPr>
      </w:pPr>
    </w:p>
    <w:p w14:paraId="5B952519" w14:textId="216102D4" w:rsidR="00E24325" w:rsidRPr="00785BF3" w:rsidRDefault="00E24325" w:rsidP="00CA7220">
      <w:pPr>
        <w:spacing w:line="480" w:lineRule="auto"/>
        <w:jc w:val="both"/>
        <w:rPr>
          <w:rFonts w:ascii="Times New Roman" w:hAnsi="Times New Roman" w:cs="Times New Roman"/>
          <w:lang w:eastAsia="en-GB"/>
        </w:rPr>
      </w:pPr>
      <w:r w:rsidRPr="00B6637F">
        <w:rPr>
          <w:rFonts w:ascii="Times New Roman" w:hAnsi="Times New Roman" w:cs="Times New Roman"/>
          <w:lang w:eastAsia="en-GB"/>
        </w:rPr>
        <w:t>Contrastingly, Li and Zhao (2008) and</w:t>
      </w:r>
      <w:r w:rsidRPr="00785BF3">
        <w:rPr>
          <w:rFonts w:ascii="Times New Roman" w:hAnsi="Times New Roman" w:cs="Times New Roman"/>
          <w:lang w:eastAsia="en-GB"/>
        </w:rPr>
        <w:t xml:space="preserve"> Leary and Michaely (2011) critique further this link by presenting empirical evidence that firms involved in information asymmetry smooth dividends the least. Yet, these studies are both limited to U.S. firms and may not reflect global practices as a whole. Later </w:t>
      </w:r>
      <w:r w:rsidRPr="00B6637F">
        <w:rPr>
          <w:rFonts w:ascii="Times New Roman" w:hAnsi="Times New Roman" w:cs="Times New Roman"/>
          <w:lang w:eastAsia="en-GB"/>
        </w:rPr>
        <w:t>studies by Guttman</w:t>
      </w:r>
      <w:r w:rsidR="00B6637F" w:rsidRPr="00B6637F">
        <w:rPr>
          <w:rFonts w:ascii="Times New Roman" w:hAnsi="Times New Roman" w:cs="Times New Roman"/>
          <w:lang w:eastAsia="en-GB"/>
        </w:rPr>
        <w:t xml:space="preserve"> et al.</w:t>
      </w:r>
      <w:r w:rsidRPr="00B6637F">
        <w:rPr>
          <w:rFonts w:ascii="Times New Roman" w:hAnsi="Times New Roman" w:cs="Times New Roman"/>
          <w:lang w:eastAsia="en-GB"/>
        </w:rPr>
        <w:t xml:space="preserve"> (2010) build</w:t>
      </w:r>
      <w:r w:rsidRPr="00785BF3">
        <w:rPr>
          <w:rFonts w:ascii="Times New Roman" w:hAnsi="Times New Roman" w:cs="Times New Roman"/>
          <w:lang w:eastAsia="en-GB"/>
        </w:rPr>
        <w:t xml:space="preserve"> on Miller and Rock’s work, emphasi</w:t>
      </w:r>
      <w:r w:rsidR="009571C7">
        <w:rPr>
          <w:rFonts w:ascii="Times New Roman" w:hAnsi="Times New Roman" w:cs="Times New Roman"/>
          <w:lang w:eastAsia="en-GB"/>
        </w:rPr>
        <w:t>s</w:t>
      </w:r>
      <w:r w:rsidRPr="00785BF3">
        <w:rPr>
          <w:rFonts w:ascii="Times New Roman" w:hAnsi="Times New Roman" w:cs="Times New Roman"/>
          <w:lang w:eastAsia="en-GB"/>
        </w:rPr>
        <w:t xml:space="preserve">ing adverse selection as a determinant of dividend stickiness, thereby establishing a positive relationship. This relationship </w:t>
      </w:r>
      <w:r w:rsidR="0001090E">
        <w:rPr>
          <w:rFonts w:ascii="Times New Roman" w:hAnsi="Times New Roman" w:cs="Times New Roman"/>
          <w:lang w:eastAsia="en-GB"/>
        </w:rPr>
        <w:t>remains</w:t>
      </w:r>
      <w:r w:rsidRPr="00785BF3">
        <w:rPr>
          <w:rFonts w:ascii="Times New Roman" w:hAnsi="Times New Roman" w:cs="Times New Roman"/>
          <w:lang w:eastAsia="en-GB"/>
        </w:rPr>
        <w:t xml:space="preserve"> crucial for maintaining investor confidence, as consistent dividend payouts are perceived as signs of financial stability and good governance, mitigating the negative effects of agency conflicts.</w:t>
      </w:r>
      <w:r w:rsidR="00903F21">
        <w:rPr>
          <w:rFonts w:ascii="Times New Roman" w:hAnsi="Times New Roman" w:cs="Times New Roman"/>
          <w:lang w:eastAsia="en-GB"/>
        </w:rPr>
        <w:t xml:space="preserve"> </w:t>
      </w:r>
      <w:r w:rsidRPr="00785BF3">
        <w:rPr>
          <w:rFonts w:ascii="Times New Roman" w:hAnsi="Times New Roman" w:cs="Times New Roman"/>
          <w:lang w:eastAsia="en-GB"/>
        </w:rPr>
        <w:t xml:space="preserve">Further insights </w:t>
      </w:r>
      <w:r w:rsidRPr="00B6637F">
        <w:rPr>
          <w:rFonts w:ascii="Times New Roman" w:hAnsi="Times New Roman" w:cs="Times New Roman"/>
          <w:lang w:eastAsia="en-GB"/>
        </w:rPr>
        <w:t>provided by Guttman et al. (2007) highlight</w:t>
      </w:r>
      <w:r w:rsidRPr="00785BF3">
        <w:rPr>
          <w:rFonts w:ascii="Times New Roman" w:hAnsi="Times New Roman" w:cs="Times New Roman"/>
          <w:lang w:eastAsia="en-GB"/>
        </w:rPr>
        <w:t xml:space="preserve"> how firms may smooth dividends to meet shareholder expectations, thereby maintaining their reputation and avoiding negative market reactions. </w:t>
      </w:r>
      <w:r w:rsidR="0001090E" w:rsidRPr="00785BF3">
        <w:rPr>
          <w:rFonts w:ascii="Times New Roman" w:hAnsi="Times New Roman" w:cs="Times New Roman"/>
          <w:lang w:eastAsia="en-GB"/>
        </w:rPr>
        <w:t>Skousen et al. (200</w:t>
      </w:r>
      <w:r w:rsidR="0001090E">
        <w:rPr>
          <w:rFonts w:ascii="Times New Roman" w:hAnsi="Times New Roman" w:cs="Times New Roman"/>
          <w:lang w:eastAsia="en-GB"/>
        </w:rPr>
        <w:t>9</w:t>
      </w:r>
      <w:r w:rsidR="0001090E" w:rsidRPr="00785BF3">
        <w:rPr>
          <w:rFonts w:ascii="Times New Roman" w:hAnsi="Times New Roman" w:cs="Times New Roman"/>
          <w:lang w:eastAsia="en-GB"/>
        </w:rPr>
        <w:t>)</w:t>
      </w:r>
      <w:r w:rsidR="00B52A8C">
        <w:rPr>
          <w:rFonts w:ascii="Times New Roman" w:hAnsi="Times New Roman" w:cs="Times New Roman"/>
          <w:lang w:eastAsia="en-GB"/>
        </w:rPr>
        <w:t xml:space="preserve"> </w:t>
      </w:r>
      <w:r w:rsidR="0001090E">
        <w:rPr>
          <w:rFonts w:ascii="Times New Roman" w:hAnsi="Times New Roman" w:cs="Times New Roman"/>
          <w:lang w:eastAsia="en-GB"/>
        </w:rPr>
        <w:t>supports t</w:t>
      </w:r>
      <w:r w:rsidRPr="00785BF3">
        <w:rPr>
          <w:rFonts w:ascii="Times New Roman" w:hAnsi="Times New Roman" w:cs="Times New Roman"/>
          <w:lang w:eastAsia="en-GB"/>
        </w:rPr>
        <w:t xml:space="preserve">his perspective </w:t>
      </w:r>
      <w:r w:rsidR="0001090E">
        <w:rPr>
          <w:rFonts w:ascii="Times New Roman" w:hAnsi="Times New Roman" w:cs="Times New Roman"/>
          <w:lang w:eastAsia="en-GB"/>
        </w:rPr>
        <w:t xml:space="preserve">through </w:t>
      </w:r>
      <w:r w:rsidRPr="00785BF3">
        <w:rPr>
          <w:rFonts w:ascii="Times New Roman" w:hAnsi="Times New Roman" w:cs="Times New Roman"/>
          <w:lang w:eastAsia="en-GB"/>
        </w:rPr>
        <w:t>highlight</w:t>
      </w:r>
      <w:r w:rsidR="0001090E">
        <w:rPr>
          <w:rFonts w:ascii="Times New Roman" w:hAnsi="Times New Roman" w:cs="Times New Roman"/>
          <w:lang w:eastAsia="en-GB"/>
        </w:rPr>
        <w:t>ing</w:t>
      </w:r>
      <w:r w:rsidRPr="00785BF3">
        <w:rPr>
          <w:rFonts w:ascii="Times New Roman" w:hAnsi="Times New Roman" w:cs="Times New Roman"/>
          <w:lang w:eastAsia="en-GB"/>
        </w:rPr>
        <w:t xml:space="preserve"> that pressures, such as meeting goals and external demands, can push managers towards unethical practices like financial fraud. This fraud can take various forms, including manipulating earnings to support dividend distributions.</w:t>
      </w:r>
    </w:p>
    <w:p w14:paraId="61FADDF4" w14:textId="77777777" w:rsidR="00903F21" w:rsidRDefault="00903F21" w:rsidP="00CA7220">
      <w:pPr>
        <w:spacing w:line="480" w:lineRule="auto"/>
        <w:jc w:val="both"/>
        <w:rPr>
          <w:rFonts w:ascii="Times New Roman" w:hAnsi="Times New Roman" w:cs="Times New Roman"/>
          <w:lang w:eastAsia="en-GB"/>
        </w:rPr>
      </w:pPr>
    </w:p>
    <w:p w14:paraId="03BD226D" w14:textId="54B65E49" w:rsidR="00E24325" w:rsidRPr="00785BF3" w:rsidRDefault="00903F21" w:rsidP="00CA7220">
      <w:pPr>
        <w:spacing w:line="480" w:lineRule="auto"/>
        <w:jc w:val="both"/>
        <w:rPr>
          <w:rFonts w:ascii="Times New Roman" w:hAnsi="Times New Roman" w:cs="Times New Roman"/>
          <w:lang w:eastAsia="en-GB"/>
        </w:rPr>
      </w:pPr>
      <w:r>
        <w:rPr>
          <w:rFonts w:ascii="Times New Roman" w:hAnsi="Times New Roman" w:cs="Times New Roman"/>
          <w:lang w:eastAsia="en-GB"/>
        </w:rPr>
        <w:t>In summary</w:t>
      </w:r>
      <w:r w:rsidR="00E24325" w:rsidRPr="00785BF3">
        <w:rPr>
          <w:rFonts w:ascii="Times New Roman" w:hAnsi="Times New Roman" w:cs="Times New Roman"/>
          <w:lang w:eastAsia="en-GB"/>
        </w:rPr>
        <w:t>, the interaction between the agency theory and presence of asymmetric information demonstrates the complex dynamics where dividend smoothing serves as a strategic tool for firms. By aligning decisions with shareholder expectations and reducing information gaps, businesses can ensure investor trust for their perceived stability and ongoing financial health. This strategic approach to dividend strategies emphasises the significant role of reporting methods in managing relationships with both external stakeholders amidst potential fraud risks.</w:t>
      </w:r>
    </w:p>
    <w:p w14:paraId="09DE6A1F" w14:textId="77777777" w:rsidR="00E24325" w:rsidRPr="00785BF3" w:rsidRDefault="00E24325" w:rsidP="00CA7220">
      <w:pPr>
        <w:spacing w:line="480" w:lineRule="auto"/>
        <w:jc w:val="both"/>
        <w:rPr>
          <w:rFonts w:ascii="Times New Roman" w:hAnsi="Times New Roman" w:cs="Times New Roman"/>
          <w:lang w:eastAsia="en-GB"/>
        </w:rPr>
      </w:pPr>
    </w:p>
    <w:p w14:paraId="3499D56B" w14:textId="3ABA6FC6" w:rsidR="00E24325" w:rsidRPr="00537A5B" w:rsidRDefault="00E24325" w:rsidP="00CA7220">
      <w:pPr>
        <w:spacing w:line="480" w:lineRule="auto"/>
        <w:jc w:val="both"/>
        <w:rPr>
          <w:rFonts w:ascii="Times New Roman" w:hAnsi="Times New Roman" w:cs="Times New Roman"/>
          <w:i/>
          <w:iCs/>
          <w:lang w:eastAsia="en-GB"/>
        </w:rPr>
      </w:pPr>
      <w:r w:rsidRPr="00537A5B">
        <w:rPr>
          <w:rFonts w:ascii="Times New Roman" w:hAnsi="Times New Roman" w:cs="Times New Roman"/>
          <w:i/>
          <w:iCs/>
          <w:lang w:eastAsia="en-GB"/>
        </w:rPr>
        <w:t>Corporate Governance</w:t>
      </w:r>
    </w:p>
    <w:p w14:paraId="0C9D3F85" w14:textId="77777777" w:rsidR="00E24325" w:rsidRPr="00785BF3" w:rsidRDefault="00E24325" w:rsidP="00CA7220">
      <w:pPr>
        <w:spacing w:line="480" w:lineRule="auto"/>
        <w:jc w:val="both"/>
        <w:rPr>
          <w:rFonts w:ascii="Times New Roman" w:hAnsi="Times New Roman" w:cs="Times New Roman"/>
          <w:b/>
          <w:bCs/>
          <w:lang w:eastAsia="en-GB"/>
        </w:rPr>
      </w:pPr>
    </w:p>
    <w:p w14:paraId="7417EDA2" w14:textId="767116DB" w:rsidR="00903F21" w:rsidRDefault="00E24325" w:rsidP="00CA7220">
      <w:pPr>
        <w:spacing w:line="480" w:lineRule="auto"/>
        <w:jc w:val="both"/>
        <w:rPr>
          <w:rFonts w:ascii="Times New Roman" w:hAnsi="Times New Roman" w:cs="Times New Roman"/>
          <w:lang w:eastAsia="en-GB"/>
        </w:rPr>
      </w:pPr>
      <w:proofErr w:type="spellStart"/>
      <w:r w:rsidRPr="00B6637F">
        <w:rPr>
          <w:rFonts w:ascii="Times New Roman" w:hAnsi="Times New Roman" w:cs="Times New Roman"/>
          <w:lang w:eastAsia="en-GB"/>
        </w:rPr>
        <w:t>Gerety</w:t>
      </w:r>
      <w:proofErr w:type="spellEnd"/>
      <w:r w:rsidRPr="00B6637F">
        <w:rPr>
          <w:rFonts w:ascii="Times New Roman" w:hAnsi="Times New Roman" w:cs="Times New Roman"/>
          <w:lang w:eastAsia="en-GB"/>
        </w:rPr>
        <w:t xml:space="preserve"> and Lehn (1997) discovered</w:t>
      </w:r>
      <w:r w:rsidRPr="00785BF3">
        <w:rPr>
          <w:rFonts w:ascii="Times New Roman" w:hAnsi="Times New Roman" w:cs="Times New Roman"/>
          <w:lang w:eastAsia="en-GB"/>
        </w:rPr>
        <w:t xml:space="preserve"> that companies engaging in fraudulent actives typically face impacts on their stock prices once the fraud is revealed. This highlights the importance of having governance and concentrated ownership to lower the risk of fraud. Their research supports what Fama and </w:t>
      </w:r>
      <w:proofErr w:type="spellStart"/>
      <w:r w:rsidRPr="00785BF3">
        <w:rPr>
          <w:rFonts w:ascii="Times New Roman" w:hAnsi="Times New Roman" w:cs="Times New Roman"/>
          <w:lang w:eastAsia="en-GB"/>
        </w:rPr>
        <w:t>Babiak</w:t>
      </w:r>
      <w:proofErr w:type="spellEnd"/>
      <w:r w:rsidRPr="00785BF3">
        <w:rPr>
          <w:rFonts w:ascii="Times New Roman" w:hAnsi="Times New Roman" w:cs="Times New Roman"/>
          <w:lang w:eastAsia="en-GB"/>
        </w:rPr>
        <w:t xml:space="preserve"> (1968) and </w:t>
      </w:r>
      <w:proofErr w:type="spellStart"/>
      <w:r w:rsidRPr="00785BF3">
        <w:rPr>
          <w:rFonts w:ascii="Times New Roman" w:hAnsi="Times New Roman" w:cs="Times New Roman"/>
          <w:lang w:eastAsia="en-GB"/>
        </w:rPr>
        <w:t>Beneish</w:t>
      </w:r>
      <w:proofErr w:type="spellEnd"/>
      <w:r w:rsidRPr="00785BF3">
        <w:rPr>
          <w:rFonts w:ascii="Times New Roman" w:hAnsi="Times New Roman" w:cs="Times New Roman"/>
          <w:lang w:eastAsia="en-GB"/>
        </w:rPr>
        <w:t xml:space="preserve"> (1999) have also shown; firms may employ dividend smoothing to mask their financial status. Its success depends on the effectiveness of governance structures. However, both studies are limited to historical data and a focus of PLC’s, respectively. </w:t>
      </w:r>
      <w:r w:rsidRPr="00B6637F">
        <w:rPr>
          <w:rFonts w:ascii="Times New Roman" w:hAnsi="Times New Roman" w:cs="Times New Roman"/>
          <w:lang w:eastAsia="en-GB"/>
        </w:rPr>
        <w:t>Moreover Dyck</w:t>
      </w:r>
      <w:r w:rsidR="00B6637F" w:rsidRPr="00B6637F">
        <w:rPr>
          <w:rFonts w:ascii="Times New Roman" w:hAnsi="Times New Roman" w:cs="Times New Roman"/>
          <w:lang w:eastAsia="en-GB"/>
        </w:rPr>
        <w:t xml:space="preserve"> et al.</w:t>
      </w:r>
      <w:r w:rsidRPr="00B6637F">
        <w:rPr>
          <w:rFonts w:ascii="Times New Roman" w:hAnsi="Times New Roman" w:cs="Times New Roman"/>
          <w:lang w:eastAsia="en-GB"/>
        </w:rPr>
        <w:t xml:space="preserve"> (2010) discovered</w:t>
      </w:r>
      <w:r w:rsidRPr="00785BF3">
        <w:rPr>
          <w:rFonts w:ascii="Times New Roman" w:hAnsi="Times New Roman" w:cs="Times New Roman"/>
          <w:lang w:eastAsia="en-GB"/>
        </w:rPr>
        <w:t xml:space="preserve"> that good internal governance and external </w:t>
      </w:r>
      <w:r w:rsidR="00F742B1" w:rsidRPr="00785BF3">
        <w:rPr>
          <w:rFonts w:ascii="Times New Roman" w:hAnsi="Times New Roman" w:cs="Times New Roman"/>
          <w:lang w:eastAsia="en-GB"/>
        </w:rPr>
        <w:t>whistle-blowers</w:t>
      </w:r>
      <w:r w:rsidRPr="00785BF3">
        <w:rPr>
          <w:rFonts w:ascii="Times New Roman" w:hAnsi="Times New Roman" w:cs="Times New Roman"/>
          <w:lang w:eastAsia="en-GB"/>
        </w:rPr>
        <w:t xml:space="preserve"> play a role in catching fraud. When governance is weak, companies can easily manipulate financial statements and utilise dividend smoothing to make themselves seem financially stable when they</w:t>
      </w:r>
      <w:r w:rsidR="00B82C90">
        <w:rPr>
          <w:rFonts w:ascii="Times New Roman" w:hAnsi="Times New Roman" w:cs="Times New Roman"/>
          <w:lang w:eastAsia="en-GB"/>
        </w:rPr>
        <w:t xml:space="preserve"> are</w:t>
      </w:r>
      <w:r w:rsidRPr="00785BF3">
        <w:rPr>
          <w:rFonts w:ascii="Times New Roman" w:hAnsi="Times New Roman" w:cs="Times New Roman"/>
          <w:lang w:eastAsia="en-GB"/>
        </w:rPr>
        <w:t xml:space="preserve"> not. This emphasi</w:t>
      </w:r>
      <w:r w:rsidR="009571C7">
        <w:rPr>
          <w:rFonts w:ascii="Times New Roman" w:hAnsi="Times New Roman" w:cs="Times New Roman"/>
          <w:lang w:eastAsia="en-GB"/>
        </w:rPr>
        <w:t>s</w:t>
      </w:r>
      <w:r w:rsidRPr="00785BF3">
        <w:rPr>
          <w:rFonts w:ascii="Times New Roman" w:hAnsi="Times New Roman" w:cs="Times New Roman"/>
          <w:lang w:eastAsia="en-GB"/>
        </w:rPr>
        <w:t xml:space="preserve">es how important strong corporate governance is in mitigating the risk of fraud and its association with dividend smoothing. </w:t>
      </w:r>
    </w:p>
    <w:p w14:paraId="49B18A54" w14:textId="2D34DC50" w:rsidR="00903F21"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br/>
        <w:t>Leary and Michaely (2011) foun</w:t>
      </w:r>
      <w:r w:rsidR="00EA12B0">
        <w:rPr>
          <w:rFonts w:ascii="Times New Roman" w:hAnsi="Times New Roman" w:cs="Times New Roman"/>
          <w:lang w:eastAsia="en-GB"/>
        </w:rPr>
        <w:t>d</w:t>
      </w:r>
      <w:r w:rsidRPr="00785BF3">
        <w:rPr>
          <w:rFonts w:ascii="Times New Roman" w:hAnsi="Times New Roman" w:cs="Times New Roman"/>
          <w:lang w:eastAsia="en-GB"/>
        </w:rPr>
        <w:t xml:space="preserve"> that in situations where governance is weak, companies are more </w:t>
      </w:r>
      <w:r w:rsidR="00313BEA">
        <w:rPr>
          <w:rFonts w:ascii="Times New Roman" w:hAnsi="Times New Roman" w:cs="Times New Roman"/>
          <w:lang w:eastAsia="en-GB"/>
        </w:rPr>
        <w:t>inclined</w:t>
      </w:r>
      <w:r w:rsidRPr="00785BF3">
        <w:rPr>
          <w:rFonts w:ascii="Times New Roman" w:hAnsi="Times New Roman" w:cs="Times New Roman"/>
          <w:lang w:eastAsia="en-GB"/>
        </w:rPr>
        <w:t xml:space="preserve"> to engage in dividend smoothing. This concept is expanded </w:t>
      </w:r>
      <w:r w:rsidRPr="00B6637F">
        <w:rPr>
          <w:rFonts w:ascii="Times New Roman" w:hAnsi="Times New Roman" w:cs="Times New Roman"/>
          <w:lang w:eastAsia="en-GB"/>
        </w:rPr>
        <w:t>upon by Knyazeva and Knyazeva (2014), who provide empirical evidence showing that firms with weak governance</w:t>
      </w:r>
      <w:r w:rsidRPr="00785BF3">
        <w:rPr>
          <w:rFonts w:ascii="Times New Roman" w:hAnsi="Times New Roman" w:cs="Times New Roman"/>
          <w:lang w:eastAsia="en-GB"/>
        </w:rPr>
        <w:t xml:space="preserve"> are twice as likely to </w:t>
      </w:r>
      <w:r w:rsidR="0001090E">
        <w:rPr>
          <w:rFonts w:ascii="Times New Roman" w:hAnsi="Times New Roman" w:cs="Times New Roman"/>
          <w:lang w:eastAsia="en-GB"/>
        </w:rPr>
        <w:t>issue</w:t>
      </w:r>
      <w:r w:rsidRPr="00785BF3">
        <w:rPr>
          <w:rFonts w:ascii="Times New Roman" w:hAnsi="Times New Roman" w:cs="Times New Roman"/>
          <w:lang w:eastAsia="en-GB"/>
        </w:rPr>
        <w:t xml:space="preserve"> dividends and use dividend smoothing techniques. The study however mainly focused on U.S. Companies so its findings may not be universally applicable. This relationship is also evident in many fraudulent cases, exemplified by Enron's display of weak governance, as </w:t>
      </w:r>
      <w:r w:rsidRPr="00B6637F">
        <w:rPr>
          <w:rFonts w:ascii="Times New Roman" w:hAnsi="Times New Roman" w:cs="Times New Roman"/>
          <w:lang w:eastAsia="en-GB"/>
        </w:rPr>
        <w:t>discussed by Huu Cuong (2011). This</w:t>
      </w:r>
      <w:r w:rsidRPr="00785BF3">
        <w:rPr>
          <w:rFonts w:ascii="Times New Roman" w:hAnsi="Times New Roman" w:cs="Times New Roman"/>
          <w:lang w:eastAsia="en-GB"/>
        </w:rPr>
        <w:t xml:space="preserve"> aligns with the ‘opportunity/ineffective controls’ element on the fraud triangle communicated by Lou and Wang (2009) and Cressey (1953). This reveals a positive relationship between accounting fraud </w:t>
      </w:r>
      <w:r w:rsidRPr="00785BF3">
        <w:rPr>
          <w:rFonts w:ascii="Times New Roman" w:hAnsi="Times New Roman" w:cs="Times New Roman"/>
          <w:lang w:eastAsia="en-GB"/>
        </w:rPr>
        <w:lastRenderedPageBreak/>
        <w:t>and dividend smoothing in that they</w:t>
      </w:r>
      <w:r w:rsidR="00B82C90">
        <w:rPr>
          <w:rFonts w:ascii="Times New Roman" w:hAnsi="Times New Roman" w:cs="Times New Roman"/>
          <w:lang w:eastAsia="en-GB"/>
        </w:rPr>
        <w:t xml:space="preserve"> are</w:t>
      </w:r>
      <w:r w:rsidRPr="00785BF3">
        <w:rPr>
          <w:rFonts w:ascii="Times New Roman" w:hAnsi="Times New Roman" w:cs="Times New Roman"/>
          <w:lang w:eastAsia="en-GB"/>
        </w:rPr>
        <w:t xml:space="preserve"> both present in the absence of effective corporate governance.</w:t>
      </w:r>
      <w:r w:rsidR="006B305E">
        <w:rPr>
          <w:rFonts w:ascii="Times New Roman" w:hAnsi="Times New Roman" w:cs="Times New Roman"/>
          <w:lang w:eastAsia="en-GB"/>
        </w:rPr>
        <w:t xml:space="preserve"> </w:t>
      </w:r>
      <w:r w:rsidRPr="00785BF3">
        <w:rPr>
          <w:rFonts w:ascii="Times New Roman" w:hAnsi="Times New Roman" w:cs="Times New Roman"/>
          <w:lang w:eastAsia="en-GB"/>
        </w:rPr>
        <w:t>However</w:t>
      </w:r>
      <w:r w:rsidR="00F742B1">
        <w:rPr>
          <w:rFonts w:ascii="Times New Roman" w:hAnsi="Times New Roman" w:cs="Times New Roman"/>
          <w:lang w:eastAsia="en-GB"/>
        </w:rPr>
        <w:t>,</w:t>
      </w:r>
      <w:r w:rsidRPr="00785BF3">
        <w:rPr>
          <w:rFonts w:ascii="Times New Roman" w:hAnsi="Times New Roman" w:cs="Times New Roman"/>
          <w:lang w:eastAsia="en-GB"/>
        </w:rPr>
        <w:t xml:space="preserve"> research </w:t>
      </w:r>
      <w:r w:rsidRPr="00B6637F">
        <w:rPr>
          <w:rFonts w:ascii="Times New Roman" w:hAnsi="Times New Roman" w:cs="Times New Roman"/>
          <w:lang w:eastAsia="en-GB"/>
        </w:rPr>
        <w:t xml:space="preserve">conducted by </w:t>
      </w:r>
      <w:proofErr w:type="spellStart"/>
      <w:r w:rsidRPr="00B6637F">
        <w:rPr>
          <w:rFonts w:ascii="Times New Roman" w:hAnsi="Times New Roman" w:cs="Times New Roman"/>
          <w:lang w:eastAsia="en-GB"/>
        </w:rPr>
        <w:t>Adjaoud</w:t>
      </w:r>
      <w:proofErr w:type="spellEnd"/>
      <w:r w:rsidRPr="00B6637F">
        <w:rPr>
          <w:rFonts w:ascii="Times New Roman" w:hAnsi="Times New Roman" w:cs="Times New Roman"/>
          <w:lang w:eastAsia="en-GB"/>
        </w:rPr>
        <w:t xml:space="preserve"> and Ben Amar (2010) on the </w:t>
      </w:r>
      <w:r w:rsidR="0001090E">
        <w:rPr>
          <w:rFonts w:ascii="Times New Roman" w:hAnsi="Times New Roman" w:cs="Times New Roman"/>
          <w:lang w:eastAsia="en-GB"/>
        </w:rPr>
        <w:t>relationship</w:t>
      </w:r>
      <w:r w:rsidRPr="00785BF3">
        <w:rPr>
          <w:rFonts w:ascii="Times New Roman" w:hAnsi="Times New Roman" w:cs="Times New Roman"/>
          <w:lang w:eastAsia="en-GB"/>
        </w:rPr>
        <w:t xml:space="preserve"> between </w:t>
      </w:r>
      <w:r w:rsidRPr="00B6637F">
        <w:rPr>
          <w:rFonts w:ascii="Times New Roman" w:hAnsi="Times New Roman" w:cs="Times New Roman"/>
          <w:lang w:eastAsia="en-GB"/>
        </w:rPr>
        <w:t xml:space="preserve">governance and dividends was inconclusive, possibly due to their focus on a single aspect of corporate governance. Later research by </w:t>
      </w:r>
      <w:proofErr w:type="spellStart"/>
      <w:r w:rsidRPr="00B6637F">
        <w:rPr>
          <w:rFonts w:ascii="Times New Roman" w:hAnsi="Times New Roman" w:cs="Times New Roman"/>
          <w:lang w:eastAsia="en-GB"/>
        </w:rPr>
        <w:t>Tutino</w:t>
      </w:r>
      <w:proofErr w:type="spellEnd"/>
      <w:r w:rsidRPr="00B6637F">
        <w:rPr>
          <w:rFonts w:ascii="Times New Roman" w:hAnsi="Times New Roman" w:cs="Times New Roman"/>
          <w:lang w:eastAsia="en-GB"/>
        </w:rPr>
        <w:t xml:space="preserve"> and Merlo (2019) emphasi</w:t>
      </w:r>
      <w:r w:rsidR="005D60D9">
        <w:rPr>
          <w:rFonts w:ascii="Times New Roman" w:hAnsi="Times New Roman" w:cs="Times New Roman"/>
          <w:lang w:eastAsia="en-GB"/>
        </w:rPr>
        <w:t>s</w:t>
      </w:r>
      <w:r w:rsidRPr="00B6637F">
        <w:rPr>
          <w:rFonts w:ascii="Times New Roman" w:hAnsi="Times New Roman" w:cs="Times New Roman"/>
          <w:lang w:eastAsia="en-GB"/>
        </w:rPr>
        <w:t>ed the importance of forensic accounting in uncovering fraudulent activities, emphasising</w:t>
      </w:r>
      <w:r w:rsidRPr="00785BF3">
        <w:rPr>
          <w:rFonts w:ascii="Times New Roman" w:hAnsi="Times New Roman" w:cs="Times New Roman"/>
          <w:lang w:eastAsia="en-GB"/>
        </w:rPr>
        <w:t xml:space="preserve"> that robust governance mechanisms are crucial for preventing and detecting fraud. Their findings suggest that improved governance can significantly reduce reporting and prevent the misuse of dividend policies to conceal financial instability.</w:t>
      </w:r>
      <w:r w:rsidR="00903F21">
        <w:rPr>
          <w:rFonts w:ascii="Times New Roman" w:hAnsi="Times New Roman" w:cs="Times New Roman"/>
          <w:lang w:eastAsia="en-GB"/>
        </w:rPr>
        <w:t xml:space="preserve"> </w:t>
      </w:r>
    </w:p>
    <w:p w14:paraId="24C7FB6C" w14:textId="77777777" w:rsidR="00903F21" w:rsidRDefault="00903F21" w:rsidP="00CA7220">
      <w:pPr>
        <w:spacing w:line="480" w:lineRule="auto"/>
        <w:jc w:val="both"/>
        <w:rPr>
          <w:rFonts w:ascii="Times New Roman" w:hAnsi="Times New Roman" w:cs="Times New Roman"/>
          <w:lang w:eastAsia="en-GB"/>
        </w:rPr>
      </w:pPr>
    </w:p>
    <w:p w14:paraId="6E02A9BC" w14:textId="588A38CA"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In summary, the interaction between dividend smoothing and financial manipulation underscores the significance of internal controls and governance practices.</w:t>
      </w:r>
      <w:r w:rsidRPr="00785BF3">
        <w:rPr>
          <w:rFonts w:ascii="Times New Roman" w:hAnsi="Times New Roman" w:cs="Times New Roman"/>
          <w:lang w:eastAsia="en-GB"/>
        </w:rPr>
        <w:br/>
        <w:t>The connection between smoothing dividends and committing fraud is implied by weak corporate governance mechanisms, therefore it is crucial to have an understanding of governance and the reasons behind these strategies.</w:t>
      </w:r>
    </w:p>
    <w:p w14:paraId="77367C5E" w14:textId="77777777" w:rsidR="00E24325" w:rsidRPr="00785BF3" w:rsidRDefault="00E24325" w:rsidP="00CA7220">
      <w:pPr>
        <w:spacing w:line="480" w:lineRule="auto"/>
        <w:jc w:val="both"/>
        <w:rPr>
          <w:rFonts w:ascii="Times New Roman" w:hAnsi="Times New Roman" w:cs="Times New Roman"/>
          <w:lang w:eastAsia="en-GB"/>
        </w:rPr>
      </w:pPr>
    </w:p>
    <w:p w14:paraId="004E11B9" w14:textId="1D5ED33A" w:rsidR="00E24325" w:rsidRPr="00537A5B" w:rsidRDefault="00E24325" w:rsidP="00CA7220">
      <w:pPr>
        <w:spacing w:line="480" w:lineRule="auto"/>
        <w:jc w:val="both"/>
        <w:rPr>
          <w:rFonts w:ascii="Times New Roman" w:hAnsi="Times New Roman" w:cs="Times New Roman"/>
          <w:i/>
          <w:iCs/>
          <w:lang w:eastAsia="en-GB"/>
        </w:rPr>
      </w:pPr>
      <w:r w:rsidRPr="00537A5B">
        <w:rPr>
          <w:rFonts w:ascii="Times New Roman" w:hAnsi="Times New Roman" w:cs="Times New Roman"/>
          <w:i/>
          <w:iCs/>
          <w:lang w:eastAsia="en-GB"/>
        </w:rPr>
        <w:t xml:space="preserve">Accounting conservatism </w:t>
      </w:r>
    </w:p>
    <w:p w14:paraId="4E0A8527" w14:textId="77777777" w:rsidR="00E24325" w:rsidRPr="00785BF3" w:rsidRDefault="00E24325" w:rsidP="00CA7220">
      <w:pPr>
        <w:spacing w:line="480" w:lineRule="auto"/>
        <w:jc w:val="both"/>
        <w:rPr>
          <w:rFonts w:ascii="Times New Roman" w:hAnsi="Times New Roman" w:cs="Times New Roman"/>
          <w:lang w:eastAsia="en-GB"/>
        </w:rPr>
      </w:pPr>
    </w:p>
    <w:p w14:paraId="7CD1229E" w14:textId="457A18F2" w:rsidR="00E24325"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 xml:space="preserve">Accounting conservatism plays a pivotal role in shaping the </w:t>
      </w:r>
      <w:r w:rsidR="00313BEA">
        <w:rPr>
          <w:rFonts w:ascii="Times New Roman" w:hAnsi="Times New Roman" w:cs="Times New Roman"/>
          <w:lang w:eastAsia="en-GB"/>
        </w:rPr>
        <w:t>connection</w:t>
      </w:r>
      <w:r w:rsidRPr="00785BF3">
        <w:rPr>
          <w:rFonts w:ascii="Times New Roman" w:hAnsi="Times New Roman" w:cs="Times New Roman"/>
          <w:lang w:eastAsia="en-GB"/>
        </w:rPr>
        <w:t xml:space="preserve"> between fraud and dividend smoothing. </w:t>
      </w:r>
      <w:r w:rsidR="00313BEA">
        <w:rPr>
          <w:rFonts w:ascii="Times New Roman" w:hAnsi="Times New Roman" w:cs="Times New Roman"/>
          <w:lang w:eastAsia="en-GB"/>
        </w:rPr>
        <w:t>This concept</w:t>
      </w:r>
      <w:r w:rsidR="00F742B1">
        <w:rPr>
          <w:rFonts w:ascii="Times New Roman" w:hAnsi="Times New Roman" w:cs="Times New Roman"/>
          <w:lang w:eastAsia="en-GB"/>
        </w:rPr>
        <w:t>,</w:t>
      </w:r>
      <w:r w:rsidRPr="00785BF3">
        <w:rPr>
          <w:rFonts w:ascii="Times New Roman" w:hAnsi="Times New Roman" w:cs="Times New Roman"/>
          <w:lang w:eastAsia="en-GB"/>
        </w:rPr>
        <w:t xml:space="preserve"> which involves recogni</w:t>
      </w:r>
      <w:r w:rsidR="009571C7">
        <w:rPr>
          <w:rFonts w:ascii="Times New Roman" w:hAnsi="Times New Roman" w:cs="Times New Roman"/>
          <w:lang w:eastAsia="en-GB"/>
        </w:rPr>
        <w:t>s</w:t>
      </w:r>
      <w:r w:rsidRPr="00785BF3">
        <w:rPr>
          <w:rFonts w:ascii="Times New Roman" w:hAnsi="Times New Roman" w:cs="Times New Roman"/>
          <w:lang w:eastAsia="en-GB"/>
        </w:rPr>
        <w:t xml:space="preserve">ing losses and liabilities before </w:t>
      </w:r>
      <w:r w:rsidRPr="00B6637F">
        <w:rPr>
          <w:rFonts w:ascii="Times New Roman" w:hAnsi="Times New Roman" w:cs="Times New Roman"/>
          <w:lang w:eastAsia="en-GB"/>
        </w:rPr>
        <w:t>gains (Basu, 1997), serves</w:t>
      </w:r>
      <w:r w:rsidRPr="00785BF3">
        <w:rPr>
          <w:rFonts w:ascii="Times New Roman" w:hAnsi="Times New Roman" w:cs="Times New Roman"/>
          <w:lang w:eastAsia="en-GB"/>
        </w:rPr>
        <w:t xml:space="preserve"> as a method to prevent manipulation of earnings and deceptive financial reporting. According </w:t>
      </w:r>
      <w:r w:rsidRPr="00B6637F">
        <w:rPr>
          <w:rFonts w:ascii="Times New Roman" w:hAnsi="Times New Roman" w:cs="Times New Roman"/>
          <w:lang w:eastAsia="en-GB"/>
        </w:rPr>
        <w:t>to Biddle et al. (2022),</w:t>
      </w:r>
      <w:r w:rsidRPr="00785BF3">
        <w:rPr>
          <w:rFonts w:ascii="Times New Roman" w:hAnsi="Times New Roman" w:cs="Times New Roman"/>
          <w:lang w:eastAsia="en-GB"/>
        </w:rPr>
        <w:t xml:space="preserve"> conservative accounting practices restrict managers</w:t>
      </w:r>
      <w:r w:rsidR="00F742B1">
        <w:rPr>
          <w:rFonts w:ascii="Times New Roman" w:hAnsi="Times New Roman" w:cs="Times New Roman"/>
          <w:lang w:eastAsia="en-GB"/>
        </w:rPr>
        <w:t>’</w:t>
      </w:r>
      <w:r w:rsidRPr="00785BF3">
        <w:rPr>
          <w:rFonts w:ascii="Times New Roman" w:hAnsi="Times New Roman" w:cs="Times New Roman"/>
          <w:lang w:eastAsia="en-GB"/>
        </w:rPr>
        <w:t xml:space="preserve"> ability to manipulate earnings thereby reducing the likelihood of fraudulent reporting. Yet, this research primarily focuses on bankruptcy risk and thus may not encompass the effects of dividend smoothing. </w:t>
      </w:r>
      <w:proofErr w:type="spellStart"/>
      <w:r w:rsidRPr="00B6637F">
        <w:rPr>
          <w:rFonts w:ascii="Times New Roman" w:hAnsi="Times New Roman" w:cs="Times New Roman"/>
          <w:lang w:eastAsia="en-GB"/>
        </w:rPr>
        <w:t>Harakeh</w:t>
      </w:r>
      <w:proofErr w:type="spellEnd"/>
      <w:r w:rsidRPr="00B6637F">
        <w:rPr>
          <w:rFonts w:ascii="Times New Roman" w:hAnsi="Times New Roman" w:cs="Times New Roman"/>
          <w:lang w:eastAsia="en-GB"/>
        </w:rPr>
        <w:t xml:space="preserve"> (2017) supports</w:t>
      </w:r>
      <w:r w:rsidRPr="00785BF3">
        <w:rPr>
          <w:rFonts w:ascii="Times New Roman" w:hAnsi="Times New Roman" w:cs="Times New Roman"/>
          <w:lang w:eastAsia="en-GB"/>
        </w:rPr>
        <w:t xml:space="preserve"> this idea through his findings </w:t>
      </w:r>
      <w:r w:rsidR="0001090E">
        <w:rPr>
          <w:rFonts w:ascii="Times New Roman" w:hAnsi="Times New Roman" w:cs="Times New Roman"/>
          <w:lang w:eastAsia="en-GB"/>
        </w:rPr>
        <w:t>that</w:t>
      </w:r>
      <w:r w:rsidRPr="00785BF3">
        <w:rPr>
          <w:rFonts w:ascii="Times New Roman" w:hAnsi="Times New Roman" w:cs="Times New Roman"/>
          <w:lang w:eastAsia="en-GB"/>
        </w:rPr>
        <w:t xml:space="preserve"> firms with conservative accounting practices are less likely to engage in dividend smoothing </w:t>
      </w:r>
      <w:r w:rsidRPr="00785BF3">
        <w:rPr>
          <w:rFonts w:ascii="Times New Roman" w:hAnsi="Times New Roman" w:cs="Times New Roman"/>
          <w:lang w:eastAsia="en-GB"/>
        </w:rPr>
        <w:lastRenderedPageBreak/>
        <w:t xml:space="preserve">as a cover-up for poor financial performance. Nevertheless, </w:t>
      </w:r>
      <w:proofErr w:type="spellStart"/>
      <w:r w:rsidRPr="00785BF3">
        <w:rPr>
          <w:rFonts w:ascii="Times New Roman" w:hAnsi="Times New Roman" w:cs="Times New Roman"/>
          <w:lang w:eastAsia="en-GB"/>
        </w:rPr>
        <w:t>Harakeh’s</w:t>
      </w:r>
      <w:proofErr w:type="spellEnd"/>
      <w:r w:rsidRPr="00785BF3">
        <w:rPr>
          <w:rFonts w:ascii="Times New Roman" w:hAnsi="Times New Roman" w:cs="Times New Roman"/>
          <w:lang w:eastAsia="en-GB"/>
        </w:rPr>
        <w:t xml:space="preserve"> study primarily addresses the effects of IFRS on dividend policies in code-law countries, which may limit the generali</w:t>
      </w:r>
      <w:r w:rsidR="009571C7">
        <w:rPr>
          <w:rFonts w:ascii="Times New Roman" w:hAnsi="Times New Roman" w:cs="Times New Roman"/>
          <w:lang w:eastAsia="en-GB"/>
        </w:rPr>
        <w:t>sa</w:t>
      </w:r>
      <w:r w:rsidRPr="00785BF3">
        <w:rPr>
          <w:rFonts w:ascii="Times New Roman" w:hAnsi="Times New Roman" w:cs="Times New Roman"/>
          <w:lang w:eastAsia="en-GB"/>
        </w:rPr>
        <w:t xml:space="preserve">bility of </w:t>
      </w:r>
      <w:r w:rsidR="009571C7">
        <w:rPr>
          <w:rFonts w:ascii="Times New Roman" w:hAnsi="Times New Roman" w:cs="Times New Roman"/>
          <w:lang w:eastAsia="en-GB"/>
        </w:rPr>
        <w:t>these</w:t>
      </w:r>
      <w:r w:rsidRPr="00785BF3">
        <w:rPr>
          <w:rFonts w:ascii="Times New Roman" w:hAnsi="Times New Roman" w:cs="Times New Roman"/>
          <w:lang w:eastAsia="en-GB"/>
        </w:rPr>
        <w:t xml:space="preserve"> findings to other contexts. By applying conservative principles, financial statements present a more accurate and realistic </w:t>
      </w:r>
      <w:r w:rsidR="0001090E">
        <w:rPr>
          <w:rFonts w:ascii="Times New Roman" w:hAnsi="Times New Roman" w:cs="Times New Roman"/>
          <w:lang w:eastAsia="en-GB"/>
        </w:rPr>
        <w:t>image</w:t>
      </w:r>
      <w:r w:rsidRPr="00785BF3">
        <w:rPr>
          <w:rFonts w:ascii="Times New Roman" w:hAnsi="Times New Roman" w:cs="Times New Roman"/>
          <w:lang w:eastAsia="en-GB"/>
        </w:rPr>
        <w:t xml:space="preserve"> of a company’s financial health, thereby discouraging the use of dividends to mislead investors.</w:t>
      </w:r>
    </w:p>
    <w:p w14:paraId="054E6434" w14:textId="77777777" w:rsidR="00903F21" w:rsidRPr="00785BF3" w:rsidRDefault="00903F21" w:rsidP="00CA7220">
      <w:pPr>
        <w:spacing w:line="480" w:lineRule="auto"/>
        <w:jc w:val="both"/>
        <w:rPr>
          <w:rFonts w:ascii="Times New Roman" w:hAnsi="Times New Roman" w:cs="Times New Roman"/>
          <w:lang w:eastAsia="en-GB"/>
        </w:rPr>
      </w:pPr>
    </w:p>
    <w:p w14:paraId="45C90A66" w14:textId="4A68621A"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 xml:space="preserve">Research </w:t>
      </w:r>
      <w:r w:rsidRPr="00B6637F">
        <w:rPr>
          <w:rFonts w:ascii="Times New Roman" w:hAnsi="Times New Roman" w:cs="Times New Roman"/>
          <w:lang w:eastAsia="en-GB"/>
        </w:rPr>
        <w:t>by Beasley (1996) indicates that</w:t>
      </w:r>
      <w:r w:rsidRPr="00785BF3">
        <w:rPr>
          <w:rFonts w:ascii="Times New Roman" w:hAnsi="Times New Roman" w:cs="Times New Roman"/>
          <w:lang w:eastAsia="en-GB"/>
        </w:rPr>
        <w:t xml:space="preserve"> companies implementing controls and conservative accounting methods are less likely to experience financial statement fraud. This implies that conservatism not only acts as a deterrent to fraud but also decreases the use of dividend smoothing as a tactic, consistent with the </w:t>
      </w:r>
      <w:r w:rsidRPr="00B6637F">
        <w:rPr>
          <w:rFonts w:ascii="Times New Roman" w:hAnsi="Times New Roman" w:cs="Times New Roman"/>
          <w:lang w:eastAsia="en-GB"/>
        </w:rPr>
        <w:t xml:space="preserve">research of </w:t>
      </w:r>
      <w:proofErr w:type="spellStart"/>
      <w:r w:rsidRPr="00B6637F">
        <w:rPr>
          <w:rFonts w:ascii="Times New Roman" w:hAnsi="Times New Roman" w:cs="Times New Roman"/>
          <w:lang w:eastAsia="en-GB"/>
        </w:rPr>
        <w:t>Rezaee</w:t>
      </w:r>
      <w:proofErr w:type="spellEnd"/>
      <w:r w:rsidRPr="00B6637F">
        <w:rPr>
          <w:rFonts w:ascii="Times New Roman" w:hAnsi="Times New Roman" w:cs="Times New Roman"/>
          <w:lang w:eastAsia="en-GB"/>
        </w:rPr>
        <w:t xml:space="preserve"> (2005).</w:t>
      </w:r>
      <w:r w:rsidR="00903F21">
        <w:rPr>
          <w:rFonts w:ascii="Times New Roman" w:hAnsi="Times New Roman" w:cs="Times New Roman"/>
          <w:lang w:eastAsia="en-GB"/>
        </w:rPr>
        <w:t xml:space="preserve"> </w:t>
      </w:r>
      <w:r w:rsidRPr="00785BF3">
        <w:rPr>
          <w:rFonts w:ascii="Times New Roman" w:hAnsi="Times New Roman" w:cs="Times New Roman"/>
          <w:lang w:eastAsia="en-GB"/>
        </w:rPr>
        <w:t xml:space="preserve">Later studies </w:t>
      </w:r>
      <w:r w:rsidRPr="00B6637F">
        <w:rPr>
          <w:rFonts w:ascii="Times New Roman" w:hAnsi="Times New Roman" w:cs="Times New Roman"/>
          <w:lang w:eastAsia="en-GB"/>
        </w:rPr>
        <w:t>such as Armstrong et al. (2010) emphasises</w:t>
      </w:r>
      <w:r w:rsidRPr="00785BF3">
        <w:rPr>
          <w:rFonts w:ascii="Times New Roman" w:hAnsi="Times New Roman" w:cs="Times New Roman"/>
          <w:lang w:eastAsia="en-GB"/>
        </w:rPr>
        <w:t xml:space="preserve"> that conservative accounting can enhance the credibility of financial reports, thereby increasing investor trust which is important as investors heavily rely on data to </w:t>
      </w:r>
      <w:r w:rsidRPr="00B6637F">
        <w:rPr>
          <w:rFonts w:ascii="Times New Roman" w:hAnsi="Times New Roman" w:cs="Times New Roman"/>
          <w:lang w:eastAsia="en-GB"/>
        </w:rPr>
        <w:t>guide their decision</w:t>
      </w:r>
      <w:r w:rsidR="00F742B1">
        <w:rPr>
          <w:rFonts w:ascii="Times New Roman" w:hAnsi="Times New Roman" w:cs="Times New Roman"/>
          <w:lang w:eastAsia="en-GB"/>
        </w:rPr>
        <w:t>-</w:t>
      </w:r>
      <w:r w:rsidRPr="00B6637F">
        <w:rPr>
          <w:rFonts w:ascii="Times New Roman" w:hAnsi="Times New Roman" w:cs="Times New Roman"/>
          <w:lang w:eastAsia="en-GB"/>
        </w:rPr>
        <w:t xml:space="preserve">making process. These findings align with </w:t>
      </w:r>
      <w:proofErr w:type="spellStart"/>
      <w:r w:rsidRPr="00B6637F">
        <w:rPr>
          <w:rFonts w:ascii="Times New Roman" w:hAnsi="Times New Roman" w:cs="Times New Roman"/>
          <w:lang w:eastAsia="en-GB"/>
        </w:rPr>
        <w:t>Widiatmoko</w:t>
      </w:r>
      <w:proofErr w:type="spellEnd"/>
      <w:r w:rsidRPr="00B6637F">
        <w:rPr>
          <w:rFonts w:ascii="Times New Roman" w:hAnsi="Times New Roman" w:cs="Times New Roman"/>
          <w:lang w:eastAsia="en-GB"/>
        </w:rPr>
        <w:t xml:space="preserve"> et al</w:t>
      </w:r>
      <w:r w:rsidR="00083C5F">
        <w:rPr>
          <w:rFonts w:ascii="Times New Roman" w:hAnsi="Times New Roman" w:cs="Times New Roman"/>
          <w:lang w:eastAsia="en-GB"/>
        </w:rPr>
        <w:t>.</w:t>
      </w:r>
      <w:r w:rsidRPr="00B6637F">
        <w:rPr>
          <w:rFonts w:ascii="Times New Roman" w:hAnsi="Times New Roman" w:cs="Times New Roman"/>
          <w:lang w:eastAsia="en-GB"/>
        </w:rPr>
        <w:t xml:space="preserve"> (2023) research</w:t>
      </w:r>
      <w:r w:rsidRPr="00785BF3">
        <w:rPr>
          <w:rFonts w:ascii="Times New Roman" w:hAnsi="Times New Roman" w:cs="Times New Roman"/>
          <w:lang w:eastAsia="en-GB"/>
        </w:rPr>
        <w:t xml:space="preserve"> showing that firms emphasi</w:t>
      </w:r>
      <w:r w:rsidR="005D60D9">
        <w:rPr>
          <w:rFonts w:ascii="Times New Roman" w:hAnsi="Times New Roman" w:cs="Times New Roman"/>
          <w:lang w:eastAsia="en-GB"/>
        </w:rPr>
        <w:t>s</w:t>
      </w:r>
      <w:r w:rsidRPr="00785BF3">
        <w:rPr>
          <w:rFonts w:ascii="Times New Roman" w:hAnsi="Times New Roman" w:cs="Times New Roman"/>
          <w:lang w:eastAsia="en-GB"/>
        </w:rPr>
        <w:t xml:space="preserve">ing accounting conservatism tend to avoid smoothing dividends indicating a reluctance to manipulate earnings for meeting dividend expectations. </w:t>
      </w:r>
      <w:r w:rsidR="00903F21">
        <w:rPr>
          <w:rFonts w:ascii="Times New Roman" w:hAnsi="Times New Roman" w:cs="Times New Roman"/>
          <w:lang w:eastAsia="en-GB"/>
        </w:rPr>
        <w:t xml:space="preserve"> </w:t>
      </w:r>
      <w:r w:rsidRPr="00785BF3">
        <w:rPr>
          <w:rFonts w:ascii="Times New Roman" w:hAnsi="Times New Roman" w:cs="Times New Roman"/>
          <w:lang w:eastAsia="en-GB"/>
        </w:rPr>
        <w:t xml:space="preserve">The collective body of literature </w:t>
      </w:r>
      <w:r w:rsidR="005D60D9">
        <w:rPr>
          <w:rFonts w:ascii="Times New Roman" w:hAnsi="Times New Roman" w:cs="Times New Roman"/>
          <w:lang w:eastAsia="en-GB"/>
        </w:rPr>
        <w:t>highlights</w:t>
      </w:r>
      <w:r w:rsidRPr="00785BF3">
        <w:rPr>
          <w:rFonts w:ascii="Times New Roman" w:hAnsi="Times New Roman" w:cs="Times New Roman"/>
          <w:lang w:eastAsia="en-GB"/>
        </w:rPr>
        <w:t xml:space="preserve"> the role of accounting conservatism, in promoting transparency and mitigating the risks associated with accounting fraud and manipulative dividend smoothing practices</w:t>
      </w:r>
    </w:p>
    <w:p w14:paraId="5FE83B79" w14:textId="77777777" w:rsidR="00E24325" w:rsidRPr="00785BF3" w:rsidRDefault="00E24325" w:rsidP="00CA7220">
      <w:pPr>
        <w:spacing w:line="480" w:lineRule="auto"/>
        <w:jc w:val="both"/>
        <w:rPr>
          <w:rFonts w:ascii="Times New Roman" w:hAnsi="Times New Roman" w:cs="Times New Roman"/>
          <w:b/>
          <w:bCs/>
          <w:lang w:eastAsia="en-GB"/>
        </w:rPr>
      </w:pPr>
    </w:p>
    <w:p w14:paraId="6B3E7B47" w14:textId="77ABE222"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 xml:space="preserve">This literature review has explored the relationship accounting fraud and dividend smoothing, </w:t>
      </w:r>
      <w:r w:rsidR="005456C8" w:rsidRPr="00785BF3">
        <w:rPr>
          <w:rFonts w:ascii="Times New Roman" w:hAnsi="Times New Roman" w:cs="Times New Roman"/>
          <w:lang w:eastAsia="en-GB"/>
        </w:rPr>
        <w:t>delving</w:t>
      </w:r>
      <w:r w:rsidRPr="00785BF3">
        <w:rPr>
          <w:rFonts w:ascii="Times New Roman" w:hAnsi="Times New Roman" w:cs="Times New Roman"/>
          <w:lang w:eastAsia="en-GB"/>
        </w:rPr>
        <w:t xml:space="preserve"> into various themes of dividend decisions, concealing financial weakness, shareholder expectations, maintaining investor confidence, corporate governance</w:t>
      </w:r>
      <w:r w:rsidR="00B82C90">
        <w:rPr>
          <w:rFonts w:ascii="Times New Roman" w:hAnsi="Times New Roman" w:cs="Times New Roman"/>
          <w:lang w:eastAsia="en-GB"/>
        </w:rPr>
        <w:t>,</w:t>
      </w:r>
      <w:r w:rsidRPr="00785BF3">
        <w:rPr>
          <w:rFonts w:ascii="Times New Roman" w:hAnsi="Times New Roman" w:cs="Times New Roman"/>
          <w:lang w:eastAsia="en-GB"/>
        </w:rPr>
        <w:t xml:space="preserve"> and accounting conservatism. Notable mentions include the seminal work of Lintner (1956) and Fama and </w:t>
      </w:r>
      <w:proofErr w:type="spellStart"/>
      <w:r w:rsidRPr="00785BF3">
        <w:rPr>
          <w:rFonts w:ascii="Times New Roman" w:hAnsi="Times New Roman" w:cs="Times New Roman"/>
          <w:lang w:eastAsia="en-GB"/>
        </w:rPr>
        <w:t>Babiak</w:t>
      </w:r>
      <w:proofErr w:type="spellEnd"/>
      <w:r w:rsidRPr="00785BF3">
        <w:rPr>
          <w:rFonts w:ascii="Times New Roman" w:hAnsi="Times New Roman" w:cs="Times New Roman"/>
          <w:lang w:eastAsia="en-GB"/>
        </w:rPr>
        <w:t xml:space="preserve"> (1968) on dividend smoothing, the implications of agency theory and information asymmetry as discussed </w:t>
      </w:r>
      <w:r w:rsidRPr="00B6637F">
        <w:rPr>
          <w:rFonts w:ascii="Times New Roman" w:hAnsi="Times New Roman" w:cs="Times New Roman"/>
          <w:lang w:eastAsia="en-GB"/>
        </w:rPr>
        <w:t xml:space="preserve">by Jensen and </w:t>
      </w:r>
      <w:proofErr w:type="spellStart"/>
      <w:r w:rsidRPr="00B6637F">
        <w:rPr>
          <w:rFonts w:ascii="Times New Roman" w:hAnsi="Times New Roman" w:cs="Times New Roman"/>
          <w:lang w:eastAsia="en-GB"/>
        </w:rPr>
        <w:t>Meckling</w:t>
      </w:r>
      <w:proofErr w:type="spellEnd"/>
      <w:r w:rsidRPr="00B6637F">
        <w:rPr>
          <w:rFonts w:ascii="Times New Roman" w:hAnsi="Times New Roman" w:cs="Times New Roman"/>
          <w:lang w:eastAsia="en-GB"/>
        </w:rPr>
        <w:t xml:space="preserve"> (1976) and Bhattacharya (1979)</w:t>
      </w:r>
      <w:r w:rsidRPr="00785BF3">
        <w:rPr>
          <w:rFonts w:ascii="Times New Roman" w:hAnsi="Times New Roman" w:cs="Times New Roman"/>
          <w:lang w:eastAsia="en-GB"/>
        </w:rPr>
        <w:t xml:space="preserve"> and the </w:t>
      </w:r>
      <w:r w:rsidRPr="00785BF3">
        <w:rPr>
          <w:rFonts w:ascii="Times New Roman" w:hAnsi="Times New Roman" w:cs="Times New Roman"/>
          <w:lang w:eastAsia="en-GB"/>
        </w:rPr>
        <w:lastRenderedPageBreak/>
        <w:t xml:space="preserve">critical role of corporate governance in mitigating fraud risks as highlighted by Leary and </w:t>
      </w:r>
      <w:proofErr w:type="spellStart"/>
      <w:r w:rsidRPr="00785BF3">
        <w:rPr>
          <w:rFonts w:ascii="Times New Roman" w:hAnsi="Times New Roman" w:cs="Times New Roman"/>
          <w:lang w:eastAsia="en-GB"/>
        </w:rPr>
        <w:t>Michaely</w:t>
      </w:r>
      <w:proofErr w:type="spellEnd"/>
      <w:r w:rsidRPr="00785BF3">
        <w:rPr>
          <w:rFonts w:ascii="Times New Roman" w:hAnsi="Times New Roman" w:cs="Times New Roman"/>
          <w:lang w:eastAsia="en-GB"/>
        </w:rPr>
        <w:t xml:space="preserve"> (2011) and Knyazeva and Knyazeva (2014).</w:t>
      </w:r>
      <w:r w:rsidR="004E76A6" w:rsidRPr="00785BF3">
        <w:rPr>
          <w:rFonts w:ascii="Times New Roman" w:hAnsi="Times New Roman" w:cs="Times New Roman"/>
          <w:lang w:eastAsia="en-GB"/>
        </w:rPr>
        <w:t xml:space="preserve"> </w:t>
      </w:r>
      <w:r w:rsidRPr="00785BF3">
        <w:rPr>
          <w:rFonts w:ascii="Times New Roman" w:hAnsi="Times New Roman" w:cs="Times New Roman"/>
          <w:lang w:eastAsia="en-GB"/>
        </w:rPr>
        <w:t xml:space="preserve">This review also </w:t>
      </w:r>
      <w:r w:rsidRPr="00B6637F">
        <w:rPr>
          <w:rFonts w:ascii="Times New Roman" w:hAnsi="Times New Roman" w:cs="Times New Roman"/>
          <w:lang w:eastAsia="en-GB"/>
        </w:rPr>
        <w:t>emphasises how accounting conservatism acts as a deterrent to fraudulent practices, supported by Basu (1997) and Biddle et al. (2022).</w:t>
      </w:r>
      <w:r w:rsidRPr="00785BF3">
        <w:rPr>
          <w:rFonts w:ascii="Times New Roman" w:hAnsi="Times New Roman" w:cs="Times New Roman"/>
          <w:lang w:eastAsia="en-GB"/>
        </w:rPr>
        <w:br/>
      </w:r>
    </w:p>
    <w:p w14:paraId="570C4954" w14:textId="77777777" w:rsidR="00E24325"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t>This research is pivotal for filling the identifies gap in literature that links accounting fraud with dividend smoothing. While past studies have looked at these concepts separately, their connection remains largely unexplored. By examining how fraudulent behaviours impact dividend tactics concerning governance practices and conservative accounting methods, this study aims to provide a comprehensive insight into financial reporting practices and provide valuable insights, for regulators, auditors and corporate managers seeking to improve transparency and mitigate fraud.</w:t>
      </w:r>
    </w:p>
    <w:p w14:paraId="7D03FD2F" w14:textId="7E05519A" w:rsidR="004E76A6" w:rsidRPr="00785BF3" w:rsidRDefault="00E24325" w:rsidP="00CA7220">
      <w:pPr>
        <w:spacing w:line="480" w:lineRule="auto"/>
        <w:jc w:val="both"/>
        <w:rPr>
          <w:rFonts w:ascii="Times New Roman" w:hAnsi="Times New Roman" w:cs="Times New Roman"/>
          <w:lang w:eastAsia="en-GB"/>
        </w:rPr>
      </w:pPr>
      <w:r w:rsidRPr="00785BF3">
        <w:rPr>
          <w:rFonts w:ascii="Times New Roman" w:hAnsi="Times New Roman" w:cs="Times New Roman"/>
          <w:lang w:eastAsia="en-GB"/>
        </w:rPr>
        <w:br/>
        <w:t>The following stages of this study will involve creating hypotheses that will be used to test the link between accounting fraud and dividend smoothing. Methodologically, quantitative data will be obtained from a range of U.S. companies. By combining real world evidence with frameworks, this study aims to clarify how accounting fraud impacts dividend practices.</w:t>
      </w:r>
    </w:p>
    <w:p w14:paraId="0A9A5A7E" w14:textId="30E7B164" w:rsidR="00E24325" w:rsidRPr="00742B4A" w:rsidRDefault="00E2432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3" w:name="_Toc167763032"/>
      <w:r w:rsidRPr="00742B4A">
        <w:rPr>
          <w:rFonts w:ascii="Times New Roman" w:eastAsia="Times New Roman" w:hAnsi="Times New Roman" w:cs="Times New Roman"/>
          <w:b/>
          <w:bCs/>
          <w:color w:val="auto"/>
          <w:sz w:val="24"/>
          <w:szCs w:val="24"/>
          <w:lang w:eastAsia="en-GB"/>
        </w:rPr>
        <w:t>Hypotheses Development</w:t>
      </w:r>
      <w:bookmarkEnd w:id="3"/>
      <w:r w:rsidRPr="00742B4A">
        <w:rPr>
          <w:rFonts w:ascii="Times New Roman" w:eastAsia="Times New Roman" w:hAnsi="Times New Roman" w:cs="Times New Roman"/>
          <w:b/>
          <w:bCs/>
          <w:color w:val="auto"/>
          <w:sz w:val="24"/>
          <w:szCs w:val="24"/>
          <w:lang w:eastAsia="en-GB"/>
        </w:rPr>
        <w:t xml:space="preserve"> </w:t>
      </w:r>
    </w:p>
    <w:p w14:paraId="4317DD9E" w14:textId="77777777" w:rsidR="00E24325" w:rsidRPr="00785BF3" w:rsidRDefault="00E24325" w:rsidP="00CA7220">
      <w:pPr>
        <w:spacing w:line="480" w:lineRule="auto"/>
        <w:jc w:val="both"/>
        <w:rPr>
          <w:rFonts w:ascii="Times New Roman" w:hAnsi="Times New Roman" w:cs="Times New Roman"/>
          <w:lang w:eastAsia="en-GB"/>
        </w:rPr>
      </w:pPr>
    </w:p>
    <w:p w14:paraId="25CA9218" w14:textId="6A9BF17B" w:rsidR="00E24325"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t xml:space="preserve">This section outlines the development of hypotheses based on the literature review. The hypotheses aim to explore the </w:t>
      </w:r>
      <w:r w:rsidR="0001090E">
        <w:rPr>
          <w:rFonts w:ascii="Times New Roman" w:hAnsi="Times New Roman" w:cs="Times New Roman"/>
        </w:rPr>
        <w:t>correlation</w:t>
      </w:r>
      <w:r w:rsidRPr="00785BF3">
        <w:rPr>
          <w:rFonts w:ascii="Times New Roman" w:hAnsi="Times New Roman" w:cs="Times New Roman"/>
        </w:rPr>
        <w:t xml:space="preserve"> between accounting fraud and dividend smoothing, the influence of corporate governance, and the impact of accounting conservatism.</w:t>
      </w:r>
      <w:r w:rsidR="0032050B">
        <w:rPr>
          <w:rFonts w:ascii="Times New Roman" w:hAnsi="Times New Roman" w:cs="Times New Roman"/>
        </w:rPr>
        <w:t xml:space="preserve"> These hypotheses are empirically </w:t>
      </w:r>
      <w:r w:rsidR="009571C7">
        <w:rPr>
          <w:rFonts w:ascii="Times New Roman" w:hAnsi="Times New Roman" w:cs="Times New Roman"/>
        </w:rPr>
        <w:t xml:space="preserve">tested </w:t>
      </w:r>
      <w:r w:rsidR="0032050B">
        <w:rPr>
          <w:rFonts w:ascii="Times New Roman" w:hAnsi="Times New Roman" w:cs="Times New Roman"/>
        </w:rPr>
        <w:t>to prove or disprove my assumptions.</w:t>
      </w:r>
    </w:p>
    <w:p w14:paraId="675365ED" w14:textId="77777777" w:rsidR="00E24325" w:rsidRPr="00785BF3" w:rsidRDefault="00E24325" w:rsidP="00CA7220">
      <w:pPr>
        <w:spacing w:line="480" w:lineRule="auto"/>
        <w:jc w:val="both"/>
        <w:rPr>
          <w:rFonts w:ascii="Times New Roman" w:hAnsi="Times New Roman" w:cs="Times New Roman"/>
        </w:rPr>
      </w:pPr>
    </w:p>
    <w:p w14:paraId="057A32AE" w14:textId="3E4D5882" w:rsidR="00E24325" w:rsidRPr="00742B4A" w:rsidRDefault="00742B4A" w:rsidP="00CA7220">
      <w:pPr>
        <w:pStyle w:val="Heading2"/>
        <w:spacing w:line="480" w:lineRule="auto"/>
        <w:jc w:val="both"/>
        <w:rPr>
          <w:rFonts w:ascii="Times New Roman" w:hAnsi="Times New Roman" w:cs="Times New Roman"/>
          <w:color w:val="auto"/>
          <w:sz w:val="24"/>
          <w:szCs w:val="24"/>
        </w:rPr>
      </w:pPr>
      <w:bookmarkStart w:id="4" w:name="_Toc167763033"/>
      <w:r w:rsidRPr="00742B4A">
        <w:rPr>
          <w:rFonts w:ascii="Times New Roman" w:hAnsi="Times New Roman" w:cs="Times New Roman"/>
          <w:color w:val="auto"/>
          <w:sz w:val="24"/>
          <w:szCs w:val="24"/>
        </w:rPr>
        <w:lastRenderedPageBreak/>
        <w:t xml:space="preserve">3.1 </w:t>
      </w:r>
      <w:r w:rsidR="00E24325" w:rsidRPr="00742B4A">
        <w:rPr>
          <w:rFonts w:ascii="Times New Roman" w:hAnsi="Times New Roman" w:cs="Times New Roman"/>
          <w:color w:val="auto"/>
          <w:sz w:val="24"/>
          <w:szCs w:val="24"/>
        </w:rPr>
        <w:t>Accounting Fraud and Dividend Smoothing</w:t>
      </w:r>
      <w:bookmarkEnd w:id="4"/>
    </w:p>
    <w:p w14:paraId="3BF7012C" w14:textId="77777777" w:rsidR="00E24325" w:rsidRPr="00785BF3" w:rsidRDefault="00E24325" w:rsidP="00CA7220">
      <w:pPr>
        <w:spacing w:line="480" w:lineRule="auto"/>
        <w:jc w:val="both"/>
        <w:rPr>
          <w:rFonts w:ascii="Times New Roman" w:hAnsi="Times New Roman" w:cs="Times New Roman"/>
        </w:rPr>
      </w:pPr>
    </w:p>
    <w:p w14:paraId="023C7703" w14:textId="78734F60" w:rsidR="00E24325" w:rsidRDefault="00E24325" w:rsidP="00CA7220">
      <w:pPr>
        <w:spacing w:line="480" w:lineRule="auto"/>
        <w:jc w:val="both"/>
        <w:rPr>
          <w:rFonts w:ascii="Times New Roman" w:hAnsi="Times New Roman" w:cs="Times New Roman"/>
        </w:rPr>
      </w:pPr>
      <w:r w:rsidRPr="00785BF3">
        <w:rPr>
          <w:rFonts w:ascii="Times New Roman" w:hAnsi="Times New Roman" w:cs="Times New Roman"/>
        </w:rPr>
        <w:t>Prior literature, (Fama and Babiak,1968; Lintner, 1956), has established that firms often smooth dividends to reassure investors of their financial stability. Similarly, fraudulent firms may manipulate earnings to present a stable dividend payout, masking underlying financial instability (</w:t>
      </w:r>
      <w:proofErr w:type="spellStart"/>
      <w:r w:rsidRPr="00785BF3">
        <w:rPr>
          <w:rFonts w:ascii="Times New Roman" w:hAnsi="Times New Roman" w:cs="Times New Roman"/>
        </w:rPr>
        <w:t>Beneish</w:t>
      </w:r>
      <w:proofErr w:type="spellEnd"/>
      <w:r w:rsidRPr="00785BF3">
        <w:rPr>
          <w:rFonts w:ascii="Times New Roman" w:hAnsi="Times New Roman" w:cs="Times New Roman"/>
        </w:rPr>
        <w:t xml:space="preserve">, 1999; Cressey, 1953; Lou and Wang, 2009). Given this context, </w:t>
      </w:r>
      <w:r w:rsidR="0001090E">
        <w:rPr>
          <w:rFonts w:ascii="Times New Roman" w:hAnsi="Times New Roman" w:cs="Times New Roman"/>
        </w:rPr>
        <w:t>I create my first hypothesis:</w:t>
      </w:r>
    </w:p>
    <w:p w14:paraId="2B095E26" w14:textId="77777777" w:rsidR="0001090E" w:rsidRPr="00785BF3" w:rsidRDefault="0001090E" w:rsidP="00CA7220">
      <w:pPr>
        <w:spacing w:line="480" w:lineRule="auto"/>
        <w:jc w:val="both"/>
        <w:rPr>
          <w:rFonts w:ascii="Times New Roman" w:hAnsi="Times New Roman" w:cs="Times New Roman"/>
        </w:rPr>
      </w:pPr>
    </w:p>
    <w:p w14:paraId="64AE5BA5" w14:textId="77777777" w:rsidR="00E24325" w:rsidRPr="00785BF3" w:rsidRDefault="00E24325" w:rsidP="00CA7220">
      <w:pPr>
        <w:spacing w:line="480" w:lineRule="auto"/>
        <w:jc w:val="both"/>
        <w:rPr>
          <w:rFonts w:ascii="Times New Roman" w:hAnsi="Times New Roman" w:cs="Times New Roman"/>
          <w:b/>
          <w:bCs/>
        </w:rPr>
      </w:pPr>
      <w:r w:rsidRPr="00785BF3">
        <w:rPr>
          <w:rFonts w:ascii="Times New Roman" w:hAnsi="Times New Roman" w:cs="Times New Roman"/>
          <w:b/>
          <w:bCs/>
        </w:rPr>
        <w:t xml:space="preserve">H1: </w:t>
      </w:r>
      <w:r w:rsidRPr="00742B4A">
        <w:rPr>
          <w:rFonts w:ascii="Times New Roman" w:hAnsi="Times New Roman" w:cs="Times New Roman"/>
        </w:rPr>
        <w:t>The presence of accounting fraud is positively correlated with dividend smoothing practices.</w:t>
      </w:r>
    </w:p>
    <w:p w14:paraId="0FFEB392" w14:textId="77777777" w:rsidR="00E24325" w:rsidRPr="00785BF3" w:rsidRDefault="00E24325" w:rsidP="00CA7220">
      <w:pPr>
        <w:spacing w:line="480" w:lineRule="auto"/>
        <w:jc w:val="both"/>
        <w:rPr>
          <w:rFonts w:ascii="Times New Roman" w:hAnsi="Times New Roman" w:cs="Times New Roman"/>
        </w:rPr>
      </w:pPr>
    </w:p>
    <w:p w14:paraId="393B9E5D" w14:textId="42B2884A" w:rsidR="00E24325" w:rsidRPr="00742B4A" w:rsidRDefault="00742B4A" w:rsidP="00CA7220">
      <w:pPr>
        <w:pStyle w:val="Heading2"/>
        <w:spacing w:line="480" w:lineRule="auto"/>
        <w:jc w:val="both"/>
        <w:rPr>
          <w:rFonts w:ascii="Times New Roman" w:hAnsi="Times New Roman" w:cs="Times New Roman"/>
          <w:color w:val="auto"/>
          <w:sz w:val="24"/>
          <w:szCs w:val="24"/>
        </w:rPr>
      </w:pPr>
      <w:bookmarkStart w:id="5" w:name="_Toc167763034"/>
      <w:r w:rsidRPr="00742B4A">
        <w:rPr>
          <w:rFonts w:ascii="Times New Roman" w:hAnsi="Times New Roman" w:cs="Times New Roman"/>
          <w:color w:val="auto"/>
          <w:sz w:val="24"/>
          <w:szCs w:val="24"/>
        </w:rPr>
        <w:t xml:space="preserve">3.2 </w:t>
      </w:r>
      <w:r w:rsidR="00E24325" w:rsidRPr="00742B4A">
        <w:rPr>
          <w:rFonts w:ascii="Times New Roman" w:hAnsi="Times New Roman" w:cs="Times New Roman"/>
          <w:color w:val="auto"/>
          <w:sz w:val="24"/>
          <w:szCs w:val="24"/>
        </w:rPr>
        <w:t>Corporate Governance, Fraud and Dividend Smoothing</w:t>
      </w:r>
      <w:bookmarkEnd w:id="5"/>
    </w:p>
    <w:p w14:paraId="3F3723B6" w14:textId="77777777" w:rsidR="00E24325" w:rsidRPr="00785BF3" w:rsidRDefault="00E24325" w:rsidP="00CA7220">
      <w:pPr>
        <w:spacing w:line="480" w:lineRule="auto"/>
        <w:jc w:val="both"/>
        <w:rPr>
          <w:rFonts w:ascii="Times New Roman" w:hAnsi="Times New Roman" w:cs="Times New Roman"/>
          <w:b/>
          <w:bCs/>
        </w:rPr>
      </w:pPr>
    </w:p>
    <w:p w14:paraId="4161D35C" w14:textId="442D82A7" w:rsidR="00E24325"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t>Corporate governance plays a crucial role in mitigating fraudulent activities and ensuring transparent financial practices. Prior Studies (</w:t>
      </w:r>
      <w:proofErr w:type="spellStart"/>
      <w:r w:rsidRPr="00785BF3">
        <w:rPr>
          <w:rFonts w:ascii="Times New Roman" w:hAnsi="Times New Roman" w:cs="Times New Roman"/>
        </w:rPr>
        <w:t>Gerety</w:t>
      </w:r>
      <w:proofErr w:type="spellEnd"/>
      <w:r w:rsidRPr="00785BF3">
        <w:rPr>
          <w:rFonts w:ascii="Times New Roman" w:hAnsi="Times New Roman" w:cs="Times New Roman"/>
        </w:rPr>
        <w:t xml:space="preserve"> and Lehn, 1997; Leary and Michaely, 2011) highlight that firms with weak governance structures are more likely to engage in dividend smoothing and engage in fraudulent activities. Conversely, strong governance mechanisms (Dyck, Morse, and Zingales, 2010; </w:t>
      </w:r>
      <w:proofErr w:type="spellStart"/>
      <w:r w:rsidRPr="00785BF3">
        <w:rPr>
          <w:rFonts w:ascii="Times New Roman" w:hAnsi="Times New Roman" w:cs="Times New Roman"/>
        </w:rPr>
        <w:t>Tutino</w:t>
      </w:r>
      <w:proofErr w:type="spellEnd"/>
      <w:r w:rsidRPr="00785BF3">
        <w:rPr>
          <w:rFonts w:ascii="Times New Roman" w:hAnsi="Times New Roman" w:cs="Times New Roman"/>
        </w:rPr>
        <w:t xml:space="preserve"> and Merlo, 2019) are effective in detecting and preventing fraud. These insights lead to the second hypothesis:</w:t>
      </w:r>
    </w:p>
    <w:p w14:paraId="60F64CE2" w14:textId="77777777" w:rsidR="00E24325" w:rsidRPr="00785BF3" w:rsidRDefault="00E24325" w:rsidP="00CA7220">
      <w:pPr>
        <w:spacing w:line="480" w:lineRule="auto"/>
        <w:jc w:val="both"/>
        <w:rPr>
          <w:rFonts w:ascii="Times New Roman" w:hAnsi="Times New Roman" w:cs="Times New Roman"/>
        </w:rPr>
      </w:pPr>
    </w:p>
    <w:p w14:paraId="63F0597C" w14:textId="77777777" w:rsidR="00E24325" w:rsidRPr="00785BF3" w:rsidRDefault="00E24325" w:rsidP="00CA7220">
      <w:pPr>
        <w:spacing w:line="480" w:lineRule="auto"/>
        <w:jc w:val="both"/>
        <w:rPr>
          <w:rFonts w:ascii="Times New Roman" w:hAnsi="Times New Roman" w:cs="Times New Roman"/>
          <w:b/>
          <w:bCs/>
        </w:rPr>
      </w:pPr>
      <w:r w:rsidRPr="00785BF3">
        <w:rPr>
          <w:rFonts w:ascii="Times New Roman" w:hAnsi="Times New Roman" w:cs="Times New Roman"/>
          <w:b/>
          <w:bCs/>
        </w:rPr>
        <w:t xml:space="preserve">H2: </w:t>
      </w:r>
      <w:r w:rsidRPr="00742B4A">
        <w:rPr>
          <w:rFonts w:ascii="Times New Roman" w:hAnsi="Times New Roman" w:cs="Times New Roman"/>
        </w:rPr>
        <w:t>Effective corporate governance reduces the negative impact of accounting fraud on financial practices.</w:t>
      </w:r>
    </w:p>
    <w:p w14:paraId="16A5CCA8" w14:textId="77777777" w:rsidR="00E24325" w:rsidRPr="00742B4A" w:rsidRDefault="00E24325" w:rsidP="00CA7220">
      <w:pPr>
        <w:spacing w:line="480" w:lineRule="auto"/>
        <w:jc w:val="both"/>
        <w:rPr>
          <w:rFonts w:ascii="Times New Roman" w:hAnsi="Times New Roman" w:cs="Times New Roman"/>
        </w:rPr>
      </w:pPr>
    </w:p>
    <w:p w14:paraId="71A8FE01" w14:textId="6F58C056" w:rsidR="00E24325" w:rsidRPr="00742B4A" w:rsidRDefault="00742B4A" w:rsidP="00CA7220">
      <w:pPr>
        <w:pStyle w:val="Heading2"/>
        <w:spacing w:line="480" w:lineRule="auto"/>
        <w:jc w:val="both"/>
        <w:rPr>
          <w:rFonts w:ascii="Times New Roman" w:hAnsi="Times New Roman" w:cs="Times New Roman"/>
          <w:color w:val="auto"/>
          <w:sz w:val="24"/>
          <w:szCs w:val="24"/>
        </w:rPr>
      </w:pPr>
      <w:bookmarkStart w:id="6" w:name="_Toc167763035"/>
      <w:r w:rsidRPr="00742B4A">
        <w:rPr>
          <w:rFonts w:ascii="Times New Roman" w:hAnsi="Times New Roman" w:cs="Times New Roman"/>
          <w:color w:val="auto"/>
          <w:sz w:val="24"/>
          <w:szCs w:val="24"/>
        </w:rPr>
        <w:lastRenderedPageBreak/>
        <w:t xml:space="preserve">3.3 </w:t>
      </w:r>
      <w:r w:rsidR="00E24325" w:rsidRPr="00742B4A">
        <w:rPr>
          <w:rFonts w:ascii="Times New Roman" w:hAnsi="Times New Roman" w:cs="Times New Roman"/>
          <w:color w:val="auto"/>
          <w:sz w:val="24"/>
          <w:szCs w:val="24"/>
        </w:rPr>
        <w:t>Accounting Conservatism, Fraud and Dividend Smoothing</w:t>
      </w:r>
      <w:bookmarkEnd w:id="6"/>
    </w:p>
    <w:p w14:paraId="7B25564F" w14:textId="77777777" w:rsidR="00E24325" w:rsidRPr="00785BF3" w:rsidRDefault="00E24325" w:rsidP="00CA7220">
      <w:pPr>
        <w:spacing w:line="480" w:lineRule="auto"/>
        <w:jc w:val="both"/>
        <w:rPr>
          <w:rFonts w:ascii="Times New Roman" w:hAnsi="Times New Roman" w:cs="Times New Roman"/>
          <w:b/>
          <w:bCs/>
        </w:rPr>
      </w:pPr>
    </w:p>
    <w:p w14:paraId="1583F16A" w14:textId="10B77E77" w:rsidR="009571C7"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t xml:space="preserve">Accounting conservatism is seen to limit managers' ability to manipulate earnings and thus reduce the propensity for fraudulent activities (Biddle et al., 2022). Moreover, firms with conservative accounting practices are less likely to engage in dividend smoothing as a cover-up for poor financial performance (Beasley, 1996; </w:t>
      </w:r>
      <w:proofErr w:type="spellStart"/>
      <w:r w:rsidRPr="00785BF3">
        <w:rPr>
          <w:rFonts w:ascii="Times New Roman" w:hAnsi="Times New Roman" w:cs="Times New Roman"/>
        </w:rPr>
        <w:t>Harakeh</w:t>
      </w:r>
      <w:proofErr w:type="spellEnd"/>
      <w:r w:rsidRPr="00785BF3">
        <w:rPr>
          <w:rFonts w:ascii="Times New Roman" w:hAnsi="Times New Roman" w:cs="Times New Roman"/>
        </w:rPr>
        <w:t xml:space="preserve">, 2017; </w:t>
      </w:r>
      <w:proofErr w:type="spellStart"/>
      <w:r w:rsidRPr="00785BF3">
        <w:rPr>
          <w:rFonts w:ascii="Times New Roman" w:hAnsi="Times New Roman" w:cs="Times New Roman"/>
        </w:rPr>
        <w:t>Rezaee</w:t>
      </w:r>
      <w:proofErr w:type="spellEnd"/>
      <w:r w:rsidRPr="00785BF3">
        <w:rPr>
          <w:rFonts w:ascii="Times New Roman" w:hAnsi="Times New Roman" w:cs="Times New Roman"/>
        </w:rPr>
        <w:t xml:space="preserve">, 2005). </w:t>
      </w:r>
      <w:r w:rsidR="009571C7">
        <w:rPr>
          <w:rFonts w:ascii="Times New Roman" w:hAnsi="Times New Roman" w:cs="Times New Roman"/>
        </w:rPr>
        <w:t xml:space="preserve">As a result, </w:t>
      </w:r>
      <w:r w:rsidRPr="00785BF3">
        <w:rPr>
          <w:rFonts w:ascii="Times New Roman" w:hAnsi="Times New Roman" w:cs="Times New Roman"/>
        </w:rPr>
        <w:t xml:space="preserve">the third hypothesis is </w:t>
      </w:r>
      <w:r w:rsidR="009571C7">
        <w:rPr>
          <w:rFonts w:ascii="Times New Roman" w:hAnsi="Times New Roman" w:cs="Times New Roman"/>
        </w:rPr>
        <w:t>as follows:</w:t>
      </w:r>
    </w:p>
    <w:p w14:paraId="0CE1BE04" w14:textId="77777777" w:rsidR="00E24325" w:rsidRPr="00785BF3" w:rsidRDefault="00E24325" w:rsidP="00CA7220">
      <w:pPr>
        <w:spacing w:line="480" w:lineRule="auto"/>
        <w:jc w:val="both"/>
        <w:rPr>
          <w:rFonts w:ascii="Times New Roman" w:hAnsi="Times New Roman" w:cs="Times New Roman"/>
        </w:rPr>
      </w:pPr>
    </w:p>
    <w:p w14:paraId="4B4349DD" w14:textId="77777777" w:rsidR="00E24325" w:rsidRPr="00785BF3" w:rsidRDefault="00E24325" w:rsidP="00CA7220">
      <w:pPr>
        <w:spacing w:line="480" w:lineRule="auto"/>
        <w:jc w:val="both"/>
        <w:rPr>
          <w:rFonts w:ascii="Times New Roman" w:hAnsi="Times New Roman" w:cs="Times New Roman"/>
          <w:b/>
          <w:bCs/>
        </w:rPr>
      </w:pPr>
      <w:r w:rsidRPr="00785BF3">
        <w:rPr>
          <w:rFonts w:ascii="Times New Roman" w:hAnsi="Times New Roman" w:cs="Times New Roman"/>
          <w:b/>
          <w:bCs/>
        </w:rPr>
        <w:t xml:space="preserve">H3: </w:t>
      </w:r>
      <w:r w:rsidRPr="00742B4A">
        <w:rPr>
          <w:rFonts w:ascii="Times New Roman" w:hAnsi="Times New Roman" w:cs="Times New Roman"/>
        </w:rPr>
        <w:t>Accounting conservatism weakens the association between accounting fraud and the use of dividend smoothing.</w:t>
      </w:r>
    </w:p>
    <w:p w14:paraId="5A5FE1B6" w14:textId="77777777" w:rsidR="00E24325" w:rsidRPr="00785BF3" w:rsidRDefault="00E24325" w:rsidP="00CA7220">
      <w:pPr>
        <w:spacing w:line="480" w:lineRule="auto"/>
        <w:jc w:val="both"/>
        <w:rPr>
          <w:rFonts w:ascii="Times New Roman" w:hAnsi="Times New Roman" w:cs="Times New Roman"/>
          <w:b/>
          <w:bCs/>
        </w:rPr>
      </w:pPr>
    </w:p>
    <w:p w14:paraId="13F9CC4B" w14:textId="4F7A6F30" w:rsidR="00E24325"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t xml:space="preserve">The formulation of these hypotheses is based on existing literature and seeks to answer the aforementioned research questions. This </w:t>
      </w:r>
      <w:r w:rsidR="0001090E">
        <w:rPr>
          <w:rFonts w:ascii="Times New Roman" w:hAnsi="Times New Roman" w:cs="Times New Roman"/>
        </w:rPr>
        <w:t>objective of this study is</w:t>
      </w:r>
      <w:r w:rsidRPr="00785BF3">
        <w:rPr>
          <w:rFonts w:ascii="Times New Roman" w:hAnsi="Times New Roman" w:cs="Times New Roman"/>
        </w:rPr>
        <w:t xml:space="preserve"> to </w:t>
      </w:r>
      <w:r w:rsidR="0001090E">
        <w:rPr>
          <w:rFonts w:ascii="Times New Roman" w:hAnsi="Times New Roman" w:cs="Times New Roman"/>
        </w:rPr>
        <w:t xml:space="preserve">enhance </w:t>
      </w:r>
      <w:r w:rsidRPr="00785BF3">
        <w:rPr>
          <w:rFonts w:ascii="Times New Roman" w:hAnsi="Times New Roman" w:cs="Times New Roman"/>
        </w:rPr>
        <w:t>our understanding of financial disclosure practices and the forces that influence them by looking into the relationships between accounting fraud, dividend smoothing, corporate governance, and accounting conservatism.</w:t>
      </w:r>
    </w:p>
    <w:p w14:paraId="46966A68" w14:textId="07EA9D3D" w:rsidR="00E24325" w:rsidRDefault="00E2432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7" w:name="_Toc167763036"/>
      <w:r w:rsidRPr="00742B4A">
        <w:rPr>
          <w:rFonts w:ascii="Times New Roman" w:eastAsia="Times New Roman" w:hAnsi="Times New Roman" w:cs="Times New Roman"/>
          <w:b/>
          <w:bCs/>
          <w:color w:val="auto"/>
          <w:sz w:val="24"/>
          <w:szCs w:val="24"/>
          <w:lang w:eastAsia="en-GB"/>
        </w:rPr>
        <w:t>Sample Selection Procedure and Methodology</w:t>
      </w:r>
      <w:bookmarkEnd w:id="7"/>
      <w:r w:rsidRPr="00742B4A">
        <w:rPr>
          <w:rFonts w:ascii="Times New Roman" w:eastAsia="Times New Roman" w:hAnsi="Times New Roman" w:cs="Times New Roman"/>
          <w:b/>
          <w:bCs/>
          <w:color w:val="auto"/>
          <w:sz w:val="24"/>
          <w:szCs w:val="24"/>
          <w:lang w:eastAsia="en-GB"/>
        </w:rPr>
        <w:t xml:space="preserve"> </w:t>
      </w:r>
    </w:p>
    <w:p w14:paraId="2F181A13" w14:textId="77777777" w:rsidR="00332161" w:rsidRPr="00332161" w:rsidRDefault="00332161" w:rsidP="00332161">
      <w:pPr>
        <w:rPr>
          <w:lang w:eastAsia="en-GB"/>
        </w:rPr>
      </w:pPr>
    </w:p>
    <w:p w14:paraId="1F6F93FE" w14:textId="2D7843CC" w:rsidR="00E24325" w:rsidRDefault="000D58E0" w:rsidP="00332161">
      <w:pPr>
        <w:pStyle w:val="Heading2"/>
        <w:spacing w:line="480" w:lineRule="auto"/>
        <w:jc w:val="both"/>
        <w:rPr>
          <w:rFonts w:ascii="Times New Roman" w:hAnsi="Times New Roman" w:cs="Times New Roman"/>
          <w:color w:val="auto"/>
          <w:sz w:val="24"/>
          <w:szCs w:val="24"/>
        </w:rPr>
      </w:pPr>
      <w:bookmarkStart w:id="8" w:name="_Toc167763037"/>
      <w:r>
        <w:rPr>
          <w:rFonts w:ascii="Times New Roman" w:hAnsi="Times New Roman" w:cs="Times New Roman"/>
          <w:color w:val="auto"/>
          <w:sz w:val="24"/>
          <w:szCs w:val="24"/>
        </w:rPr>
        <w:t>4</w:t>
      </w:r>
      <w:r w:rsidRPr="0038696A">
        <w:rPr>
          <w:rFonts w:ascii="Times New Roman" w:hAnsi="Times New Roman" w:cs="Times New Roman"/>
          <w:color w:val="auto"/>
          <w:sz w:val="24"/>
          <w:szCs w:val="24"/>
        </w:rPr>
        <w:t>.</w:t>
      </w:r>
      <w:r>
        <w:rPr>
          <w:rFonts w:ascii="Times New Roman" w:hAnsi="Times New Roman" w:cs="Times New Roman"/>
          <w:color w:val="auto"/>
          <w:sz w:val="24"/>
          <w:szCs w:val="24"/>
        </w:rPr>
        <w:t>1</w:t>
      </w:r>
      <w:r w:rsidRPr="0038696A">
        <w:rPr>
          <w:rFonts w:ascii="Times New Roman" w:hAnsi="Times New Roman" w:cs="Times New Roman"/>
          <w:color w:val="auto"/>
          <w:sz w:val="24"/>
          <w:szCs w:val="24"/>
        </w:rPr>
        <w:t xml:space="preserve"> </w:t>
      </w:r>
      <w:r>
        <w:rPr>
          <w:rFonts w:ascii="Times New Roman" w:hAnsi="Times New Roman" w:cs="Times New Roman"/>
          <w:color w:val="auto"/>
          <w:sz w:val="24"/>
          <w:szCs w:val="24"/>
        </w:rPr>
        <w:t>Sample Selection</w:t>
      </w:r>
      <w:bookmarkEnd w:id="8"/>
      <w:r w:rsidRPr="0038696A">
        <w:rPr>
          <w:rFonts w:ascii="Times New Roman" w:hAnsi="Times New Roman" w:cs="Times New Roman"/>
          <w:color w:val="auto"/>
          <w:sz w:val="24"/>
          <w:szCs w:val="24"/>
        </w:rPr>
        <w:t xml:space="preserve"> </w:t>
      </w:r>
    </w:p>
    <w:p w14:paraId="656399F5" w14:textId="77777777" w:rsidR="00332161" w:rsidRDefault="00332161" w:rsidP="00332161"/>
    <w:p w14:paraId="238E0BEF" w14:textId="77777777" w:rsidR="00332161" w:rsidRPr="00332161" w:rsidRDefault="00332161" w:rsidP="00332161"/>
    <w:p w14:paraId="483468F9" w14:textId="43C55317" w:rsidR="000E1CC7" w:rsidRDefault="0009399F" w:rsidP="00CA7220">
      <w:pPr>
        <w:spacing w:line="480" w:lineRule="auto"/>
        <w:jc w:val="both"/>
        <w:rPr>
          <w:rFonts w:ascii="Times New Roman" w:hAnsi="Times New Roman" w:cs="Times New Roman"/>
        </w:rPr>
      </w:pPr>
      <w:r>
        <w:rPr>
          <w:rFonts w:ascii="Times New Roman" w:hAnsi="Times New Roman" w:cs="Times New Roman"/>
        </w:rPr>
        <w:t xml:space="preserve">My </w:t>
      </w:r>
      <w:r w:rsidR="00E24325" w:rsidRPr="00785BF3">
        <w:rPr>
          <w:rFonts w:ascii="Times New Roman" w:hAnsi="Times New Roman" w:cs="Times New Roman"/>
        </w:rPr>
        <w:t xml:space="preserve">sample selection is obtained from </w:t>
      </w:r>
      <w:proofErr w:type="spellStart"/>
      <w:r w:rsidR="00E24325" w:rsidRPr="00785BF3">
        <w:rPr>
          <w:rFonts w:ascii="Times New Roman" w:hAnsi="Times New Roman" w:cs="Times New Roman"/>
        </w:rPr>
        <w:t>Compustat</w:t>
      </w:r>
      <w:proofErr w:type="spellEnd"/>
      <w:r w:rsidR="00E24325" w:rsidRPr="00785BF3">
        <w:rPr>
          <w:rFonts w:ascii="Times New Roman" w:hAnsi="Times New Roman" w:cs="Times New Roman"/>
        </w:rPr>
        <w:t xml:space="preserve"> including U.S. public corporations for the years 1998 to 2009. Due to the need to develop rolling windows for evaluating the speed of adjustment (SOA), the actual estimating period begins in 1988. </w:t>
      </w:r>
      <w:r>
        <w:rPr>
          <w:rFonts w:ascii="Times New Roman" w:hAnsi="Times New Roman" w:cs="Times New Roman"/>
        </w:rPr>
        <w:t>I</w:t>
      </w:r>
      <w:r w:rsidR="00E24325" w:rsidRPr="00785BF3">
        <w:rPr>
          <w:rFonts w:ascii="Times New Roman" w:hAnsi="Times New Roman" w:cs="Times New Roman"/>
        </w:rPr>
        <w:t xml:space="preserve"> remove financial organisations (SIC codes 6000-6999) and regulated utilities (SIC codes 4900-4999) from </w:t>
      </w:r>
      <w:r>
        <w:rPr>
          <w:rFonts w:ascii="Times New Roman" w:hAnsi="Times New Roman" w:cs="Times New Roman"/>
        </w:rPr>
        <w:t>my</w:t>
      </w:r>
      <w:r w:rsidR="00E24325" w:rsidRPr="00785BF3">
        <w:rPr>
          <w:rFonts w:ascii="Times New Roman" w:hAnsi="Times New Roman" w:cs="Times New Roman"/>
        </w:rPr>
        <w:t xml:space="preserve"> </w:t>
      </w:r>
      <w:r w:rsidR="00E24325" w:rsidRPr="00785BF3">
        <w:rPr>
          <w:rFonts w:ascii="Times New Roman" w:hAnsi="Times New Roman" w:cs="Times New Roman"/>
        </w:rPr>
        <w:lastRenderedPageBreak/>
        <w:t xml:space="preserve">sample, as well as firms with missing observations on </w:t>
      </w:r>
      <w:r>
        <w:rPr>
          <w:rFonts w:ascii="Times New Roman" w:hAnsi="Times New Roman" w:cs="Times New Roman"/>
        </w:rPr>
        <w:t>my</w:t>
      </w:r>
      <w:r w:rsidR="00E24325" w:rsidRPr="00785BF3">
        <w:rPr>
          <w:rFonts w:ascii="Times New Roman" w:hAnsi="Times New Roman" w:cs="Times New Roman"/>
        </w:rPr>
        <w:t xml:space="preserve"> </w:t>
      </w:r>
      <w:r w:rsidR="00E24325" w:rsidRPr="00B6637F">
        <w:rPr>
          <w:rFonts w:ascii="Times New Roman" w:hAnsi="Times New Roman" w:cs="Times New Roman"/>
        </w:rPr>
        <w:t>dependent and independent variables, in accordance with previous research (</w:t>
      </w:r>
      <w:proofErr w:type="spellStart"/>
      <w:r w:rsidR="00E24325" w:rsidRPr="00B6637F">
        <w:rPr>
          <w:rFonts w:ascii="Times New Roman" w:hAnsi="Times New Roman" w:cs="Times New Roman"/>
        </w:rPr>
        <w:t>Dangl</w:t>
      </w:r>
      <w:proofErr w:type="spellEnd"/>
      <w:r w:rsidR="00E24325" w:rsidRPr="00B6637F">
        <w:rPr>
          <w:rFonts w:ascii="Times New Roman" w:hAnsi="Times New Roman" w:cs="Times New Roman"/>
        </w:rPr>
        <w:t xml:space="preserve"> and Wu, 2016; </w:t>
      </w:r>
      <w:proofErr w:type="spellStart"/>
      <w:r w:rsidR="00E24325" w:rsidRPr="00B6637F">
        <w:rPr>
          <w:rFonts w:ascii="Times New Roman" w:hAnsi="Times New Roman" w:cs="Times New Roman"/>
        </w:rPr>
        <w:t>Mellado</w:t>
      </w:r>
      <w:proofErr w:type="spellEnd"/>
      <w:r w:rsidR="00E24325" w:rsidRPr="00B6637F">
        <w:rPr>
          <w:rFonts w:ascii="Times New Roman" w:hAnsi="Times New Roman" w:cs="Times New Roman"/>
        </w:rPr>
        <w:t>-Cid et al., 2018). In accordance with Leary and Michaely (2011) for the firm-level ten-year</w:t>
      </w:r>
      <w:r w:rsidR="00E24325" w:rsidRPr="00785BF3">
        <w:rPr>
          <w:rFonts w:ascii="Times New Roman" w:hAnsi="Times New Roman" w:cs="Times New Roman"/>
        </w:rPr>
        <w:t xml:space="preserve"> rolling window SOA calculations, </w:t>
      </w:r>
      <w:r>
        <w:rPr>
          <w:rFonts w:ascii="Times New Roman" w:hAnsi="Times New Roman" w:cs="Times New Roman"/>
        </w:rPr>
        <w:t>I</w:t>
      </w:r>
      <w:r w:rsidR="00E24325" w:rsidRPr="00785BF3">
        <w:rPr>
          <w:rFonts w:ascii="Times New Roman" w:hAnsi="Times New Roman" w:cs="Times New Roman"/>
        </w:rPr>
        <w:t xml:space="preserve"> first </w:t>
      </w:r>
      <w:r w:rsidR="009571C7">
        <w:rPr>
          <w:rFonts w:ascii="Times New Roman" w:hAnsi="Times New Roman" w:cs="Times New Roman"/>
        </w:rPr>
        <w:t>li</w:t>
      </w:r>
      <w:r w:rsidR="00E24325" w:rsidRPr="00785BF3">
        <w:rPr>
          <w:rFonts w:ascii="Times New Roman" w:hAnsi="Times New Roman" w:cs="Times New Roman"/>
        </w:rPr>
        <w:t xml:space="preserve">mit </w:t>
      </w:r>
      <w:r>
        <w:rPr>
          <w:rFonts w:ascii="Times New Roman" w:hAnsi="Times New Roman" w:cs="Times New Roman"/>
        </w:rPr>
        <w:t xml:space="preserve">the </w:t>
      </w:r>
      <w:r w:rsidR="00E24325" w:rsidRPr="00785BF3">
        <w:rPr>
          <w:rFonts w:ascii="Times New Roman" w:hAnsi="Times New Roman" w:cs="Times New Roman"/>
        </w:rPr>
        <w:t xml:space="preserve">analysis to firms with ten non-missing observations and one positive dividend observation in each rolling window, then reduce the influence of outliers by cutting </w:t>
      </w:r>
      <w:r>
        <w:rPr>
          <w:rFonts w:ascii="Times New Roman" w:hAnsi="Times New Roman" w:cs="Times New Roman"/>
        </w:rPr>
        <w:t>the</w:t>
      </w:r>
      <w:r w:rsidR="00E24325" w:rsidRPr="00785BF3">
        <w:rPr>
          <w:rFonts w:ascii="Times New Roman" w:hAnsi="Times New Roman" w:cs="Times New Roman"/>
        </w:rPr>
        <w:t xml:space="preserve"> sample for SOA values less than zero and greater than one. </w:t>
      </w:r>
      <w:r>
        <w:rPr>
          <w:rFonts w:ascii="Times New Roman" w:hAnsi="Times New Roman" w:cs="Times New Roman"/>
        </w:rPr>
        <w:t>My</w:t>
      </w:r>
      <w:r w:rsidR="00E24325" w:rsidRPr="00785BF3">
        <w:rPr>
          <w:rFonts w:ascii="Times New Roman" w:hAnsi="Times New Roman" w:cs="Times New Roman"/>
        </w:rPr>
        <w:t xml:space="preserve"> final sample is overall made up </w:t>
      </w:r>
      <w:r w:rsidR="00E24325" w:rsidRPr="00703129">
        <w:rPr>
          <w:rFonts w:ascii="Times New Roman" w:hAnsi="Times New Roman" w:cs="Times New Roman"/>
        </w:rPr>
        <w:t>of 2,</w:t>
      </w:r>
      <w:r w:rsidR="00703129" w:rsidRPr="00703129">
        <w:rPr>
          <w:rFonts w:ascii="Times New Roman" w:hAnsi="Times New Roman" w:cs="Times New Roman"/>
        </w:rPr>
        <w:t>866</w:t>
      </w:r>
      <w:r w:rsidR="00E24325" w:rsidRPr="00785BF3">
        <w:rPr>
          <w:rFonts w:ascii="Times New Roman" w:hAnsi="Times New Roman" w:cs="Times New Roman"/>
        </w:rPr>
        <w:t xml:space="preserve"> firm-year observations, belonging </w:t>
      </w:r>
      <w:r w:rsidR="00E24325" w:rsidRPr="00703129">
        <w:rPr>
          <w:rFonts w:ascii="Times New Roman" w:hAnsi="Times New Roman" w:cs="Times New Roman"/>
        </w:rPr>
        <w:t xml:space="preserve">to </w:t>
      </w:r>
      <w:r w:rsidR="00703129" w:rsidRPr="00703129">
        <w:rPr>
          <w:rFonts w:ascii="Times New Roman" w:hAnsi="Times New Roman" w:cs="Times New Roman"/>
        </w:rPr>
        <w:t>373</w:t>
      </w:r>
      <w:r w:rsidR="00E24325" w:rsidRPr="00703129">
        <w:rPr>
          <w:rFonts w:ascii="Times New Roman" w:hAnsi="Times New Roman" w:cs="Times New Roman"/>
        </w:rPr>
        <w:t xml:space="preserve"> unique firms, consistent</w:t>
      </w:r>
      <w:r w:rsidR="00E24325" w:rsidRPr="00785BF3">
        <w:rPr>
          <w:rFonts w:ascii="Times New Roman" w:hAnsi="Times New Roman" w:cs="Times New Roman"/>
        </w:rPr>
        <w:t xml:space="preserve"> with prior research </w:t>
      </w:r>
      <w:r w:rsidR="00E24325" w:rsidRPr="00B6637F">
        <w:rPr>
          <w:rFonts w:ascii="Times New Roman" w:hAnsi="Times New Roman" w:cs="Times New Roman"/>
        </w:rPr>
        <w:t>(Bao et al., 2020).</w:t>
      </w:r>
    </w:p>
    <w:p w14:paraId="6305B6D4" w14:textId="77777777" w:rsidR="00BE2019" w:rsidRDefault="00BE2019" w:rsidP="00CA7220">
      <w:pPr>
        <w:spacing w:line="480" w:lineRule="auto"/>
        <w:jc w:val="both"/>
        <w:rPr>
          <w:rFonts w:ascii="Times New Roman" w:hAnsi="Times New Roman" w:cs="Times New Roman"/>
        </w:rPr>
      </w:pPr>
    </w:p>
    <w:p w14:paraId="60179106" w14:textId="4DD4A27A" w:rsidR="00BE2019" w:rsidRPr="0032050B" w:rsidRDefault="0032050B" w:rsidP="00CA7220">
      <w:pPr>
        <w:pStyle w:val="Heading2"/>
        <w:spacing w:line="480" w:lineRule="auto"/>
        <w:jc w:val="both"/>
        <w:rPr>
          <w:rFonts w:ascii="Times New Roman" w:hAnsi="Times New Roman" w:cs="Times New Roman"/>
          <w:color w:val="auto"/>
          <w:sz w:val="24"/>
          <w:szCs w:val="24"/>
        </w:rPr>
      </w:pPr>
      <w:bookmarkStart w:id="9" w:name="_Toc167763038"/>
      <w:r w:rsidRPr="0032050B">
        <w:rPr>
          <w:rFonts w:ascii="Times New Roman" w:hAnsi="Times New Roman" w:cs="Times New Roman"/>
          <w:color w:val="auto"/>
          <w:sz w:val="24"/>
          <w:szCs w:val="24"/>
        </w:rPr>
        <w:t xml:space="preserve">4.2 </w:t>
      </w:r>
      <w:r w:rsidR="00BE2019" w:rsidRPr="0032050B">
        <w:rPr>
          <w:rFonts w:ascii="Times New Roman" w:hAnsi="Times New Roman" w:cs="Times New Roman"/>
          <w:color w:val="auto"/>
          <w:sz w:val="24"/>
          <w:szCs w:val="24"/>
        </w:rPr>
        <w:t xml:space="preserve">Fixed </w:t>
      </w:r>
      <w:r>
        <w:rPr>
          <w:rFonts w:ascii="Times New Roman" w:hAnsi="Times New Roman" w:cs="Times New Roman"/>
          <w:color w:val="auto"/>
          <w:sz w:val="24"/>
          <w:szCs w:val="24"/>
        </w:rPr>
        <w:t>E</w:t>
      </w:r>
      <w:r w:rsidR="00BE2019" w:rsidRPr="0032050B">
        <w:rPr>
          <w:rFonts w:ascii="Times New Roman" w:hAnsi="Times New Roman" w:cs="Times New Roman"/>
          <w:color w:val="auto"/>
          <w:sz w:val="24"/>
          <w:szCs w:val="24"/>
        </w:rPr>
        <w:t xml:space="preserve">ffects </w:t>
      </w:r>
      <w:r>
        <w:rPr>
          <w:rFonts w:ascii="Times New Roman" w:hAnsi="Times New Roman" w:cs="Times New Roman"/>
          <w:color w:val="auto"/>
          <w:sz w:val="24"/>
          <w:szCs w:val="24"/>
        </w:rPr>
        <w:t>and</w:t>
      </w:r>
      <w:r w:rsidR="00BE2019" w:rsidRPr="0032050B">
        <w:rPr>
          <w:rFonts w:ascii="Times New Roman" w:hAnsi="Times New Roman" w:cs="Times New Roman"/>
          <w:color w:val="auto"/>
          <w:sz w:val="24"/>
          <w:szCs w:val="24"/>
        </w:rPr>
        <w:t xml:space="preserve"> Clustered </w:t>
      </w:r>
      <w:r>
        <w:rPr>
          <w:rFonts w:ascii="Times New Roman" w:hAnsi="Times New Roman" w:cs="Times New Roman"/>
          <w:color w:val="auto"/>
          <w:sz w:val="24"/>
          <w:szCs w:val="24"/>
        </w:rPr>
        <w:t>S</w:t>
      </w:r>
      <w:r w:rsidR="00BE2019" w:rsidRPr="0032050B">
        <w:rPr>
          <w:rFonts w:ascii="Times New Roman" w:hAnsi="Times New Roman" w:cs="Times New Roman"/>
          <w:color w:val="auto"/>
          <w:sz w:val="24"/>
          <w:szCs w:val="24"/>
        </w:rPr>
        <w:t xml:space="preserve">tandard </w:t>
      </w:r>
      <w:r>
        <w:rPr>
          <w:rFonts w:ascii="Times New Roman" w:hAnsi="Times New Roman" w:cs="Times New Roman"/>
          <w:color w:val="auto"/>
          <w:sz w:val="24"/>
          <w:szCs w:val="24"/>
        </w:rPr>
        <w:t>E</w:t>
      </w:r>
      <w:r w:rsidR="00BE2019" w:rsidRPr="0032050B">
        <w:rPr>
          <w:rFonts w:ascii="Times New Roman" w:hAnsi="Times New Roman" w:cs="Times New Roman"/>
          <w:color w:val="auto"/>
          <w:sz w:val="24"/>
          <w:szCs w:val="24"/>
        </w:rPr>
        <w:t>rrors</w:t>
      </w:r>
      <w:bookmarkEnd w:id="9"/>
    </w:p>
    <w:p w14:paraId="4FEB5888" w14:textId="77777777" w:rsidR="00BE2019" w:rsidRDefault="00BE2019" w:rsidP="00CA7220">
      <w:pPr>
        <w:spacing w:line="480" w:lineRule="auto"/>
        <w:jc w:val="both"/>
        <w:rPr>
          <w:rFonts w:ascii="Times New Roman" w:hAnsi="Times New Roman" w:cs="Times New Roman"/>
        </w:rPr>
      </w:pPr>
    </w:p>
    <w:p w14:paraId="01DA307A" w14:textId="668C072A" w:rsidR="00BE2019" w:rsidRDefault="00BE2019" w:rsidP="00CA7220">
      <w:pPr>
        <w:spacing w:line="480" w:lineRule="auto"/>
        <w:jc w:val="both"/>
        <w:rPr>
          <w:rFonts w:ascii="Times New Roman" w:hAnsi="Times New Roman" w:cs="Times New Roman"/>
        </w:rPr>
      </w:pPr>
      <w:r>
        <w:rPr>
          <w:rFonts w:ascii="Times New Roman" w:hAnsi="Times New Roman" w:cs="Times New Roman"/>
        </w:rPr>
        <w:t xml:space="preserve">To account for </w:t>
      </w:r>
      <w:r w:rsidR="0001090E">
        <w:rPr>
          <w:rFonts w:ascii="Times New Roman" w:hAnsi="Times New Roman" w:cs="Times New Roman"/>
        </w:rPr>
        <w:t xml:space="preserve">potential </w:t>
      </w:r>
      <w:r>
        <w:rPr>
          <w:rFonts w:ascii="Times New Roman" w:hAnsi="Times New Roman" w:cs="Times New Roman"/>
        </w:rPr>
        <w:t xml:space="preserve">unobserved heterogeneity that may exist across firms, I employ fixed effects into my research. This method is effective in accounting for differences in the quality of management or specific market conditions distinctive to each </w:t>
      </w:r>
      <w:r w:rsidRPr="000215AD">
        <w:rPr>
          <w:rFonts w:ascii="Times New Roman" w:hAnsi="Times New Roman" w:cs="Times New Roman"/>
        </w:rPr>
        <w:t>firm (</w:t>
      </w:r>
      <w:proofErr w:type="spellStart"/>
      <w:r w:rsidRPr="000215AD">
        <w:rPr>
          <w:rFonts w:ascii="Times New Roman" w:hAnsi="Times New Roman" w:cs="Times New Roman"/>
        </w:rPr>
        <w:t>Dehaan</w:t>
      </w:r>
      <w:proofErr w:type="spellEnd"/>
      <w:r w:rsidRPr="000215AD">
        <w:rPr>
          <w:rFonts w:ascii="Times New Roman" w:hAnsi="Times New Roman" w:cs="Times New Roman"/>
        </w:rPr>
        <w:t>, 2021). By</w:t>
      </w:r>
      <w:r>
        <w:rPr>
          <w:rFonts w:ascii="Times New Roman" w:hAnsi="Times New Roman" w:cs="Times New Roman"/>
        </w:rPr>
        <w:t xml:space="preserve"> including fixed effects, I mitigate potential bias caused by omitted variables which may be correlated with my independent variable and outcome of </w:t>
      </w:r>
      <w:r w:rsidRPr="000215AD">
        <w:rPr>
          <w:rFonts w:ascii="Times New Roman" w:hAnsi="Times New Roman" w:cs="Times New Roman"/>
        </w:rPr>
        <w:t>interest (</w:t>
      </w:r>
      <w:proofErr w:type="spellStart"/>
      <w:r w:rsidRPr="000215AD">
        <w:rPr>
          <w:rFonts w:ascii="Times New Roman" w:hAnsi="Times New Roman" w:cs="Times New Roman"/>
        </w:rPr>
        <w:t>Brüderl</w:t>
      </w:r>
      <w:proofErr w:type="spellEnd"/>
      <w:r w:rsidRPr="000215AD">
        <w:rPr>
          <w:rFonts w:ascii="Times New Roman" w:hAnsi="Times New Roman" w:cs="Times New Roman"/>
        </w:rPr>
        <w:t xml:space="preserve"> and Ludwig, 201</w:t>
      </w:r>
      <w:r w:rsidR="000215AD">
        <w:rPr>
          <w:rFonts w:ascii="Times New Roman" w:hAnsi="Times New Roman" w:cs="Times New Roman"/>
        </w:rPr>
        <w:t>5</w:t>
      </w:r>
      <w:r w:rsidRPr="000215AD">
        <w:rPr>
          <w:rFonts w:ascii="Times New Roman" w:hAnsi="Times New Roman" w:cs="Times New Roman"/>
        </w:rPr>
        <w:t>). My model’s robustness and accuracy of estimates are improved as a result and allows</w:t>
      </w:r>
      <w:r>
        <w:rPr>
          <w:rFonts w:ascii="Times New Roman" w:hAnsi="Times New Roman" w:cs="Times New Roman"/>
        </w:rPr>
        <w:t xml:space="preserve"> the observation of the impact accounting fraud on dividend smoothing to be isolated for unobserved firm-specific characteristics.</w:t>
      </w:r>
    </w:p>
    <w:p w14:paraId="7DC109C6" w14:textId="77777777" w:rsidR="00BE2019" w:rsidRDefault="00BE2019" w:rsidP="00CA7220">
      <w:pPr>
        <w:spacing w:line="480" w:lineRule="auto"/>
        <w:jc w:val="both"/>
        <w:rPr>
          <w:rFonts w:ascii="Times New Roman" w:hAnsi="Times New Roman" w:cs="Times New Roman"/>
        </w:rPr>
      </w:pPr>
    </w:p>
    <w:p w14:paraId="29872810" w14:textId="6C1B6DCB" w:rsidR="00BE2019" w:rsidRDefault="00BE2019" w:rsidP="00CA7220">
      <w:pPr>
        <w:spacing w:line="480" w:lineRule="auto"/>
        <w:jc w:val="both"/>
        <w:rPr>
          <w:rFonts w:ascii="Times New Roman" w:hAnsi="Times New Roman" w:cs="Times New Roman"/>
        </w:rPr>
      </w:pPr>
      <w:r w:rsidRPr="00BE2019">
        <w:rPr>
          <w:rFonts w:ascii="Times New Roman" w:hAnsi="Times New Roman" w:cs="Times New Roman"/>
        </w:rPr>
        <w:t>Moreover, I clustered the standard errors at the firm level in my research</w:t>
      </w:r>
      <w:r>
        <w:rPr>
          <w:rFonts w:ascii="Times New Roman" w:hAnsi="Times New Roman" w:cs="Times New Roman"/>
        </w:rPr>
        <w:t xml:space="preserve"> </w:t>
      </w:r>
      <w:r w:rsidRPr="00BE2019">
        <w:rPr>
          <w:rFonts w:ascii="Times New Roman" w:hAnsi="Times New Roman" w:cs="Times New Roman"/>
        </w:rPr>
        <w:t xml:space="preserve">to </w:t>
      </w:r>
      <w:r>
        <w:rPr>
          <w:rFonts w:ascii="Times New Roman" w:hAnsi="Times New Roman" w:cs="Times New Roman"/>
        </w:rPr>
        <w:t xml:space="preserve">reduce </w:t>
      </w:r>
      <w:r w:rsidRPr="00BE2019">
        <w:rPr>
          <w:rFonts w:ascii="Times New Roman" w:hAnsi="Times New Roman" w:cs="Times New Roman"/>
        </w:rPr>
        <w:t xml:space="preserve">potential biases </w:t>
      </w:r>
      <w:r>
        <w:rPr>
          <w:rFonts w:ascii="Times New Roman" w:hAnsi="Times New Roman" w:cs="Times New Roman"/>
        </w:rPr>
        <w:t>from</w:t>
      </w:r>
      <w:r w:rsidRPr="00BE2019">
        <w:rPr>
          <w:rFonts w:ascii="Times New Roman" w:hAnsi="Times New Roman" w:cs="Times New Roman"/>
        </w:rPr>
        <w:t xml:space="preserve"> correlated residuals within firms</w:t>
      </w:r>
      <w:r>
        <w:rPr>
          <w:rFonts w:ascii="Times New Roman" w:hAnsi="Times New Roman" w:cs="Times New Roman"/>
        </w:rPr>
        <w:t xml:space="preserve">. </w:t>
      </w:r>
      <w:r w:rsidRPr="00BE2019">
        <w:rPr>
          <w:rFonts w:ascii="Times New Roman" w:hAnsi="Times New Roman" w:cs="Times New Roman"/>
        </w:rPr>
        <w:t xml:space="preserve">The traditional assumptions of Ordinary Least Squares (OLS) require homoscedasticity among regression residuals and ensure they are not correlated with each other. </w:t>
      </w:r>
      <w:r>
        <w:rPr>
          <w:rFonts w:ascii="Times New Roman" w:hAnsi="Times New Roman" w:cs="Times New Roman"/>
        </w:rPr>
        <w:t>T</w:t>
      </w:r>
      <w:r w:rsidRPr="00BE2019">
        <w:rPr>
          <w:rFonts w:ascii="Times New Roman" w:hAnsi="Times New Roman" w:cs="Times New Roman"/>
        </w:rPr>
        <w:t>his assumption is usually disregarded in panel data due to observations within the same firm being likely related</w:t>
      </w:r>
      <w:r w:rsidR="009571C7">
        <w:rPr>
          <w:rFonts w:ascii="Times New Roman" w:hAnsi="Times New Roman" w:cs="Times New Roman"/>
        </w:rPr>
        <w:t xml:space="preserve">; </w:t>
      </w:r>
      <w:r w:rsidRPr="00BE2019">
        <w:rPr>
          <w:rFonts w:ascii="Times New Roman" w:hAnsi="Times New Roman" w:cs="Times New Roman"/>
        </w:rPr>
        <w:t>th</w:t>
      </w:r>
      <w:r w:rsidR="009571C7">
        <w:rPr>
          <w:rFonts w:ascii="Times New Roman" w:hAnsi="Times New Roman" w:cs="Times New Roman"/>
        </w:rPr>
        <w:t xml:space="preserve">is </w:t>
      </w:r>
      <w:r w:rsidRPr="00BE2019">
        <w:rPr>
          <w:rFonts w:ascii="Times New Roman" w:hAnsi="Times New Roman" w:cs="Times New Roman"/>
        </w:rPr>
        <w:t xml:space="preserve">is corrected by clustering standard </w:t>
      </w:r>
      <w:r w:rsidRPr="00BE2019">
        <w:rPr>
          <w:rFonts w:ascii="Times New Roman" w:hAnsi="Times New Roman" w:cs="Times New Roman"/>
        </w:rPr>
        <w:lastRenderedPageBreak/>
        <w:t>errors by modifying the standard error estimates to account for within-firm correlation (</w:t>
      </w:r>
      <w:proofErr w:type="spellStart"/>
      <w:r w:rsidRPr="00BE2019">
        <w:rPr>
          <w:rFonts w:ascii="Times New Roman" w:hAnsi="Times New Roman" w:cs="Times New Roman"/>
        </w:rPr>
        <w:t>Dehaan</w:t>
      </w:r>
      <w:proofErr w:type="spellEnd"/>
      <w:r w:rsidRPr="00BE2019">
        <w:rPr>
          <w:rFonts w:ascii="Times New Roman" w:hAnsi="Times New Roman" w:cs="Times New Roman"/>
        </w:rPr>
        <w:t xml:space="preserve">, 2021). This provides more accurate and reliable statistical inferences and reduces Type I errors which ensures accuracy in my hypothesis tests on the </w:t>
      </w:r>
      <w:r w:rsidR="0001090E">
        <w:rPr>
          <w:rFonts w:ascii="Times New Roman" w:hAnsi="Times New Roman" w:cs="Times New Roman"/>
        </w:rPr>
        <w:t>correlation</w:t>
      </w:r>
      <w:r w:rsidRPr="00BE2019">
        <w:rPr>
          <w:rFonts w:ascii="Times New Roman" w:hAnsi="Times New Roman" w:cs="Times New Roman"/>
        </w:rPr>
        <w:t xml:space="preserve"> between accounting fraud and dividend smoothing (</w:t>
      </w:r>
      <w:proofErr w:type="spellStart"/>
      <w:r w:rsidRPr="00BE2019">
        <w:rPr>
          <w:rFonts w:ascii="Times New Roman" w:hAnsi="Times New Roman" w:cs="Times New Roman"/>
        </w:rPr>
        <w:t>Dehaan</w:t>
      </w:r>
      <w:proofErr w:type="spellEnd"/>
      <w:r w:rsidRPr="00BE2019">
        <w:rPr>
          <w:rFonts w:ascii="Times New Roman" w:hAnsi="Times New Roman" w:cs="Times New Roman"/>
        </w:rPr>
        <w:t>, 2021).</w:t>
      </w:r>
    </w:p>
    <w:p w14:paraId="202541CA" w14:textId="77777777" w:rsidR="0032050B" w:rsidRDefault="0032050B" w:rsidP="00CA7220">
      <w:pPr>
        <w:spacing w:line="480" w:lineRule="auto"/>
        <w:jc w:val="both"/>
        <w:rPr>
          <w:rFonts w:ascii="Times New Roman" w:hAnsi="Times New Roman" w:cs="Times New Roman"/>
        </w:rPr>
      </w:pPr>
    </w:p>
    <w:p w14:paraId="39DDEE99" w14:textId="3A780193" w:rsidR="0032050B" w:rsidRPr="0032050B" w:rsidRDefault="0032050B" w:rsidP="00CA7220">
      <w:pPr>
        <w:pStyle w:val="Heading2"/>
        <w:spacing w:line="480" w:lineRule="auto"/>
        <w:jc w:val="both"/>
        <w:rPr>
          <w:rFonts w:ascii="Times New Roman" w:hAnsi="Times New Roman" w:cs="Times New Roman"/>
          <w:color w:val="auto"/>
          <w:sz w:val="24"/>
          <w:szCs w:val="24"/>
        </w:rPr>
      </w:pPr>
      <w:bookmarkStart w:id="10" w:name="_Toc167763039"/>
      <w:r>
        <w:rPr>
          <w:rFonts w:ascii="Times New Roman" w:hAnsi="Times New Roman" w:cs="Times New Roman"/>
          <w:color w:val="auto"/>
          <w:sz w:val="24"/>
          <w:szCs w:val="24"/>
        </w:rPr>
        <w:t xml:space="preserve">4.3 </w:t>
      </w:r>
      <w:r w:rsidRPr="0032050B">
        <w:rPr>
          <w:rFonts w:ascii="Times New Roman" w:hAnsi="Times New Roman" w:cs="Times New Roman"/>
          <w:color w:val="auto"/>
          <w:sz w:val="24"/>
          <w:szCs w:val="24"/>
        </w:rPr>
        <w:t>Entropy balancing</w:t>
      </w:r>
      <w:bookmarkEnd w:id="10"/>
      <w:r w:rsidRPr="0032050B">
        <w:rPr>
          <w:rFonts w:ascii="Times New Roman" w:hAnsi="Times New Roman" w:cs="Times New Roman"/>
          <w:color w:val="auto"/>
          <w:sz w:val="24"/>
          <w:szCs w:val="24"/>
        </w:rPr>
        <w:t xml:space="preserve"> </w:t>
      </w:r>
    </w:p>
    <w:p w14:paraId="17838E59" w14:textId="77777777" w:rsidR="0032050B" w:rsidRPr="0032050B" w:rsidRDefault="0032050B" w:rsidP="00CA7220">
      <w:pPr>
        <w:pStyle w:val="ListParagraph"/>
        <w:spacing w:line="480" w:lineRule="auto"/>
        <w:ind w:left="360"/>
        <w:jc w:val="both"/>
        <w:rPr>
          <w:rFonts w:ascii="Times New Roman" w:hAnsi="Times New Roman" w:cs="Times New Roman"/>
        </w:rPr>
      </w:pPr>
    </w:p>
    <w:p w14:paraId="12174332" w14:textId="21B65197" w:rsidR="0032050B" w:rsidRPr="0032050B" w:rsidRDefault="0032050B" w:rsidP="00CA7220">
      <w:pPr>
        <w:spacing w:line="480" w:lineRule="auto"/>
        <w:jc w:val="both"/>
        <w:rPr>
          <w:rFonts w:ascii="Times New Roman" w:hAnsi="Times New Roman" w:cs="Times New Roman"/>
        </w:rPr>
      </w:pPr>
      <w:r w:rsidRPr="0032050B">
        <w:rPr>
          <w:rFonts w:ascii="Times New Roman" w:hAnsi="Times New Roman" w:cs="Times New Roman"/>
        </w:rPr>
        <w:t>Endogeneity is a significant concern in examining the relationship between accounting fraud an</w:t>
      </w:r>
      <w:r w:rsidR="00B52A8C">
        <w:rPr>
          <w:rFonts w:ascii="Times New Roman" w:hAnsi="Times New Roman" w:cs="Times New Roman"/>
        </w:rPr>
        <w:t>d</w:t>
      </w:r>
      <w:r w:rsidRPr="0032050B">
        <w:rPr>
          <w:rFonts w:ascii="Times New Roman" w:hAnsi="Times New Roman" w:cs="Times New Roman"/>
        </w:rPr>
        <w:t xml:space="preserve"> dividend smoothing. This refers to uncontrolled factors which may affect managerial behaviours and thus, these missing variables could potentially </w:t>
      </w:r>
      <w:r w:rsidR="009571C7">
        <w:rPr>
          <w:rFonts w:ascii="Times New Roman" w:hAnsi="Times New Roman" w:cs="Times New Roman"/>
        </w:rPr>
        <w:t>a</w:t>
      </w:r>
      <w:r w:rsidRPr="0032050B">
        <w:rPr>
          <w:rFonts w:ascii="Times New Roman" w:hAnsi="Times New Roman" w:cs="Times New Roman"/>
        </w:rPr>
        <w:t xml:space="preserve">ffect </w:t>
      </w:r>
      <w:r w:rsidRPr="000215AD">
        <w:rPr>
          <w:rFonts w:ascii="Times New Roman" w:hAnsi="Times New Roman" w:cs="Times New Roman"/>
        </w:rPr>
        <w:t>fraud (Roberts and Whited, 2013). This form of misrepresentation arises due to disparities in observable attributes</w:t>
      </w:r>
      <w:r w:rsidRPr="0032050B">
        <w:rPr>
          <w:rFonts w:ascii="Times New Roman" w:hAnsi="Times New Roman" w:cs="Times New Roman"/>
        </w:rPr>
        <w:t xml:space="preserve"> among firms exhibiting high and low levels of fraudulent activity. Therefore, I acknowledge that there might be certain reporting organisations that engage in fraud who could differ significantly from those that report less fraudulently in terms of their core characteristics. This imbalance may introduce bias whereby it is crucial to prevent these behaviours from influencing my </w:t>
      </w:r>
      <w:r w:rsidRPr="000215AD">
        <w:rPr>
          <w:rFonts w:ascii="Times New Roman" w:hAnsi="Times New Roman" w:cs="Times New Roman"/>
        </w:rPr>
        <w:t>results (Abdallah et al. 2015).</w:t>
      </w:r>
    </w:p>
    <w:p w14:paraId="21797FF3" w14:textId="77777777" w:rsidR="0032050B" w:rsidRPr="0032050B" w:rsidRDefault="0032050B" w:rsidP="00CA7220">
      <w:pPr>
        <w:spacing w:line="480" w:lineRule="auto"/>
        <w:jc w:val="both"/>
        <w:rPr>
          <w:rFonts w:ascii="Times New Roman" w:hAnsi="Times New Roman" w:cs="Times New Roman"/>
        </w:rPr>
      </w:pPr>
    </w:p>
    <w:p w14:paraId="417433CB" w14:textId="58AACC19" w:rsidR="0032050B" w:rsidRDefault="0032050B" w:rsidP="00CA7220">
      <w:pPr>
        <w:spacing w:line="480" w:lineRule="auto"/>
        <w:jc w:val="both"/>
        <w:rPr>
          <w:rFonts w:ascii="Times New Roman" w:hAnsi="Times New Roman" w:cs="Times New Roman"/>
        </w:rPr>
      </w:pPr>
      <w:r w:rsidRPr="0032050B">
        <w:rPr>
          <w:rFonts w:ascii="Times New Roman" w:hAnsi="Times New Roman" w:cs="Times New Roman"/>
        </w:rPr>
        <w:t xml:space="preserve">Thus, to achieve covariate balance, I employ the entropy balancing method to assign equal weights to each observation ensuring the treatment and control samples’ properties are the same (Chen et al., 2023; </w:t>
      </w:r>
      <w:proofErr w:type="spellStart"/>
      <w:r w:rsidRPr="0032050B">
        <w:rPr>
          <w:rFonts w:ascii="Times New Roman" w:hAnsi="Times New Roman" w:cs="Times New Roman"/>
        </w:rPr>
        <w:t>Hainmueller</w:t>
      </w:r>
      <w:proofErr w:type="spellEnd"/>
      <w:r w:rsidRPr="0032050B">
        <w:rPr>
          <w:rFonts w:ascii="Times New Roman" w:hAnsi="Times New Roman" w:cs="Times New Roman"/>
        </w:rPr>
        <w:t xml:space="preserve">, 2012; </w:t>
      </w:r>
      <w:proofErr w:type="spellStart"/>
      <w:r w:rsidRPr="0032050B">
        <w:rPr>
          <w:rFonts w:ascii="Times New Roman" w:hAnsi="Times New Roman" w:cs="Times New Roman"/>
        </w:rPr>
        <w:t>Quyang</w:t>
      </w:r>
      <w:proofErr w:type="spellEnd"/>
      <w:r w:rsidRPr="0032050B">
        <w:rPr>
          <w:rFonts w:ascii="Times New Roman" w:hAnsi="Times New Roman" w:cs="Times New Roman"/>
        </w:rPr>
        <w:t xml:space="preserve"> et al., 2024). This will ensure comparability between firms with high and low levels of accounting fraud as the treatment and control group, respectively. This reweighting ensures the disparities in control variables between the two groups do not bias my inferences and enhance my model efficiency.</w:t>
      </w:r>
    </w:p>
    <w:p w14:paraId="0A6B79D4" w14:textId="0FA2FADC" w:rsidR="00E24325" w:rsidRPr="00742B4A" w:rsidRDefault="00E24325" w:rsidP="008F44BA">
      <w:pPr>
        <w:pStyle w:val="Heading1"/>
        <w:numPr>
          <w:ilvl w:val="0"/>
          <w:numId w:val="26"/>
        </w:numPr>
        <w:spacing w:line="480" w:lineRule="auto"/>
        <w:jc w:val="both"/>
        <w:rPr>
          <w:rFonts w:ascii="Times New Roman" w:hAnsi="Times New Roman" w:cs="Times New Roman"/>
          <w:b/>
          <w:bCs/>
          <w:color w:val="auto"/>
          <w:sz w:val="24"/>
          <w:szCs w:val="24"/>
          <w:lang w:val="en-US"/>
        </w:rPr>
      </w:pPr>
      <w:bookmarkStart w:id="11" w:name="_Toc167763040"/>
      <w:r w:rsidRPr="00742B4A">
        <w:rPr>
          <w:rFonts w:ascii="Times New Roman" w:hAnsi="Times New Roman" w:cs="Times New Roman"/>
          <w:b/>
          <w:bCs/>
          <w:color w:val="auto"/>
          <w:sz w:val="24"/>
          <w:szCs w:val="24"/>
          <w:lang w:val="en-US"/>
        </w:rPr>
        <w:lastRenderedPageBreak/>
        <w:t>Research Design</w:t>
      </w:r>
      <w:bookmarkEnd w:id="11"/>
    </w:p>
    <w:p w14:paraId="582D7EF3" w14:textId="77777777" w:rsidR="00E24325" w:rsidRPr="00785BF3" w:rsidRDefault="00E24325" w:rsidP="00CA7220">
      <w:pPr>
        <w:spacing w:line="480" w:lineRule="auto"/>
        <w:jc w:val="both"/>
        <w:rPr>
          <w:rFonts w:ascii="Times New Roman" w:hAnsi="Times New Roman" w:cs="Times New Roman"/>
          <w:b/>
          <w:bCs/>
          <w:lang w:val="en-US"/>
        </w:rPr>
      </w:pPr>
    </w:p>
    <w:p w14:paraId="646C0E4F" w14:textId="6D10CB0F" w:rsidR="00E24325" w:rsidRPr="00742B4A" w:rsidRDefault="00742B4A" w:rsidP="00CA7220">
      <w:pPr>
        <w:pStyle w:val="Heading2"/>
        <w:spacing w:line="480" w:lineRule="auto"/>
        <w:jc w:val="both"/>
        <w:rPr>
          <w:rFonts w:ascii="Times New Roman" w:hAnsi="Times New Roman" w:cs="Times New Roman"/>
          <w:color w:val="auto"/>
          <w:sz w:val="24"/>
          <w:szCs w:val="24"/>
          <w:lang w:val="en-US"/>
        </w:rPr>
      </w:pPr>
      <w:bookmarkStart w:id="12" w:name="_Toc167763041"/>
      <w:r w:rsidRPr="00742B4A">
        <w:rPr>
          <w:rFonts w:ascii="Times New Roman" w:hAnsi="Times New Roman" w:cs="Times New Roman"/>
          <w:color w:val="auto"/>
          <w:sz w:val="24"/>
          <w:szCs w:val="24"/>
          <w:lang w:val="en-US"/>
        </w:rPr>
        <w:t xml:space="preserve">5.1 </w:t>
      </w:r>
      <w:r w:rsidR="00E24325" w:rsidRPr="00742B4A">
        <w:rPr>
          <w:rFonts w:ascii="Times New Roman" w:hAnsi="Times New Roman" w:cs="Times New Roman"/>
          <w:color w:val="auto"/>
          <w:sz w:val="24"/>
          <w:szCs w:val="24"/>
          <w:lang w:val="en-US"/>
        </w:rPr>
        <w:t>Measurement of Dividend Smoothing</w:t>
      </w:r>
      <w:bookmarkEnd w:id="12"/>
    </w:p>
    <w:p w14:paraId="206DEB55" w14:textId="77777777" w:rsidR="00E24325" w:rsidRPr="00785BF3" w:rsidRDefault="00E24325" w:rsidP="00CA7220">
      <w:pPr>
        <w:spacing w:line="480" w:lineRule="auto"/>
        <w:jc w:val="both"/>
        <w:rPr>
          <w:rFonts w:ascii="Times New Roman" w:hAnsi="Times New Roman" w:cs="Times New Roman"/>
          <w:iCs/>
        </w:rPr>
      </w:pPr>
    </w:p>
    <w:p w14:paraId="33E9CE4F" w14:textId="3750E06E" w:rsidR="00E24325" w:rsidRPr="00785BF3" w:rsidRDefault="0009399F" w:rsidP="00CA7220">
      <w:pPr>
        <w:spacing w:line="480" w:lineRule="auto"/>
        <w:jc w:val="both"/>
        <w:rPr>
          <w:rFonts w:ascii="Times New Roman" w:hAnsi="Times New Roman" w:cs="Times New Roman"/>
          <w:iCs/>
        </w:rPr>
      </w:pPr>
      <w:r>
        <w:rPr>
          <w:rFonts w:ascii="Times New Roman" w:hAnsi="Times New Roman" w:cs="Times New Roman"/>
          <w:iCs/>
        </w:rPr>
        <w:t>I</w:t>
      </w:r>
      <w:r w:rsidR="00E24325" w:rsidRPr="00785BF3">
        <w:rPr>
          <w:rFonts w:ascii="Times New Roman" w:hAnsi="Times New Roman" w:cs="Times New Roman"/>
          <w:iCs/>
        </w:rPr>
        <w:t xml:space="preserve"> use Lintner's (1956) partial adjustment model </w:t>
      </w:r>
      <w:r w:rsidR="0001090E">
        <w:rPr>
          <w:rFonts w:ascii="Times New Roman" w:hAnsi="Times New Roman" w:cs="Times New Roman"/>
          <w:iCs/>
        </w:rPr>
        <w:t>as a measure for</w:t>
      </w:r>
      <w:r w:rsidR="00E24325" w:rsidRPr="00785BF3">
        <w:rPr>
          <w:rFonts w:ascii="Times New Roman" w:hAnsi="Times New Roman" w:cs="Times New Roman"/>
          <w:iCs/>
        </w:rPr>
        <w:t xml:space="preserve"> dividend smoothing, building on previous </w:t>
      </w:r>
      <w:r w:rsidR="00E24325" w:rsidRPr="00B6637F">
        <w:rPr>
          <w:rFonts w:ascii="Times New Roman" w:hAnsi="Times New Roman" w:cs="Times New Roman"/>
          <w:iCs/>
        </w:rPr>
        <w:t xml:space="preserve">research (Fama and </w:t>
      </w:r>
      <w:proofErr w:type="spellStart"/>
      <w:r w:rsidR="00E24325" w:rsidRPr="00B6637F">
        <w:rPr>
          <w:rFonts w:ascii="Times New Roman" w:hAnsi="Times New Roman" w:cs="Times New Roman"/>
          <w:iCs/>
        </w:rPr>
        <w:t>Babiak</w:t>
      </w:r>
      <w:proofErr w:type="spellEnd"/>
      <w:r w:rsidR="00E24325" w:rsidRPr="00B6637F">
        <w:rPr>
          <w:rFonts w:ascii="Times New Roman" w:hAnsi="Times New Roman" w:cs="Times New Roman"/>
          <w:iCs/>
        </w:rPr>
        <w:t>, 1968; Guttman et al., 2010</w:t>
      </w:r>
      <w:r w:rsidR="00E24325" w:rsidRPr="008902EB">
        <w:rPr>
          <w:rFonts w:ascii="Times New Roman" w:hAnsi="Times New Roman" w:cs="Times New Roman"/>
          <w:iCs/>
        </w:rPr>
        <w:t>; García-</w:t>
      </w:r>
      <w:proofErr w:type="spellStart"/>
      <w:r w:rsidR="00E24325" w:rsidRPr="008902EB">
        <w:rPr>
          <w:rFonts w:ascii="Times New Roman" w:hAnsi="Times New Roman" w:cs="Times New Roman"/>
          <w:iCs/>
        </w:rPr>
        <w:t>Feijoo</w:t>
      </w:r>
      <w:proofErr w:type="spellEnd"/>
      <w:r w:rsidR="00E24325" w:rsidRPr="008902EB">
        <w:rPr>
          <w:rFonts w:ascii="Times New Roman" w:hAnsi="Times New Roman" w:cs="Times New Roman"/>
          <w:iCs/>
        </w:rPr>
        <w:t xml:space="preserve"> et al., 2021).</w:t>
      </w:r>
      <w:r w:rsidR="00E24325" w:rsidRPr="00785BF3">
        <w:rPr>
          <w:rFonts w:ascii="Times New Roman" w:hAnsi="Times New Roman" w:cs="Times New Roman"/>
          <w:iCs/>
        </w:rPr>
        <w:t xml:space="preserve"> A firm's target dividend </w:t>
      </w:r>
      <w:r w:rsidR="00E24325" w:rsidRPr="00785BF3">
        <w:rPr>
          <w:rFonts w:ascii="Cambria Math" w:hAnsi="Cambria Math" w:cs="Cambria Math"/>
          <w:iCs/>
        </w:rPr>
        <w:t>𝐷𝑃𝑆</w:t>
      </w:r>
      <w:r w:rsidR="00E24325" w:rsidRPr="00785BF3">
        <w:rPr>
          <w:rFonts w:ascii="Times New Roman" w:hAnsi="Times New Roman" w:cs="Times New Roman"/>
          <w:iCs/>
        </w:rPr>
        <w:t xml:space="preserve"> is defined by its long-term payout target and earnings </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i,t</m:t>
            </m:r>
          </m:sub>
        </m:sSub>
      </m:oMath>
      <w:r w:rsidR="00E24325" w:rsidRPr="00785BF3">
        <w:rPr>
          <w:rFonts w:ascii="Times New Roman" w:hAnsi="Times New Roman" w:cs="Times New Roman"/>
          <w:iCs/>
        </w:rPr>
        <w:t xml:space="preserve"> as</w:t>
      </w:r>
      <w:r w:rsidR="00B52A8C">
        <w:rPr>
          <w:rFonts w:ascii="Times New Roman" w:hAnsi="Times New Roman" w:cs="Times New Roman"/>
          <w:iCs/>
        </w:rPr>
        <w:t xml:space="preserve"> </w:t>
      </w:r>
      <w:r w:rsidR="00E24325" w:rsidRPr="00785BF3">
        <w:rPr>
          <w:rFonts w:ascii="Times New Roman" w:hAnsi="Times New Roman" w:cs="Times New Roman"/>
          <w:iCs/>
        </w:rPr>
        <w:t>described in Equation (1):</w:t>
      </w:r>
    </w:p>
    <w:p w14:paraId="2B9C698B" w14:textId="77777777" w:rsidR="00E24325" w:rsidRPr="00785BF3" w:rsidRDefault="00E24325" w:rsidP="00CA7220">
      <w:pPr>
        <w:spacing w:line="480" w:lineRule="auto"/>
        <w:jc w:val="both"/>
        <w:rPr>
          <w:rFonts w:ascii="Times New Roman" w:hAnsi="Times New Roman" w:cs="Times New Roman"/>
          <w:iCs/>
        </w:rPr>
      </w:pPr>
    </w:p>
    <w:p w14:paraId="2A89BFDB" w14:textId="77777777" w:rsidR="00E24325" w:rsidRPr="00785BF3" w:rsidRDefault="00000000" w:rsidP="00CA7220">
      <w:pPr>
        <w:pStyle w:val="ListParagraph"/>
        <w:numPr>
          <w:ilvl w:val="0"/>
          <w:numId w:val="2"/>
        </w:numPr>
        <w:spacing w:line="480" w:lineRule="auto"/>
        <w:jc w:val="both"/>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rPr>
              <m:t>DPS</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EPS</m:t>
            </m:r>
          </m:e>
          <m:sub>
            <m:r>
              <w:rPr>
                <w:rFonts w:ascii="Cambria Math" w:hAnsi="Cambria Math" w:cs="Times New Roman"/>
              </w:rPr>
              <m:t>i,t</m:t>
            </m:r>
          </m:sub>
        </m:sSub>
      </m:oMath>
    </w:p>
    <w:p w14:paraId="0191FD8B" w14:textId="77777777" w:rsidR="00E24325" w:rsidRPr="00785BF3" w:rsidRDefault="00E24325" w:rsidP="00CA7220">
      <w:pPr>
        <w:spacing w:line="480" w:lineRule="auto"/>
        <w:jc w:val="both"/>
        <w:rPr>
          <w:rFonts w:ascii="Times New Roman" w:hAnsi="Times New Roman" w:cs="Times New Roman"/>
          <w:iCs/>
          <w:lang w:val="en-US"/>
        </w:rPr>
      </w:pPr>
    </w:p>
    <w:p w14:paraId="58B86DD3" w14:textId="77777777" w:rsidR="00E24325" w:rsidRPr="00785BF3" w:rsidRDefault="00E24325" w:rsidP="00CA7220">
      <w:pPr>
        <w:spacing w:line="480" w:lineRule="auto"/>
        <w:jc w:val="both"/>
        <w:rPr>
          <w:rFonts w:ascii="Times New Roman" w:hAnsi="Times New Roman" w:cs="Times New Roman"/>
          <w:iCs/>
          <w:lang w:val="en-US"/>
        </w:rPr>
      </w:pPr>
      <w:r w:rsidRPr="00785BF3">
        <w:rPr>
          <w:rFonts w:ascii="Times New Roman" w:hAnsi="Times New Roman" w:cs="Times New Roman"/>
          <w:iCs/>
          <w:lang w:val="en-US"/>
        </w:rPr>
        <w:t>Annually, firms make minor changes to reach their goal dividend payout. Equation (2) represents the change in dividend (ΔDPS):</w:t>
      </w:r>
    </w:p>
    <w:p w14:paraId="365A1790" w14:textId="77777777" w:rsidR="00E24325" w:rsidRPr="00785BF3" w:rsidRDefault="00E24325" w:rsidP="00CA7220">
      <w:pPr>
        <w:spacing w:line="480" w:lineRule="auto"/>
        <w:jc w:val="both"/>
        <w:rPr>
          <w:rFonts w:ascii="Times New Roman" w:hAnsi="Times New Roman" w:cs="Times New Roman"/>
          <w:iCs/>
          <w:lang w:val="en-US"/>
        </w:rPr>
      </w:pPr>
    </w:p>
    <w:p w14:paraId="6A779C28" w14:textId="36A9B5B6" w:rsidR="00E24325" w:rsidRPr="00785BF3" w:rsidRDefault="00E24325" w:rsidP="00CA7220">
      <w:pPr>
        <w:pStyle w:val="ListParagraph"/>
        <w:numPr>
          <w:ilvl w:val="0"/>
          <w:numId w:val="2"/>
        </w:numPr>
        <w:spacing w:line="480" w:lineRule="auto"/>
        <w:jc w:val="both"/>
        <w:rPr>
          <w:rFonts w:ascii="Times New Roman" w:hAnsi="Times New Roman" w:cs="Times New Roman"/>
          <w:iCs/>
          <w:lang w:val="en-US"/>
        </w:rPr>
      </w:pPr>
      <m:oMath>
        <m:r>
          <m:rPr>
            <m:sty m:val="p"/>
          </m:rPr>
          <w:rPr>
            <w:rFonts w:ascii="Cambria Math" w:hAnsi="Cambria Math" w:cs="Times New Roman"/>
            <w:lang w:val="el-GR"/>
          </w:rPr>
          <m:t>Δ</m:t>
        </m:r>
        <m:r>
          <m:rPr>
            <m:sty m:val="p"/>
          </m:rPr>
          <w:rPr>
            <w:rFonts w:ascii="Cambria Math" w:hAnsi="Cambria Math" w:cs="Times New Roman"/>
            <w:lang w:val="en-US"/>
          </w:rPr>
          <m:t>DPS=</m:t>
        </m:r>
        <m:sSub>
          <m:sSubPr>
            <m:ctrlPr>
              <w:rPr>
                <w:rFonts w:ascii="Cambria Math" w:hAnsi="Cambria Math" w:cs="Times New Roman"/>
                <w:iCs/>
                <w:lang w:val="en-US"/>
              </w:rPr>
            </m:ctrlPr>
          </m:sSubPr>
          <m:e>
            <m:r>
              <w:rPr>
                <w:rFonts w:ascii="Cambria Math" w:hAnsi="Cambria Math" w:cs="Times New Roman"/>
                <w:lang w:val="en-US"/>
              </w:rPr>
              <m:t>DPS</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DPS</m:t>
            </m:r>
          </m:e>
          <m:sub>
            <m:r>
              <w:rPr>
                <w:rFonts w:ascii="Cambria Math" w:hAnsi="Cambria Math" w:cs="Times New Roman"/>
                <w:lang w:val="en-US"/>
              </w:rPr>
              <m:t>i,t</m:t>
            </m:r>
          </m:sub>
        </m:sSub>
        <m:r>
          <w:rPr>
            <w:rFonts w:ascii="Cambria Math" w:hAnsi="Cambria Math" w:cs="Times New Roman"/>
            <w:lang w:val="en-US"/>
          </w:rPr>
          <m:t>-1=</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l-GR"/>
              </w:rPr>
              <m:t>λ</m:t>
            </m:r>
          </m:e>
          <m:sub>
            <m:r>
              <w:rPr>
                <w:rFonts w:ascii="Cambria Math" w:hAnsi="Cambria Math" w:cs="Times New Roman"/>
                <w:lang w:val="en-US"/>
              </w:rPr>
              <m:t>i</m:t>
            </m:r>
          </m:sub>
        </m:sSub>
        <m:d>
          <m:dPr>
            <m:ctrlPr>
              <w:rPr>
                <w:rFonts w:ascii="Cambria Math" w:hAnsi="Cambria Math" w:cs="Times New Roman"/>
                <w:i/>
                <w:iCs/>
                <w:lang w:val="en-US"/>
              </w:rPr>
            </m:ctrlPr>
          </m:dPr>
          <m:e>
            <m:sSub>
              <m:sSubPr>
                <m:ctrlPr>
                  <w:rPr>
                    <w:rFonts w:ascii="Cambria Math" w:hAnsi="Cambria Math" w:cs="Times New Roman"/>
                    <w:i/>
                    <w:iCs/>
                    <w:lang w:val="en-US"/>
                  </w:rPr>
                </m:ctrlPr>
              </m:sSubPr>
              <m:e>
                <m:r>
                  <w:rPr>
                    <w:rFonts w:ascii="Cambria Math" w:hAnsi="Cambria Math" w:cs="Times New Roman"/>
                    <w:lang w:val="en-US"/>
                  </w:rPr>
                  <m:t>DPS</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DPS</m:t>
                </m:r>
              </m:e>
              <m:sub>
                <m:r>
                  <w:rPr>
                    <w:rFonts w:ascii="Cambria Math" w:hAnsi="Cambria Math" w:cs="Times New Roman"/>
                    <w:lang w:val="en-US"/>
                  </w:rPr>
                  <m:t>i,t-1</m:t>
                </m:r>
              </m:sub>
            </m:sSub>
          </m:e>
        </m:d>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l-GR"/>
              </w:rPr>
              <m:t>ε</m:t>
            </m:r>
          </m:e>
          <m:sub>
            <m:r>
              <w:rPr>
                <w:rFonts w:ascii="Cambria Math" w:hAnsi="Cambria Math" w:cs="Times New Roman"/>
                <w:lang w:val="en-US"/>
              </w:rPr>
              <m:t>i,t</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5"/>
      </w:tblGrid>
      <w:tr w:rsidR="00E24325" w:rsidRPr="00785BF3" w14:paraId="0D265C7B" w14:textId="77777777" w:rsidTr="00744119">
        <w:tc>
          <w:tcPr>
            <w:tcW w:w="8535" w:type="dxa"/>
          </w:tcPr>
          <w:p w14:paraId="09AEACC3" w14:textId="77777777" w:rsidR="00E24325" w:rsidRPr="00785BF3" w:rsidRDefault="00E24325" w:rsidP="00CA7220">
            <w:pPr>
              <w:spacing w:line="480" w:lineRule="auto"/>
              <w:jc w:val="both"/>
              <w:rPr>
                <w:rFonts w:ascii="Times New Roman" w:hAnsi="Times New Roman" w:cs="Times New Roman"/>
                <w:iCs/>
                <w:lang w:val="en-US"/>
              </w:rPr>
            </w:pPr>
          </w:p>
        </w:tc>
      </w:tr>
    </w:tbl>
    <w:p w14:paraId="13B69189" w14:textId="77777777" w:rsidR="00E24325" w:rsidRPr="00785BF3" w:rsidRDefault="00E24325" w:rsidP="00CA7220">
      <w:pPr>
        <w:spacing w:line="480" w:lineRule="auto"/>
        <w:jc w:val="both"/>
        <w:rPr>
          <w:rFonts w:ascii="Times New Roman" w:hAnsi="Times New Roman" w:cs="Times New Roman"/>
          <w:iCs/>
          <w:lang w:val="en-US"/>
        </w:rPr>
      </w:pPr>
      <w:r w:rsidRPr="00785BF3">
        <w:rPr>
          <w:rFonts w:ascii="Times New Roman" w:hAnsi="Times New Roman" w:cs="Times New Roman"/>
          <w:iCs/>
          <w:lang w:val="en-US"/>
        </w:rPr>
        <w:t xml:space="preserve">where </w:t>
      </w:r>
      <m:oMath>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i</m:t>
            </m:r>
          </m:sub>
        </m:sSub>
      </m:oMath>
      <w:r w:rsidRPr="00785BF3">
        <w:rPr>
          <w:rFonts w:ascii="Times New Roman" w:hAnsi="Times New Roman" w:cs="Times New Roman"/>
          <w:iCs/>
          <w:lang w:val="en-US"/>
        </w:rPr>
        <w:t xml:space="preserve"> is a constant, </w:t>
      </w:r>
      <m:oMath>
        <m:sSub>
          <m:sSubPr>
            <m:ctrlPr>
              <w:rPr>
                <w:rFonts w:ascii="Cambria Math" w:hAnsi="Cambria Math" w:cs="Times New Roman"/>
                <w:i/>
                <w:iCs/>
                <w:lang w:val="en-US"/>
              </w:rPr>
            </m:ctrlPr>
          </m:sSubPr>
          <m:e>
            <m:r>
              <w:rPr>
                <w:rFonts w:ascii="Cambria Math" w:hAnsi="Cambria Math" w:cs="Times New Roman"/>
                <w:lang w:val="el-GR"/>
              </w:rPr>
              <m:t>λ</m:t>
            </m:r>
          </m:e>
          <m:sub>
            <m:r>
              <w:rPr>
                <w:rFonts w:ascii="Cambria Math" w:hAnsi="Cambria Math" w:cs="Times New Roman"/>
                <w:lang w:val="en-US"/>
              </w:rPr>
              <m:t>i</m:t>
            </m:r>
          </m:sub>
        </m:sSub>
      </m:oMath>
      <w:r w:rsidRPr="00785BF3">
        <w:rPr>
          <w:rFonts w:ascii="Times New Roman" w:hAnsi="Times New Roman" w:cs="Times New Roman"/>
          <w:iCs/>
          <w:lang w:val="en-US"/>
        </w:rPr>
        <w:t xml:space="preserve"> is the speed-of-adjustment (SOA) coefficient, </w:t>
      </w:r>
      <m:oMath>
        <m:sSub>
          <m:sSubPr>
            <m:ctrlPr>
              <w:rPr>
                <w:rFonts w:ascii="Cambria Math" w:hAnsi="Cambria Math" w:cs="Times New Roman"/>
                <w:i/>
                <w:iCs/>
                <w:lang w:val="en-US"/>
              </w:rPr>
            </m:ctrlPr>
          </m:sSubPr>
          <m:e>
            <m:r>
              <w:rPr>
                <w:rFonts w:ascii="Cambria Math" w:hAnsi="Cambria Math" w:cs="Times New Roman"/>
                <w:lang w:val="el-GR"/>
              </w:rPr>
              <m:t>Δ</m:t>
            </m:r>
            <m:r>
              <w:rPr>
                <w:rFonts w:ascii="Cambria Math" w:hAnsi="Cambria Math" w:cs="Times New Roman"/>
                <w:lang w:val="en-US"/>
              </w:rPr>
              <m:t>D</m:t>
            </m:r>
          </m:e>
          <m:sub>
            <m:r>
              <w:rPr>
                <w:rFonts w:ascii="Cambria Math" w:hAnsi="Cambria Math" w:cs="Times New Roman"/>
                <w:lang w:val="en-US"/>
              </w:rPr>
              <m:t>i,t</m:t>
            </m:r>
          </m:sub>
        </m:sSub>
        <m:r>
          <w:rPr>
            <w:rFonts w:ascii="Cambria Math" w:hAnsi="Cambria Math" w:cs="Times New Roman"/>
            <w:lang w:val="en-US"/>
          </w:rPr>
          <m:t xml:space="preserve"> </m:t>
        </m:r>
      </m:oMath>
      <w:r w:rsidRPr="00785BF3">
        <w:rPr>
          <w:rFonts w:ascii="Times New Roman" w:hAnsi="Times New Roman" w:cs="Times New Roman"/>
          <w:iCs/>
          <w:lang w:val="en-US"/>
        </w:rPr>
        <w:t xml:space="preserve">is the actual change in dividends, </w:t>
      </w:r>
      <m:oMath>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D</m:t>
            </m:r>
          </m:e>
          <m:sub>
            <m:r>
              <w:rPr>
                <w:rFonts w:ascii="Cambria Math" w:hAnsi="Cambria Math" w:cs="Times New Roman"/>
                <w:lang w:val="en-US"/>
              </w:rPr>
              <m:t>i,t-1</m:t>
            </m:r>
          </m:sub>
        </m:sSub>
      </m:oMath>
      <w:r w:rsidRPr="00785BF3">
        <w:rPr>
          <w:rFonts w:ascii="Times New Roman" w:hAnsi="Times New Roman" w:cs="Times New Roman"/>
          <w:iCs/>
          <w:lang w:val="en-US"/>
        </w:rPr>
        <w:t xml:space="preserve"> is the planned change in dividends and </w:t>
      </w:r>
      <m:oMath>
        <m:sSub>
          <m:sSubPr>
            <m:ctrlPr>
              <w:rPr>
                <w:rFonts w:ascii="Cambria Math" w:hAnsi="Cambria Math" w:cs="Times New Roman"/>
                <w:i/>
                <w:iCs/>
                <w:lang w:val="en-US"/>
              </w:rPr>
            </m:ctrlPr>
          </m:sSubPr>
          <m:e>
            <m:r>
              <w:rPr>
                <w:rFonts w:ascii="Cambria Math" w:hAnsi="Cambria Math" w:cs="Times New Roman"/>
                <w:lang w:val="el-GR"/>
              </w:rPr>
              <m:t>ε</m:t>
            </m:r>
          </m:e>
          <m:sub>
            <m:r>
              <w:rPr>
                <w:rFonts w:ascii="Cambria Math" w:hAnsi="Cambria Math" w:cs="Times New Roman"/>
                <w:lang w:val="en-US"/>
              </w:rPr>
              <m:t>i,t</m:t>
            </m:r>
          </m:sub>
        </m:sSub>
        <m:r>
          <w:rPr>
            <w:rFonts w:ascii="Cambria Math" w:hAnsi="Cambria Math" w:cs="Times New Roman"/>
            <w:lang w:val="en-US"/>
          </w:rPr>
          <m:t xml:space="preserve"> </m:t>
        </m:r>
      </m:oMath>
      <w:r w:rsidRPr="00785BF3">
        <w:rPr>
          <w:rFonts w:ascii="Times New Roman" w:hAnsi="Times New Roman" w:cs="Times New Roman"/>
          <w:iCs/>
          <w:lang w:val="en-US"/>
        </w:rPr>
        <w:t>is the disturbance term. Combining equations (1) and (2), yields Equation (3):</w:t>
      </w:r>
    </w:p>
    <w:p w14:paraId="5DF9E6BF" w14:textId="77777777" w:rsidR="00E24325" w:rsidRPr="00785BF3" w:rsidRDefault="00E24325" w:rsidP="00CA7220">
      <w:pPr>
        <w:spacing w:line="480" w:lineRule="auto"/>
        <w:jc w:val="both"/>
        <w:rPr>
          <w:rFonts w:ascii="Times New Roman" w:hAnsi="Times New Roman" w:cs="Times New Roman"/>
          <w:iCs/>
          <w:lang w:val="en-US"/>
        </w:rPr>
      </w:pPr>
    </w:p>
    <w:p w14:paraId="57160D25" w14:textId="77777777" w:rsidR="00E24325" w:rsidRPr="00785BF3" w:rsidRDefault="00000000" w:rsidP="00CA7220">
      <w:pPr>
        <w:pStyle w:val="ListParagraph"/>
        <w:numPr>
          <w:ilvl w:val="0"/>
          <w:numId w:val="2"/>
        </w:numPr>
        <w:spacing w:line="480" w:lineRule="auto"/>
        <w:jc w:val="both"/>
        <w:rPr>
          <w:rFonts w:ascii="Times New Roman" w:hAnsi="Times New Roman"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l-GR"/>
              </w:rPr>
              <m:t>Δ</m:t>
            </m:r>
            <m:r>
              <w:rPr>
                <w:rFonts w:ascii="Cambria Math" w:hAnsi="Cambria Math" w:cs="Times New Roman"/>
                <w:lang w:val="en-US"/>
              </w:rPr>
              <m:t>DPS</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DPS</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DPS</m:t>
            </m:r>
          </m:e>
          <m:sub>
            <m:r>
              <w:rPr>
                <w:rFonts w:ascii="Cambria Math" w:hAnsi="Cambria Math" w:cs="Times New Roman"/>
                <w:lang w:val="en-US"/>
              </w:rPr>
              <m:t>i,t-1</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l-GR"/>
              </w:rPr>
              <m:t>β</m:t>
            </m:r>
          </m:e>
          <m:sub>
            <m:r>
              <w:rPr>
                <w:rFonts w:ascii="Cambria Math" w:hAnsi="Cambria Math" w:cs="Times New Roman"/>
                <w:lang w:val="en-US"/>
              </w:rPr>
              <m:t>1</m:t>
            </m:r>
          </m:sub>
        </m:sSub>
        <m:d>
          <m:dPr>
            <m:ctrlPr>
              <w:rPr>
                <w:rFonts w:ascii="Cambria Math" w:hAnsi="Cambria Math" w:cs="Times New Roman"/>
                <w:i/>
                <w:iCs/>
                <w:lang w:val="en-US"/>
              </w:rPr>
            </m:ctrlPr>
          </m:dPr>
          <m:e>
            <m:sSub>
              <m:sSubPr>
                <m:ctrlPr>
                  <w:rPr>
                    <w:rFonts w:ascii="Cambria Math" w:hAnsi="Cambria Math" w:cs="Times New Roman"/>
                    <w:i/>
                    <w:iCs/>
                    <w:lang w:val="en-US"/>
                  </w:rPr>
                </m:ctrlPr>
              </m:sSubPr>
              <m:e>
                <m:r>
                  <w:rPr>
                    <w:rFonts w:ascii="Cambria Math" w:hAnsi="Cambria Math" w:cs="Times New Roman"/>
                    <w:lang w:val="en-US"/>
                  </w:rPr>
                  <m:t>DPS</m:t>
                </m:r>
              </m:e>
              <m:sub>
                <m:r>
                  <w:rPr>
                    <w:rFonts w:ascii="Cambria Math" w:hAnsi="Cambria Math" w:cs="Times New Roman"/>
                    <w:lang w:val="en-US"/>
                  </w:rPr>
                  <m:t>i,t-1</m:t>
                </m:r>
              </m:sub>
            </m:sSub>
          </m:e>
        </m:d>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l-GR"/>
              </w:rPr>
              <m:t>β</m:t>
            </m:r>
          </m:e>
          <m:sub>
            <m:r>
              <w:rPr>
                <w:rFonts w:ascii="Cambria Math" w:hAnsi="Cambria Math" w:cs="Times New Roman"/>
                <w:lang w:val="en-US"/>
              </w:rPr>
              <m:t>2</m:t>
            </m:r>
          </m:sub>
        </m:sSub>
        <m:sSub>
          <m:sSubPr>
            <m:ctrlPr>
              <w:rPr>
                <w:rFonts w:ascii="Cambria Math" w:hAnsi="Cambria Math" w:cs="Times New Roman"/>
                <w:i/>
                <w:iCs/>
                <w:lang w:val="en-US"/>
              </w:rPr>
            </m:ctrlPr>
          </m:sSubPr>
          <m:e>
            <m:r>
              <w:rPr>
                <w:rFonts w:ascii="Cambria Math" w:hAnsi="Cambria Math" w:cs="Times New Roman"/>
                <w:lang w:val="en-US"/>
              </w:rPr>
              <m:t>EPS</m:t>
            </m:r>
          </m:e>
          <m:sub>
            <m:r>
              <w:rPr>
                <w:rFonts w:ascii="Cambria Math" w:hAnsi="Cambria Math" w:cs="Times New Roman"/>
                <w:lang w:val="en-US"/>
              </w:rPr>
              <m:t>i,t</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l-GR"/>
              </w:rPr>
              <m:t>ε</m:t>
            </m:r>
          </m:e>
          <m:sub>
            <m:r>
              <w:rPr>
                <w:rFonts w:ascii="Cambria Math" w:hAnsi="Cambria Math" w:cs="Times New Roman"/>
                <w:lang w:val="en-US"/>
              </w:rPr>
              <m:t>i,t</m:t>
            </m:r>
          </m:sub>
        </m:sSub>
      </m:oMath>
    </w:p>
    <w:p w14:paraId="0776B8C7" w14:textId="77777777" w:rsidR="00E24325" w:rsidRPr="00785BF3" w:rsidRDefault="00E24325" w:rsidP="00CA7220">
      <w:pPr>
        <w:spacing w:line="480" w:lineRule="auto"/>
        <w:jc w:val="both"/>
        <w:rPr>
          <w:rFonts w:ascii="Times New Roman" w:hAnsi="Times New Roman" w:cs="Times New Roman"/>
          <w:iCs/>
          <w:lang w:val="en-US"/>
        </w:rPr>
      </w:pPr>
    </w:p>
    <w:p w14:paraId="709B6FC0" w14:textId="77777777" w:rsidR="00E24325" w:rsidRPr="00785BF3" w:rsidRDefault="00E24325" w:rsidP="00CA7220">
      <w:pPr>
        <w:spacing w:line="480" w:lineRule="auto"/>
        <w:jc w:val="both"/>
        <w:rPr>
          <w:rFonts w:ascii="Times New Roman" w:hAnsi="Times New Roman" w:cs="Times New Roman"/>
          <w:iCs/>
          <w:lang w:val="en-US"/>
        </w:rPr>
      </w:pPr>
      <w:r w:rsidRPr="00785BF3">
        <w:rPr>
          <w:rFonts w:ascii="Times New Roman" w:hAnsi="Times New Roman" w:cs="Times New Roman"/>
          <w:iCs/>
          <w:lang w:val="en-US"/>
        </w:rPr>
        <w:lastRenderedPageBreak/>
        <w:t xml:space="preserve">According to Lintner's (1956) study, SOA equals </w:t>
      </w:r>
      <m:oMath>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l-GR"/>
              </w:rPr>
              <m:t>β</m:t>
            </m:r>
          </m:e>
          <m:sub>
            <m:r>
              <w:rPr>
                <w:rFonts w:ascii="Cambria Math" w:hAnsi="Cambria Math" w:cs="Times New Roman"/>
                <w:lang w:val="en-US"/>
              </w:rPr>
              <m:t>1i</m:t>
            </m:r>
          </m:sub>
        </m:sSub>
      </m:oMath>
      <w:r w:rsidRPr="00785BF3">
        <w:rPr>
          <w:rFonts w:ascii="Times New Roman" w:hAnsi="Times New Roman" w:cs="Times New Roman"/>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(1-</m:t>
            </m:r>
            <m:r>
              <w:rPr>
                <w:rFonts w:ascii="Cambria Math" w:hAnsi="Cambria Math" w:cs="Times New Roman"/>
                <w:lang w:val="el-GR"/>
              </w:rPr>
              <m:t>λ</m:t>
            </m:r>
          </m:e>
          <m:sub>
            <m:r>
              <w:rPr>
                <w:rFonts w:ascii="Cambria Math" w:hAnsi="Cambria Math" w:cs="Times New Roman"/>
                <w:lang w:val="en-US"/>
              </w:rPr>
              <m:t>i</m:t>
            </m:r>
          </m:sub>
        </m:sSub>
        <m:r>
          <w:rPr>
            <w:rFonts w:ascii="Cambria Math" w:hAnsi="Cambria Math" w:cs="Times New Roman"/>
            <w:lang w:val="en-US"/>
          </w:rPr>
          <m:t>)</m:t>
        </m:r>
      </m:oMath>
      <w:r w:rsidRPr="00785BF3">
        <w:rPr>
          <w:rFonts w:ascii="Times New Roman" w:hAnsi="Times New Roman" w:cs="Times New Roman"/>
          <w:iCs/>
          <w:lang w:val="en-US"/>
        </w:rPr>
        <w:t xml:space="preserve"> represents the calculation of the degree of dividend smoothing. Overall, greater SOA represents significant dividend payout volatility, whereas a lower SOA indicates high dividend smoothing.</w:t>
      </w:r>
    </w:p>
    <w:p w14:paraId="161B0134" w14:textId="77777777" w:rsidR="00E24325" w:rsidRPr="00785BF3" w:rsidRDefault="00E24325" w:rsidP="00CA7220">
      <w:pPr>
        <w:spacing w:line="480" w:lineRule="auto"/>
        <w:jc w:val="both"/>
        <w:rPr>
          <w:rFonts w:ascii="Times New Roman" w:hAnsi="Times New Roman" w:cs="Times New Roman"/>
        </w:rPr>
      </w:pPr>
    </w:p>
    <w:p w14:paraId="2509E376" w14:textId="79C44D3B" w:rsidR="00E24325" w:rsidRPr="00742B4A" w:rsidRDefault="00742B4A" w:rsidP="00CA7220">
      <w:pPr>
        <w:pStyle w:val="Heading2"/>
        <w:spacing w:line="480" w:lineRule="auto"/>
        <w:jc w:val="both"/>
        <w:rPr>
          <w:rFonts w:ascii="Times New Roman" w:hAnsi="Times New Roman" w:cs="Times New Roman"/>
          <w:color w:val="auto"/>
          <w:sz w:val="24"/>
          <w:szCs w:val="24"/>
          <w:lang w:val="en-US"/>
        </w:rPr>
      </w:pPr>
      <w:bookmarkStart w:id="13" w:name="_Toc167763042"/>
      <w:r w:rsidRPr="00742B4A">
        <w:rPr>
          <w:rFonts w:ascii="Times New Roman" w:hAnsi="Times New Roman" w:cs="Times New Roman"/>
          <w:color w:val="auto"/>
          <w:sz w:val="24"/>
          <w:szCs w:val="24"/>
          <w:lang w:val="en-US"/>
        </w:rPr>
        <w:t xml:space="preserve">5.2 </w:t>
      </w:r>
      <w:r w:rsidR="00E24325" w:rsidRPr="00742B4A">
        <w:rPr>
          <w:rFonts w:ascii="Times New Roman" w:hAnsi="Times New Roman" w:cs="Times New Roman"/>
          <w:color w:val="auto"/>
          <w:sz w:val="24"/>
          <w:szCs w:val="24"/>
          <w:lang w:val="en-US"/>
        </w:rPr>
        <w:t>Measurement of Accounting Fraud</w:t>
      </w:r>
      <w:bookmarkEnd w:id="13"/>
    </w:p>
    <w:p w14:paraId="0767E8DB" w14:textId="77777777" w:rsidR="00E24325" w:rsidRPr="00785BF3" w:rsidRDefault="00E24325" w:rsidP="00CA7220">
      <w:pPr>
        <w:spacing w:line="480" w:lineRule="auto"/>
        <w:jc w:val="both"/>
        <w:rPr>
          <w:rFonts w:ascii="Times New Roman" w:hAnsi="Times New Roman" w:cs="Times New Roman"/>
        </w:rPr>
      </w:pPr>
    </w:p>
    <w:p w14:paraId="385CDBDF" w14:textId="5EFCEB3F" w:rsidR="00E24325" w:rsidRPr="00785BF3" w:rsidRDefault="0009399F" w:rsidP="00CA7220">
      <w:pPr>
        <w:spacing w:line="480" w:lineRule="auto"/>
        <w:jc w:val="both"/>
        <w:rPr>
          <w:rFonts w:ascii="Times New Roman" w:hAnsi="Times New Roman" w:cs="Times New Roman"/>
        </w:rPr>
      </w:pPr>
      <w:r>
        <w:rPr>
          <w:rFonts w:ascii="Times New Roman" w:hAnsi="Times New Roman" w:cs="Times New Roman"/>
        </w:rPr>
        <w:t>I</w:t>
      </w:r>
      <w:r w:rsidR="00E24325" w:rsidRPr="00785BF3">
        <w:rPr>
          <w:rFonts w:ascii="Times New Roman" w:hAnsi="Times New Roman" w:cs="Times New Roman"/>
        </w:rPr>
        <w:t xml:space="preserve"> obtain </w:t>
      </w:r>
      <w:r w:rsidR="00F742B1">
        <w:rPr>
          <w:rFonts w:ascii="Times New Roman" w:hAnsi="Times New Roman" w:cs="Times New Roman"/>
        </w:rPr>
        <w:t>a</w:t>
      </w:r>
      <w:r w:rsidR="00E24325" w:rsidRPr="00785BF3">
        <w:rPr>
          <w:rFonts w:ascii="Times New Roman" w:hAnsi="Times New Roman" w:cs="Times New Roman"/>
        </w:rPr>
        <w:t>ccounting fraud</w:t>
      </w:r>
      <w:r w:rsidR="00F742B1">
        <w:rPr>
          <w:rFonts w:ascii="Times New Roman" w:hAnsi="Times New Roman" w:cs="Times New Roman"/>
        </w:rPr>
        <w:t xml:space="preserve"> data</w:t>
      </w:r>
      <w:r w:rsidR="00E24325" w:rsidRPr="00785BF3">
        <w:rPr>
          <w:rFonts w:ascii="Times New Roman" w:hAnsi="Times New Roman" w:cs="Times New Roman"/>
        </w:rPr>
        <w:t xml:space="preserve"> </w:t>
      </w:r>
      <w:r w:rsidR="00E24325" w:rsidRPr="008902EB">
        <w:rPr>
          <w:rFonts w:ascii="Times New Roman" w:hAnsi="Times New Roman" w:cs="Times New Roman"/>
        </w:rPr>
        <w:t>from Bao et al. (2020) who</w:t>
      </w:r>
      <w:r w:rsidR="00E24325" w:rsidRPr="00785BF3">
        <w:rPr>
          <w:rFonts w:ascii="Times New Roman" w:hAnsi="Times New Roman" w:cs="Times New Roman"/>
        </w:rPr>
        <w:t xml:space="preserve"> developed a sophisticated fraud prediction model using a machine learning approach, which leverages domain knowledge and raw accounting data. The ‘Fraud’ variable represents</w:t>
      </w:r>
      <w:r w:rsidR="00EF5766">
        <w:rPr>
          <w:rFonts w:ascii="Times New Roman" w:hAnsi="Times New Roman" w:cs="Times New Roman"/>
        </w:rPr>
        <w:t xml:space="preserve"> accounting</w:t>
      </w:r>
      <w:r w:rsidR="00E24325" w:rsidRPr="00785BF3">
        <w:rPr>
          <w:rFonts w:ascii="Times New Roman" w:hAnsi="Times New Roman" w:cs="Times New Roman"/>
        </w:rPr>
        <w:t xml:space="preserve"> misstatements amongst firms with 1 and 0 representing misstatements and no misstatements, respectively. </w:t>
      </w:r>
      <w:r w:rsidR="009E292A">
        <w:rPr>
          <w:rFonts w:ascii="Times New Roman" w:hAnsi="Times New Roman" w:cs="Times New Roman"/>
        </w:rPr>
        <w:t xml:space="preserve">This binary classification allows for precise quantification of fraud’s impacts on financial metrics. </w:t>
      </w:r>
    </w:p>
    <w:p w14:paraId="5D6BCA55" w14:textId="77777777" w:rsidR="00E24325" w:rsidRPr="00785BF3" w:rsidRDefault="00E24325" w:rsidP="00CA7220">
      <w:pPr>
        <w:spacing w:line="480" w:lineRule="auto"/>
        <w:jc w:val="both"/>
        <w:rPr>
          <w:rFonts w:ascii="Times New Roman" w:hAnsi="Times New Roman" w:cs="Times New Roman"/>
        </w:rPr>
      </w:pPr>
    </w:p>
    <w:p w14:paraId="0B3E144C" w14:textId="573A08DC" w:rsidR="00E24325" w:rsidRPr="00742B4A" w:rsidRDefault="00742B4A" w:rsidP="00CA7220">
      <w:pPr>
        <w:pStyle w:val="Heading2"/>
        <w:spacing w:line="480" w:lineRule="auto"/>
        <w:jc w:val="both"/>
        <w:rPr>
          <w:rFonts w:ascii="Times New Roman" w:hAnsi="Times New Roman" w:cs="Times New Roman"/>
          <w:color w:val="auto"/>
          <w:sz w:val="24"/>
          <w:szCs w:val="24"/>
          <w:lang w:val="en-US"/>
        </w:rPr>
      </w:pPr>
      <w:bookmarkStart w:id="14" w:name="_Toc167763043"/>
      <w:r w:rsidRPr="00742B4A">
        <w:rPr>
          <w:rFonts w:ascii="Times New Roman" w:hAnsi="Times New Roman" w:cs="Times New Roman"/>
          <w:color w:val="auto"/>
          <w:sz w:val="24"/>
          <w:szCs w:val="24"/>
          <w:lang w:val="en-US"/>
        </w:rPr>
        <w:t xml:space="preserve">5.3 </w:t>
      </w:r>
      <w:r w:rsidR="00E24325" w:rsidRPr="00742B4A">
        <w:rPr>
          <w:rFonts w:ascii="Times New Roman" w:hAnsi="Times New Roman" w:cs="Times New Roman"/>
          <w:color w:val="auto"/>
          <w:sz w:val="24"/>
          <w:szCs w:val="24"/>
          <w:lang w:val="en-US"/>
        </w:rPr>
        <w:t>Empirical Model</w:t>
      </w:r>
      <w:bookmarkEnd w:id="14"/>
    </w:p>
    <w:p w14:paraId="679D4CEC" w14:textId="77777777" w:rsidR="00E24325" w:rsidRPr="00785BF3" w:rsidRDefault="00E24325" w:rsidP="00CA7220">
      <w:pPr>
        <w:spacing w:line="480" w:lineRule="auto"/>
        <w:jc w:val="both"/>
        <w:rPr>
          <w:rFonts w:ascii="Times New Roman" w:hAnsi="Times New Roman" w:cs="Times New Roman"/>
          <w:b/>
          <w:bCs/>
          <w:i/>
          <w:lang w:val="en-US"/>
        </w:rPr>
      </w:pPr>
    </w:p>
    <w:p w14:paraId="189CE51C" w14:textId="16A74150" w:rsidR="00E24325" w:rsidRPr="00785BF3" w:rsidRDefault="00E24325" w:rsidP="00CA7220">
      <w:pPr>
        <w:spacing w:line="480" w:lineRule="auto"/>
        <w:jc w:val="both"/>
        <w:rPr>
          <w:rFonts w:ascii="Times New Roman" w:hAnsi="Times New Roman" w:cs="Times New Roman"/>
          <w:iCs/>
          <w:lang w:val="en-US"/>
        </w:rPr>
      </w:pPr>
      <w:r w:rsidRPr="00785BF3">
        <w:rPr>
          <w:rFonts w:ascii="Times New Roman" w:hAnsi="Times New Roman" w:cs="Times New Roman"/>
          <w:iCs/>
          <w:lang w:val="en-US"/>
        </w:rPr>
        <w:t xml:space="preserve">The </w:t>
      </w:r>
      <w:r w:rsidR="00FF55E1">
        <w:rPr>
          <w:rFonts w:ascii="Times New Roman" w:hAnsi="Times New Roman" w:cs="Times New Roman"/>
          <w:iCs/>
          <w:lang w:val="en-US"/>
        </w:rPr>
        <w:t>main</w:t>
      </w:r>
      <w:r w:rsidRPr="00785BF3">
        <w:rPr>
          <w:rFonts w:ascii="Times New Roman" w:hAnsi="Times New Roman" w:cs="Times New Roman"/>
          <w:iCs/>
          <w:lang w:val="en-US"/>
        </w:rPr>
        <w:t xml:space="preserve"> goal of this study is to investigate the relationship between accounting fraud and dividend smoothing. </w:t>
      </w:r>
      <w:r w:rsidR="0009399F">
        <w:rPr>
          <w:rFonts w:ascii="Times New Roman" w:hAnsi="Times New Roman" w:cs="Times New Roman"/>
          <w:iCs/>
          <w:lang w:val="en-US"/>
        </w:rPr>
        <w:t>My</w:t>
      </w:r>
      <w:r w:rsidRPr="00785BF3">
        <w:rPr>
          <w:rFonts w:ascii="Times New Roman" w:hAnsi="Times New Roman" w:cs="Times New Roman"/>
          <w:iCs/>
          <w:lang w:val="en-US"/>
        </w:rPr>
        <w:t xml:space="preserve"> O</w:t>
      </w:r>
      <w:r w:rsidR="00EA12B0">
        <w:rPr>
          <w:rFonts w:ascii="Times New Roman" w:hAnsi="Times New Roman" w:cs="Times New Roman"/>
          <w:iCs/>
          <w:lang w:val="en-US"/>
        </w:rPr>
        <w:t>LS</w:t>
      </w:r>
      <w:r w:rsidRPr="00785BF3">
        <w:rPr>
          <w:rFonts w:ascii="Times New Roman" w:hAnsi="Times New Roman" w:cs="Times New Roman"/>
          <w:iCs/>
          <w:lang w:val="en-US"/>
        </w:rPr>
        <w:t xml:space="preserve"> regression is as follows:</w:t>
      </w:r>
    </w:p>
    <w:p w14:paraId="560E21D0" w14:textId="77777777" w:rsidR="00E24325" w:rsidRPr="00785BF3" w:rsidRDefault="00E24325" w:rsidP="00CA7220">
      <w:pPr>
        <w:spacing w:line="480" w:lineRule="auto"/>
        <w:jc w:val="both"/>
        <w:rPr>
          <w:rFonts w:ascii="Times New Roman" w:hAnsi="Times New Roman" w:cs="Times New Roman"/>
          <w:b/>
          <w:iCs/>
          <w:lang w:val="en-US"/>
        </w:rPr>
      </w:pPr>
      <w:r w:rsidRPr="00785BF3">
        <w:rPr>
          <w:rFonts w:ascii="Times New Roman" w:hAnsi="Times New Roman" w:cs="Times New Roman"/>
          <w:b/>
          <w:iCs/>
          <w:lang w:val="en-US"/>
        </w:rPr>
        <w:tab/>
      </w:r>
    </w:p>
    <w:p w14:paraId="7733FCB4" w14:textId="77777777" w:rsidR="00E24325" w:rsidRPr="00785BF3" w:rsidRDefault="00000000" w:rsidP="00CA7220">
      <w:pPr>
        <w:pStyle w:val="ListParagraph"/>
        <w:numPr>
          <w:ilvl w:val="0"/>
          <w:numId w:val="2"/>
        </w:numPr>
        <w:spacing w:line="480" w:lineRule="auto"/>
        <w:jc w:val="both"/>
        <w:rPr>
          <w:rFonts w:ascii="Times New Roman" w:hAnsi="Times New Roman" w:cs="Times New Roman"/>
        </w:rPr>
      </w:pPr>
      <m:oMath>
        <m:sSub>
          <m:sSubPr>
            <m:ctrlPr>
              <w:rPr>
                <w:rFonts w:ascii="Cambria Math" w:hAnsi="Cambria Math" w:cs="Times New Roman"/>
                <w:i/>
                <w:iCs/>
                <w:lang w:val="en-US"/>
              </w:rPr>
            </m:ctrlPr>
          </m:sSubPr>
          <m:e>
            <m:r>
              <w:rPr>
                <w:rFonts w:ascii="Cambria Math" w:hAnsi="Cambria Math" w:cs="Times New Roman"/>
                <w:lang w:val="en-US"/>
              </w:rPr>
              <m:t>SOA</m:t>
            </m:r>
          </m:e>
          <m:sub>
            <m:r>
              <w:rPr>
                <w:rFonts w:ascii="Cambria Math" w:hAnsi="Cambria Math" w:cs="Times New Roman"/>
                <w:lang w:val="en-US"/>
              </w:rPr>
              <m:t>t</m:t>
            </m:r>
          </m:sub>
        </m:sSub>
        <m:r>
          <w:rPr>
            <w:rFonts w:ascii="Cambria Math" w:hAnsi="Cambria Math" w:cs="Times New Roman"/>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rPr>
            </m:ctrlPr>
          </m:sSubPr>
          <m:e>
            <m:r>
              <w:rPr>
                <w:rFonts w:ascii="Cambria Math" w:hAnsi="Cambria Math" w:cs="Times New Roman"/>
              </w:rPr>
              <m:t>Fraud</m:t>
            </m:r>
          </m:e>
          <m:sub>
            <m:r>
              <w:rPr>
                <w:rFonts w:ascii="Cambria Math" w:hAnsi="Cambria Math" w:cs="Times New Roman"/>
              </w:rPr>
              <m:t>i</m:t>
            </m:r>
          </m:sub>
        </m:sSub>
        <m:r>
          <w:rPr>
            <w:rFonts w:ascii="Cambria Math" w:hAnsi="Cambria Math" w:cs="Times New Roman"/>
          </w:rPr>
          <m:t>,t-1+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Control Variables+Fixed Effects+εi</m:t>
        </m:r>
      </m:oMath>
    </w:p>
    <w:p w14:paraId="4E07DE15" w14:textId="77777777" w:rsidR="009E292A" w:rsidRDefault="009E292A" w:rsidP="00CA7220">
      <w:pPr>
        <w:spacing w:line="480" w:lineRule="auto"/>
        <w:jc w:val="both"/>
        <w:rPr>
          <w:rFonts w:ascii="Times New Roman" w:hAnsi="Times New Roman" w:cs="Times New Roman"/>
          <w:iCs/>
          <w:lang w:val="en-US"/>
        </w:rPr>
      </w:pPr>
    </w:p>
    <w:p w14:paraId="024613FE" w14:textId="03932463" w:rsidR="009E292A" w:rsidRPr="009E292A" w:rsidRDefault="009E292A" w:rsidP="00CA7220">
      <w:pPr>
        <w:spacing w:line="480" w:lineRule="auto"/>
        <w:jc w:val="both"/>
        <w:rPr>
          <w:rFonts w:ascii="Times New Roman" w:hAnsi="Times New Roman" w:cs="Times New Roman"/>
          <w:iCs/>
          <w:lang w:val="en-US"/>
        </w:rPr>
      </w:pPr>
      <w:r>
        <w:rPr>
          <w:rFonts w:ascii="Times New Roman" w:hAnsi="Times New Roman" w:cs="Times New Roman"/>
          <w:iCs/>
          <w:lang w:val="en-US"/>
        </w:rPr>
        <w:t>Where the</w:t>
      </w:r>
      <w:r w:rsidR="00E24325" w:rsidRPr="00785BF3">
        <w:rPr>
          <w:rFonts w:ascii="Times New Roman" w:hAnsi="Times New Roman" w:cs="Times New Roman"/>
          <w:iCs/>
          <w:lang w:val="en-US"/>
        </w:rPr>
        <w:t xml:space="preserve"> speed of adjustment </w:t>
      </w:r>
      <w:r w:rsidR="00E24325" w:rsidRPr="00785BF3">
        <w:rPr>
          <w:rFonts w:ascii="Times New Roman" w:hAnsi="Times New Roman" w:cs="Times New Roman"/>
          <w:i/>
          <w:lang w:val="en-US"/>
        </w:rPr>
        <w:t xml:space="preserve">(SOA) </w:t>
      </w:r>
      <w:r w:rsidR="00E24325" w:rsidRPr="00785BF3">
        <w:rPr>
          <w:rFonts w:ascii="Times New Roman" w:hAnsi="Times New Roman" w:cs="Times New Roman"/>
          <w:iCs/>
          <w:lang w:val="en-US"/>
        </w:rPr>
        <w:t xml:space="preserve">is </w:t>
      </w:r>
      <w:r w:rsidR="0009399F">
        <w:rPr>
          <w:rFonts w:ascii="Times New Roman" w:hAnsi="Times New Roman" w:cs="Times New Roman"/>
          <w:iCs/>
          <w:lang w:val="en-US"/>
        </w:rPr>
        <w:t>my</w:t>
      </w:r>
      <w:r w:rsidR="00E24325" w:rsidRPr="00785BF3">
        <w:rPr>
          <w:rFonts w:ascii="Times New Roman" w:hAnsi="Times New Roman" w:cs="Times New Roman"/>
          <w:iCs/>
          <w:lang w:val="en-US"/>
        </w:rPr>
        <w:t xml:space="preserve"> dependent variable (defined in section </w:t>
      </w:r>
      <w:r w:rsidR="0032050B">
        <w:rPr>
          <w:rFonts w:ascii="Times New Roman" w:hAnsi="Times New Roman" w:cs="Times New Roman"/>
          <w:iCs/>
          <w:lang w:val="en-US"/>
        </w:rPr>
        <w:t>5.1</w:t>
      </w:r>
      <w:r w:rsidR="00E24325" w:rsidRPr="00785BF3">
        <w:rPr>
          <w:rFonts w:ascii="Times New Roman" w:hAnsi="Times New Roman" w:cs="Times New Roman"/>
          <w:iCs/>
          <w:lang w:val="en-US"/>
        </w:rPr>
        <w:t>)</w:t>
      </w:r>
      <w:r>
        <w:rPr>
          <w:rFonts w:ascii="Times New Roman" w:hAnsi="Times New Roman" w:cs="Times New Roman"/>
          <w:iCs/>
          <w:lang w:val="en-US"/>
        </w:rPr>
        <w:t xml:space="preserve"> and m</w:t>
      </w:r>
      <w:r w:rsidR="0009399F">
        <w:rPr>
          <w:rFonts w:ascii="Times New Roman" w:hAnsi="Times New Roman" w:cs="Times New Roman"/>
          <w:iCs/>
          <w:lang w:val="en-US"/>
        </w:rPr>
        <w:t>y</w:t>
      </w:r>
      <w:r w:rsidR="00E24325" w:rsidRPr="00785BF3">
        <w:rPr>
          <w:rFonts w:ascii="Times New Roman" w:hAnsi="Times New Roman" w:cs="Times New Roman"/>
          <w:iCs/>
          <w:lang w:val="en-US"/>
        </w:rPr>
        <w:t xml:space="preserve"> main independent variable of interest is Accounting Fraud </w:t>
      </w:r>
      <w:r w:rsidR="00E24325" w:rsidRPr="00785BF3">
        <w:rPr>
          <w:rFonts w:ascii="Times New Roman" w:hAnsi="Times New Roman" w:cs="Times New Roman"/>
          <w:i/>
          <w:lang w:val="en-US"/>
        </w:rPr>
        <w:t>(Fraud)</w:t>
      </w:r>
      <w:r w:rsidR="00E24325" w:rsidRPr="00785BF3">
        <w:rPr>
          <w:rFonts w:ascii="Times New Roman" w:hAnsi="Times New Roman" w:cs="Times New Roman"/>
          <w:iCs/>
          <w:lang w:val="en-US"/>
        </w:rPr>
        <w:t xml:space="preserve"> </w:t>
      </w:r>
      <w:r w:rsidR="0032050B">
        <w:rPr>
          <w:rFonts w:ascii="Times New Roman" w:hAnsi="Times New Roman" w:cs="Times New Roman"/>
          <w:iCs/>
          <w:lang w:val="en-US"/>
        </w:rPr>
        <w:t>(</w:t>
      </w:r>
      <w:r w:rsidR="00E24325" w:rsidRPr="00785BF3">
        <w:rPr>
          <w:rFonts w:ascii="Times New Roman" w:hAnsi="Times New Roman" w:cs="Times New Roman"/>
          <w:iCs/>
          <w:lang w:val="en-US"/>
        </w:rPr>
        <w:t xml:space="preserve">defined in section </w:t>
      </w:r>
      <w:r w:rsidR="0032050B">
        <w:rPr>
          <w:rFonts w:ascii="Times New Roman" w:hAnsi="Times New Roman" w:cs="Times New Roman"/>
          <w:iCs/>
          <w:lang w:val="en-US"/>
        </w:rPr>
        <w:t>5.2)</w:t>
      </w:r>
      <w:r w:rsidR="00E24325" w:rsidRPr="00785BF3">
        <w:rPr>
          <w:rFonts w:ascii="Times New Roman" w:hAnsi="Times New Roman" w:cs="Times New Roman"/>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0</m:t>
            </m:r>
          </m:sub>
        </m:sSub>
      </m:oMath>
      <w:r>
        <w:rPr>
          <w:rFonts w:ascii="Times New Roman" w:eastAsiaTheme="minorEastAsia" w:hAnsi="Times New Roman" w:cs="Times New Roman"/>
          <w:iCs/>
          <w:lang w:val="en-US"/>
        </w:rPr>
        <w:t xml:space="preserve"> represents the intercept term,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1</m:t>
            </m:r>
          </m:sub>
        </m:sSub>
      </m:oMath>
      <w:r>
        <w:rPr>
          <w:rFonts w:ascii="Times New Roman" w:eastAsiaTheme="minorEastAsia" w:hAnsi="Times New Roman" w:cs="Times New Roman"/>
          <w:iCs/>
          <w:lang w:val="en-US"/>
        </w:rPr>
        <w:t xml:space="preserve"> is the coefficient for the fraud variable showing the effect on SOA,</w:t>
      </w:r>
      <w:r w:rsidRPr="009E292A">
        <w:rPr>
          <w:rFonts w:ascii="Cambria Math" w:hAnsi="Cambria Math" w:cs="Times New Roman"/>
          <w:i/>
        </w:rPr>
        <w:t xml:space="preserve"> </w:t>
      </w:r>
      <m:oMath>
        <m:r>
          <w:rPr>
            <w:rFonts w:ascii="Cambria Math" w:hAnsi="Cambria Math" w:cs="Times New Roman"/>
          </w:rPr>
          <m:t>εi</m:t>
        </m:r>
      </m:oMath>
      <w:r>
        <w:rPr>
          <w:rFonts w:ascii="Cambria Math" w:eastAsiaTheme="minorEastAsia" w:hAnsi="Cambria Math" w:cs="Times New Roman"/>
          <w:i/>
        </w:rPr>
        <w:t xml:space="preserve"> </w:t>
      </w:r>
      <w:r>
        <w:rPr>
          <w:rFonts w:ascii="Times New Roman" w:eastAsiaTheme="minorEastAsia" w:hAnsi="Times New Roman" w:cs="Times New Roman"/>
          <w:iCs/>
          <w:lang w:val="en-US"/>
        </w:rPr>
        <w:t>is the error term and the control variables are defined below.</w:t>
      </w:r>
    </w:p>
    <w:p w14:paraId="36A4046B" w14:textId="77777777" w:rsidR="009E292A" w:rsidRDefault="009E292A" w:rsidP="00CA7220">
      <w:pPr>
        <w:spacing w:line="480" w:lineRule="auto"/>
        <w:jc w:val="both"/>
        <w:rPr>
          <w:rFonts w:ascii="Times New Roman" w:hAnsi="Times New Roman" w:cs="Times New Roman"/>
          <w:iCs/>
          <w:lang w:val="en-US"/>
        </w:rPr>
      </w:pPr>
    </w:p>
    <w:p w14:paraId="6BEE9986" w14:textId="69CBE77D" w:rsidR="00E24325" w:rsidRPr="00F060DB" w:rsidRDefault="0009399F" w:rsidP="00CA7220">
      <w:pPr>
        <w:spacing w:line="480" w:lineRule="auto"/>
        <w:jc w:val="both"/>
        <w:rPr>
          <w:rFonts w:ascii="Times New Roman" w:hAnsi="Times New Roman" w:cs="Times New Roman"/>
          <w:lang w:val="en-US"/>
        </w:rPr>
      </w:pPr>
      <w:r>
        <w:rPr>
          <w:rFonts w:ascii="Times New Roman" w:hAnsi="Times New Roman" w:cs="Times New Roman"/>
        </w:rPr>
        <w:lastRenderedPageBreak/>
        <w:t>I</w:t>
      </w:r>
      <w:r w:rsidR="00E24325" w:rsidRPr="00785BF3">
        <w:rPr>
          <w:rFonts w:ascii="Times New Roman" w:hAnsi="Times New Roman" w:cs="Times New Roman"/>
        </w:rPr>
        <w:t xml:space="preserve"> account for various firm characteristics that previous research has identified as potential causes of cross-sectional variation in dividend smoothing. </w:t>
      </w:r>
      <w:r w:rsidR="00E24325" w:rsidRPr="008902EB">
        <w:rPr>
          <w:rFonts w:ascii="Times New Roman" w:hAnsi="Times New Roman" w:cs="Times New Roman"/>
        </w:rPr>
        <w:t>Deangelo et al. (2006)</w:t>
      </w:r>
      <w:r w:rsidR="00E24325" w:rsidRPr="00785BF3">
        <w:rPr>
          <w:rFonts w:ascii="Times New Roman" w:hAnsi="Times New Roman" w:cs="Times New Roman"/>
        </w:rPr>
        <w:t xml:space="preserve"> and</w:t>
      </w:r>
      <w:r w:rsidR="00E24325" w:rsidRPr="00785BF3">
        <w:rPr>
          <w:rFonts w:ascii="Times New Roman" w:hAnsi="Times New Roman" w:cs="Times New Roman"/>
          <w:iCs/>
          <w:lang w:val="en-US"/>
        </w:rPr>
        <w:t xml:space="preserve"> Leary and </w:t>
      </w:r>
      <w:proofErr w:type="spellStart"/>
      <w:r w:rsidR="00E24325" w:rsidRPr="00785BF3">
        <w:rPr>
          <w:rFonts w:ascii="Times New Roman" w:hAnsi="Times New Roman" w:cs="Times New Roman"/>
          <w:iCs/>
          <w:lang w:val="en-US"/>
        </w:rPr>
        <w:t>Michaely</w:t>
      </w:r>
      <w:proofErr w:type="spellEnd"/>
      <w:r w:rsidR="00E24325" w:rsidRPr="00785BF3">
        <w:rPr>
          <w:rFonts w:ascii="Times New Roman" w:hAnsi="Times New Roman" w:cs="Times New Roman"/>
          <w:iCs/>
          <w:lang w:val="en-US"/>
        </w:rPr>
        <w:t xml:space="preserve"> (2011</w:t>
      </w:r>
      <w:r w:rsidR="00E24325" w:rsidRPr="00785BF3">
        <w:rPr>
          <w:rFonts w:ascii="Times New Roman" w:hAnsi="Times New Roman" w:cs="Times New Roman"/>
          <w:lang w:val="en-US"/>
        </w:rPr>
        <w:t xml:space="preserve">) discovered that larger and older firms smooth more than younger and smaller firms. As a result, to represent size and information asymmetry, </w:t>
      </w:r>
      <w:r>
        <w:rPr>
          <w:rFonts w:ascii="Times New Roman" w:hAnsi="Times New Roman" w:cs="Times New Roman"/>
          <w:lang w:val="en-US"/>
        </w:rPr>
        <w:t>I</w:t>
      </w:r>
      <w:r w:rsidR="00E24325" w:rsidRPr="00785BF3">
        <w:rPr>
          <w:rFonts w:ascii="Times New Roman" w:hAnsi="Times New Roman" w:cs="Times New Roman"/>
          <w:lang w:val="en-US"/>
        </w:rPr>
        <w:t xml:space="preserve"> employ the natural logarithm of market value (</w:t>
      </w:r>
      <w:r w:rsidR="00E24325" w:rsidRPr="00785BF3">
        <w:rPr>
          <w:rFonts w:ascii="Times New Roman" w:hAnsi="Times New Roman" w:cs="Times New Roman"/>
          <w:i/>
          <w:iCs/>
          <w:lang w:val="en-US"/>
        </w:rPr>
        <w:t>Size</w:t>
      </w:r>
      <w:r w:rsidR="00E24325" w:rsidRPr="00785BF3">
        <w:rPr>
          <w:rFonts w:ascii="Times New Roman" w:hAnsi="Times New Roman" w:cs="Times New Roman"/>
          <w:lang w:val="en-US"/>
        </w:rPr>
        <w:t>), firm age (</w:t>
      </w:r>
      <w:r w:rsidR="00E24325" w:rsidRPr="00785BF3">
        <w:rPr>
          <w:rFonts w:ascii="Times New Roman" w:hAnsi="Times New Roman" w:cs="Times New Roman"/>
          <w:i/>
          <w:iCs/>
          <w:lang w:val="en-US"/>
        </w:rPr>
        <w:t>Firm Age</w:t>
      </w:r>
      <w:r w:rsidR="00E24325" w:rsidRPr="00785BF3">
        <w:rPr>
          <w:rFonts w:ascii="Times New Roman" w:hAnsi="Times New Roman" w:cs="Times New Roman"/>
          <w:lang w:val="en-US"/>
        </w:rPr>
        <w:t>), and firm tangibility (</w:t>
      </w:r>
      <w:r w:rsidR="00E24325" w:rsidRPr="00785BF3">
        <w:rPr>
          <w:rFonts w:ascii="Times New Roman" w:hAnsi="Times New Roman" w:cs="Times New Roman"/>
          <w:i/>
          <w:iCs/>
          <w:lang w:val="en-US"/>
        </w:rPr>
        <w:t>Tangibility)</w:t>
      </w:r>
      <w:r w:rsidR="00E24325" w:rsidRPr="00785BF3">
        <w:rPr>
          <w:rFonts w:ascii="Times New Roman" w:hAnsi="Times New Roman" w:cs="Times New Roman"/>
          <w:lang w:val="en-US"/>
        </w:rPr>
        <w:t xml:space="preserve">. As well as this, </w:t>
      </w:r>
      <w:r>
        <w:rPr>
          <w:rFonts w:ascii="Times New Roman" w:hAnsi="Times New Roman" w:cs="Times New Roman"/>
          <w:lang w:val="en-US"/>
        </w:rPr>
        <w:t>I</w:t>
      </w:r>
      <w:r w:rsidR="00E24325" w:rsidRPr="00785BF3">
        <w:rPr>
          <w:rFonts w:ascii="Times New Roman" w:hAnsi="Times New Roman" w:cs="Times New Roman"/>
          <w:lang w:val="en-US"/>
        </w:rPr>
        <w:t xml:space="preserve"> employ </w:t>
      </w:r>
      <w:r w:rsidR="00E24325" w:rsidRPr="00785BF3">
        <w:rPr>
          <w:rFonts w:ascii="Times New Roman" w:hAnsi="Times New Roman" w:cs="Times New Roman"/>
        </w:rPr>
        <w:t xml:space="preserve">the market to book ratio (MB) and sales growth (Sales Growth) to adjust for growth opportunities following previous </w:t>
      </w:r>
      <w:r w:rsidR="00E24325" w:rsidRPr="008902EB">
        <w:rPr>
          <w:rFonts w:ascii="Times New Roman" w:hAnsi="Times New Roman" w:cs="Times New Roman"/>
        </w:rPr>
        <w:t>literature (</w:t>
      </w:r>
      <w:proofErr w:type="spellStart"/>
      <w:r w:rsidR="00E24325" w:rsidRPr="008902EB">
        <w:rPr>
          <w:rFonts w:ascii="Times New Roman" w:hAnsi="Times New Roman" w:cs="Times New Roman"/>
        </w:rPr>
        <w:t>Abogun</w:t>
      </w:r>
      <w:proofErr w:type="spellEnd"/>
      <w:r w:rsidR="00E24325" w:rsidRPr="008902EB">
        <w:rPr>
          <w:rFonts w:ascii="Times New Roman" w:hAnsi="Times New Roman" w:cs="Times New Roman"/>
        </w:rPr>
        <w:t xml:space="preserve"> et al., 2021; Chen et al., 2022). Higher profitability and earnings are associated with reduced dividend smoothing</w:t>
      </w:r>
      <w:r w:rsidR="00E24325" w:rsidRPr="00785BF3">
        <w:rPr>
          <w:rFonts w:ascii="Times New Roman" w:hAnsi="Times New Roman" w:cs="Times New Roman"/>
        </w:rPr>
        <w:t xml:space="preserve"> as seen in previous studies, thus, use </w:t>
      </w:r>
      <w:r w:rsidR="00E24325" w:rsidRPr="00785BF3">
        <w:rPr>
          <w:rFonts w:ascii="Times New Roman" w:hAnsi="Times New Roman" w:cs="Times New Roman"/>
          <w:i/>
          <w:iCs/>
        </w:rPr>
        <w:t>EBITDA</w:t>
      </w:r>
      <w:r w:rsidR="00E24325" w:rsidRPr="00785BF3">
        <w:rPr>
          <w:rFonts w:ascii="Times New Roman" w:hAnsi="Times New Roman" w:cs="Times New Roman"/>
        </w:rPr>
        <w:t xml:space="preserve"> to control for profitability and the AR(1) earnings model (</w:t>
      </w:r>
      <w:r w:rsidR="00E24325" w:rsidRPr="00785BF3">
        <w:rPr>
          <w:rFonts w:ascii="Times New Roman" w:hAnsi="Times New Roman" w:cs="Times New Roman"/>
          <w:i/>
          <w:iCs/>
        </w:rPr>
        <w:t>EarningsAR1</w:t>
      </w:r>
      <w:r w:rsidR="00E24325" w:rsidRPr="00785BF3">
        <w:rPr>
          <w:rFonts w:ascii="Times New Roman" w:hAnsi="Times New Roman" w:cs="Times New Roman"/>
        </w:rPr>
        <w:t>) autoregressive parameter to account for consistent earnings.</w:t>
      </w:r>
      <w:r w:rsidR="00903F21">
        <w:rPr>
          <w:rFonts w:ascii="Times New Roman" w:hAnsi="Times New Roman" w:cs="Times New Roman"/>
        </w:rPr>
        <w:t xml:space="preserve"> In addition</w:t>
      </w:r>
      <w:r w:rsidR="00E24325" w:rsidRPr="008902EB">
        <w:rPr>
          <w:rFonts w:ascii="Times New Roman" w:hAnsi="Times New Roman" w:cs="Times New Roman"/>
        </w:rPr>
        <w:t xml:space="preserve">, </w:t>
      </w:r>
      <w:r>
        <w:rPr>
          <w:rFonts w:ascii="Times New Roman" w:hAnsi="Times New Roman" w:cs="Times New Roman"/>
        </w:rPr>
        <w:t>I</w:t>
      </w:r>
      <w:r w:rsidR="00E24325" w:rsidRPr="008902EB">
        <w:rPr>
          <w:rFonts w:ascii="Times New Roman" w:hAnsi="Times New Roman" w:cs="Times New Roman"/>
        </w:rPr>
        <w:t xml:space="preserve"> include leverage (</w:t>
      </w:r>
      <w:r w:rsidR="00E24325" w:rsidRPr="008902EB">
        <w:rPr>
          <w:rFonts w:ascii="Times New Roman" w:hAnsi="Times New Roman" w:cs="Times New Roman"/>
          <w:i/>
          <w:iCs/>
        </w:rPr>
        <w:t>Leverage</w:t>
      </w:r>
      <w:r w:rsidR="00E24325" w:rsidRPr="008902EB">
        <w:rPr>
          <w:rFonts w:ascii="Times New Roman" w:hAnsi="Times New Roman" w:cs="Times New Roman"/>
        </w:rPr>
        <w:t>), tangibility (</w:t>
      </w:r>
      <w:r w:rsidR="00E24325" w:rsidRPr="008902EB">
        <w:rPr>
          <w:rFonts w:ascii="Times New Roman" w:hAnsi="Times New Roman" w:cs="Times New Roman"/>
          <w:i/>
          <w:iCs/>
        </w:rPr>
        <w:t>Tangibility</w:t>
      </w:r>
      <w:r w:rsidR="00E24325" w:rsidRPr="008902EB">
        <w:rPr>
          <w:rFonts w:ascii="Times New Roman" w:hAnsi="Times New Roman" w:cs="Times New Roman"/>
        </w:rPr>
        <w:t>), and dividends payout (</w:t>
      </w:r>
      <w:r w:rsidR="00E24325" w:rsidRPr="008902EB">
        <w:rPr>
          <w:rFonts w:ascii="Times New Roman" w:hAnsi="Times New Roman" w:cs="Times New Roman"/>
          <w:i/>
          <w:iCs/>
        </w:rPr>
        <w:t>Payout</w:t>
      </w:r>
      <w:r w:rsidR="00E24325" w:rsidRPr="008902EB">
        <w:rPr>
          <w:rFonts w:ascii="Times New Roman" w:hAnsi="Times New Roman" w:cs="Times New Roman"/>
        </w:rPr>
        <w:t>) to reflect the firm's financial flexibility and dividend payment level, following prior research (</w:t>
      </w:r>
      <w:proofErr w:type="spellStart"/>
      <w:r w:rsidR="00E24325" w:rsidRPr="008902EB">
        <w:rPr>
          <w:rFonts w:ascii="Times New Roman" w:hAnsi="Times New Roman" w:cs="Times New Roman"/>
        </w:rPr>
        <w:t>Garmaise</w:t>
      </w:r>
      <w:proofErr w:type="spellEnd"/>
      <w:r w:rsidR="00E24325" w:rsidRPr="008902EB">
        <w:rPr>
          <w:rFonts w:ascii="Times New Roman" w:hAnsi="Times New Roman" w:cs="Times New Roman"/>
          <w:lang w:val="en-US"/>
        </w:rPr>
        <w:t xml:space="preserve"> and </w:t>
      </w:r>
      <w:r w:rsidR="00E24325" w:rsidRPr="008902EB">
        <w:rPr>
          <w:rFonts w:ascii="Times New Roman" w:hAnsi="Times New Roman" w:cs="Times New Roman"/>
        </w:rPr>
        <w:t>Natividad</w:t>
      </w:r>
      <w:r w:rsidR="00E24325" w:rsidRPr="008902EB">
        <w:rPr>
          <w:rFonts w:ascii="Times New Roman" w:hAnsi="Times New Roman" w:cs="Times New Roman"/>
          <w:lang w:val="en-US"/>
        </w:rPr>
        <w:t xml:space="preserve">, 2021; Leary and </w:t>
      </w:r>
      <w:proofErr w:type="spellStart"/>
      <w:r w:rsidR="00E24325" w:rsidRPr="008902EB">
        <w:rPr>
          <w:rFonts w:ascii="Times New Roman" w:hAnsi="Times New Roman" w:cs="Times New Roman"/>
          <w:lang w:val="en-US"/>
        </w:rPr>
        <w:t>Michaely</w:t>
      </w:r>
      <w:proofErr w:type="spellEnd"/>
      <w:r w:rsidR="00E24325" w:rsidRPr="008902EB">
        <w:rPr>
          <w:rFonts w:ascii="Times New Roman" w:hAnsi="Times New Roman" w:cs="Times New Roman"/>
          <w:lang w:val="en-US"/>
        </w:rPr>
        <w:t xml:space="preserve">, 2011). </w:t>
      </w:r>
      <w:r w:rsidR="00E24325" w:rsidRPr="008902EB">
        <w:rPr>
          <w:rFonts w:ascii="Times New Roman" w:hAnsi="Times New Roman" w:cs="Times New Roman"/>
        </w:rPr>
        <w:t>In</w:t>
      </w:r>
      <w:r w:rsidR="00E24325" w:rsidRPr="00785BF3">
        <w:rPr>
          <w:rFonts w:ascii="Times New Roman" w:hAnsi="Times New Roman" w:cs="Times New Roman"/>
        </w:rPr>
        <w:t xml:space="preserve"> order to account for firm investment and risk, </w:t>
      </w:r>
      <w:r>
        <w:rPr>
          <w:rFonts w:ascii="Times New Roman" w:hAnsi="Times New Roman" w:cs="Times New Roman"/>
        </w:rPr>
        <w:t>I</w:t>
      </w:r>
      <w:r w:rsidR="00E24325" w:rsidRPr="00785BF3">
        <w:rPr>
          <w:rFonts w:ascii="Times New Roman" w:hAnsi="Times New Roman" w:cs="Times New Roman"/>
        </w:rPr>
        <w:t xml:space="preserve"> employ the ratios of research and development expenses (R&amp;D Expenses) and capital expenditures to total assets (Capex). Additionally, by incorporating Cash Holdings into </w:t>
      </w:r>
      <w:r>
        <w:rPr>
          <w:rFonts w:ascii="Times New Roman" w:hAnsi="Times New Roman" w:cs="Times New Roman"/>
        </w:rPr>
        <w:t>the</w:t>
      </w:r>
      <w:r w:rsidR="00E24325" w:rsidRPr="00785BF3">
        <w:rPr>
          <w:rFonts w:ascii="Times New Roman" w:hAnsi="Times New Roman" w:cs="Times New Roman"/>
        </w:rPr>
        <w:t xml:space="preserve"> model, </w:t>
      </w:r>
      <w:r>
        <w:rPr>
          <w:rFonts w:ascii="Times New Roman" w:hAnsi="Times New Roman" w:cs="Times New Roman"/>
        </w:rPr>
        <w:t>I</w:t>
      </w:r>
      <w:r w:rsidR="00E24325" w:rsidRPr="00785BF3">
        <w:rPr>
          <w:rFonts w:ascii="Times New Roman" w:hAnsi="Times New Roman" w:cs="Times New Roman"/>
        </w:rPr>
        <w:t xml:space="preserve"> anticipate that companies with substantial cash liquidity may be more inclined to </w:t>
      </w:r>
      <w:r w:rsidR="00313BEA">
        <w:rPr>
          <w:rFonts w:ascii="Times New Roman" w:hAnsi="Times New Roman" w:cs="Times New Roman"/>
        </w:rPr>
        <w:t xml:space="preserve">smooth their dividends. </w:t>
      </w:r>
    </w:p>
    <w:p w14:paraId="0F60919E" w14:textId="77777777" w:rsidR="00263EC1" w:rsidRPr="00785BF3" w:rsidRDefault="00263EC1" w:rsidP="00CA7220">
      <w:pPr>
        <w:spacing w:line="480" w:lineRule="auto"/>
        <w:jc w:val="both"/>
        <w:rPr>
          <w:rFonts w:ascii="Times New Roman" w:hAnsi="Times New Roman" w:cs="Times New Roman"/>
        </w:rPr>
      </w:pPr>
    </w:p>
    <w:p w14:paraId="27E6886E" w14:textId="2556A7A9" w:rsidR="00742B4A" w:rsidRPr="000D58E0" w:rsidRDefault="00E24325" w:rsidP="00CA7220">
      <w:pPr>
        <w:spacing w:line="480" w:lineRule="auto"/>
        <w:jc w:val="both"/>
        <w:rPr>
          <w:rFonts w:ascii="Times New Roman" w:hAnsi="Times New Roman" w:cs="Times New Roman"/>
        </w:rPr>
      </w:pPr>
      <w:r w:rsidRPr="008902EB">
        <w:rPr>
          <w:rFonts w:ascii="Times New Roman" w:hAnsi="Times New Roman" w:cs="Times New Roman"/>
        </w:rPr>
        <w:t xml:space="preserve">According to </w:t>
      </w:r>
      <w:proofErr w:type="spellStart"/>
      <w:r w:rsidRPr="008902EB">
        <w:rPr>
          <w:rFonts w:ascii="Times New Roman" w:hAnsi="Times New Roman" w:cs="Times New Roman"/>
        </w:rPr>
        <w:t>Javakhadze</w:t>
      </w:r>
      <w:proofErr w:type="spellEnd"/>
      <w:r w:rsidRPr="008902EB">
        <w:rPr>
          <w:rFonts w:ascii="Times New Roman" w:hAnsi="Times New Roman" w:cs="Times New Roman"/>
        </w:rPr>
        <w:t xml:space="preserve"> et al. (2014), dividend</w:t>
      </w:r>
      <w:r w:rsidRPr="00785BF3">
        <w:rPr>
          <w:rFonts w:ascii="Times New Roman" w:hAnsi="Times New Roman" w:cs="Times New Roman"/>
        </w:rPr>
        <w:t xml:space="preserve"> smoothing is reduced as a result of improved governance quality and increased industry competition, generally speaking as the industry information environment becomes </w:t>
      </w:r>
      <w:r w:rsidR="00F742B1">
        <w:rPr>
          <w:rFonts w:ascii="Times New Roman" w:hAnsi="Times New Roman" w:cs="Times New Roman"/>
        </w:rPr>
        <w:t>less transparent</w:t>
      </w:r>
      <w:r w:rsidRPr="00785BF3">
        <w:rPr>
          <w:rFonts w:ascii="Times New Roman" w:hAnsi="Times New Roman" w:cs="Times New Roman"/>
        </w:rPr>
        <w:t xml:space="preserve"> and investors seek resolution of this uncertainty, firms will engage in more smoothing. Thus, </w:t>
      </w:r>
      <w:r w:rsidR="0009399F">
        <w:rPr>
          <w:rFonts w:ascii="Times New Roman" w:hAnsi="Times New Roman" w:cs="Times New Roman"/>
        </w:rPr>
        <w:t>I</w:t>
      </w:r>
      <w:r w:rsidRPr="00785BF3">
        <w:rPr>
          <w:rFonts w:ascii="Times New Roman" w:hAnsi="Times New Roman" w:cs="Times New Roman"/>
        </w:rPr>
        <w:t xml:space="preserve"> use the Herfindahl-Hirschman Index (</w:t>
      </w:r>
      <w:r w:rsidRPr="00785BF3">
        <w:rPr>
          <w:rFonts w:ascii="Times New Roman" w:hAnsi="Times New Roman" w:cs="Times New Roman"/>
          <w:i/>
          <w:iCs/>
        </w:rPr>
        <w:t>HHI</w:t>
      </w:r>
      <w:r w:rsidRPr="00785BF3">
        <w:rPr>
          <w:rFonts w:ascii="Times New Roman" w:hAnsi="Times New Roman" w:cs="Times New Roman"/>
        </w:rPr>
        <w:t>) to represent competition and institutional ownership (</w:t>
      </w:r>
      <w:r w:rsidRPr="00785BF3">
        <w:rPr>
          <w:rFonts w:ascii="Times New Roman" w:hAnsi="Times New Roman" w:cs="Times New Roman"/>
          <w:i/>
          <w:iCs/>
        </w:rPr>
        <w:t>Institutional Ownership</w:t>
      </w:r>
      <w:r w:rsidRPr="00785BF3">
        <w:rPr>
          <w:rFonts w:ascii="Times New Roman" w:hAnsi="Times New Roman" w:cs="Times New Roman"/>
        </w:rPr>
        <w:t xml:space="preserve">) to control corporate governance quality as the final control variables in </w:t>
      </w:r>
      <w:r w:rsidR="0009399F">
        <w:rPr>
          <w:rFonts w:ascii="Times New Roman" w:hAnsi="Times New Roman" w:cs="Times New Roman"/>
        </w:rPr>
        <w:t>my</w:t>
      </w:r>
      <w:r w:rsidRPr="00785BF3">
        <w:rPr>
          <w:rFonts w:ascii="Times New Roman" w:hAnsi="Times New Roman" w:cs="Times New Roman"/>
        </w:rPr>
        <w:t xml:space="preserve"> model. This is because the ownership structure is crucial for a variety of corporate policies, specifically </w:t>
      </w:r>
      <w:r w:rsidRPr="008902EB">
        <w:rPr>
          <w:rFonts w:ascii="Times New Roman" w:hAnsi="Times New Roman" w:cs="Times New Roman"/>
        </w:rPr>
        <w:t>dividends (Al-</w:t>
      </w:r>
      <w:r w:rsidRPr="008902EB">
        <w:rPr>
          <w:rFonts w:ascii="Times New Roman" w:hAnsi="Times New Roman" w:cs="Times New Roman"/>
        </w:rPr>
        <w:lastRenderedPageBreak/>
        <w:t xml:space="preserve">Najjar and </w:t>
      </w:r>
      <w:proofErr w:type="spellStart"/>
      <w:r w:rsidRPr="008902EB">
        <w:rPr>
          <w:rFonts w:ascii="Times New Roman" w:hAnsi="Times New Roman" w:cs="Times New Roman"/>
        </w:rPr>
        <w:t>Kilincarslan</w:t>
      </w:r>
      <w:proofErr w:type="spellEnd"/>
      <w:r w:rsidRPr="008902EB">
        <w:rPr>
          <w:rFonts w:ascii="Times New Roman" w:hAnsi="Times New Roman" w:cs="Times New Roman"/>
        </w:rPr>
        <w:t xml:space="preserve">, 2016; </w:t>
      </w:r>
      <w:proofErr w:type="spellStart"/>
      <w:r w:rsidRPr="008902EB">
        <w:rPr>
          <w:rFonts w:ascii="Times New Roman" w:hAnsi="Times New Roman" w:cs="Times New Roman"/>
        </w:rPr>
        <w:t>Javakhasde</w:t>
      </w:r>
      <w:proofErr w:type="spellEnd"/>
      <w:r w:rsidRPr="008902EB">
        <w:rPr>
          <w:rFonts w:ascii="Times New Roman" w:hAnsi="Times New Roman" w:cs="Times New Roman"/>
        </w:rPr>
        <w:t xml:space="preserve"> et al., 2014).</w:t>
      </w:r>
      <w:r w:rsidRPr="00785BF3">
        <w:rPr>
          <w:rFonts w:ascii="Times New Roman" w:hAnsi="Times New Roman" w:cs="Times New Roman"/>
        </w:rPr>
        <w:t xml:space="preserve"> </w:t>
      </w:r>
      <w:r w:rsidR="00FF55E1">
        <w:rPr>
          <w:rFonts w:ascii="Times New Roman" w:hAnsi="Times New Roman" w:cs="Times New Roman"/>
        </w:rPr>
        <w:t>T</w:t>
      </w:r>
      <w:r w:rsidRPr="00785BF3">
        <w:rPr>
          <w:rFonts w:ascii="Times New Roman" w:hAnsi="Times New Roman" w:cs="Times New Roman"/>
        </w:rPr>
        <w:t xml:space="preserve">o account for unobservable firm-level variations and time-invariant unobservable effects, </w:t>
      </w:r>
      <w:r w:rsidR="00FF55E1">
        <w:rPr>
          <w:rFonts w:ascii="Times New Roman" w:hAnsi="Times New Roman" w:cs="Times New Roman"/>
        </w:rPr>
        <w:t xml:space="preserve">in all regressions, </w:t>
      </w:r>
      <w:r w:rsidR="0009399F">
        <w:rPr>
          <w:rFonts w:ascii="Times New Roman" w:hAnsi="Times New Roman" w:cs="Times New Roman"/>
        </w:rPr>
        <w:t>I</w:t>
      </w:r>
      <w:r w:rsidRPr="00785BF3">
        <w:rPr>
          <w:rFonts w:ascii="Times New Roman" w:hAnsi="Times New Roman" w:cs="Times New Roman"/>
        </w:rPr>
        <w:t xml:space="preserve"> include both year and firm-fixed</w:t>
      </w:r>
      <w:r w:rsidR="00FF55E1">
        <w:rPr>
          <w:rFonts w:ascii="Times New Roman" w:hAnsi="Times New Roman" w:cs="Times New Roman"/>
        </w:rPr>
        <w:t xml:space="preserve"> effects. </w:t>
      </w:r>
      <w:r w:rsidRPr="00785BF3">
        <w:rPr>
          <w:rFonts w:ascii="Times New Roman" w:hAnsi="Times New Roman" w:cs="Times New Roman"/>
        </w:rPr>
        <w:t xml:space="preserve">The standard errors in this study are grouped at the firm level following </w:t>
      </w:r>
      <w:r w:rsidR="00C256D6" w:rsidRPr="00785BF3">
        <w:rPr>
          <w:rFonts w:ascii="Times New Roman" w:hAnsi="Times New Roman" w:cs="Times New Roman"/>
        </w:rPr>
        <w:t>prior</w:t>
      </w:r>
      <w:r w:rsidRPr="00785BF3">
        <w:rPr>
          <w:rFonts w:ascii="Times New Roman" w:hAnsi="Times New Roman" w:cs="Times New Roman"/>
        </w:rPr>
        <w:t xml:space="preserve"> research </w:t>
      </w:r>
      <w:r w:rsidRPr="008902EB">
        <w:rPr>
          <w:rFonts w:ascii="Times New Roman" w:hAnsi="Times New Roman" w:cs="Times New Roman"/>
        </w:rPr>
        <w:t>(</w:t>
      </w:r>
      <w:proofErr w:type="spellStart"/>
      <w:r w:rsidRPr="008902EB">
        <w:rPr>
          <w:rFonts w:ascii="Times New Roman" w:hAnsi="Times New Roman" w:cs="Times New Roman"/>
        </w:rPr>
        <w:t>Rangvid</w:t>
      </w:r>
      <w:proofErr w:type="spellEnd"/>
      <w:r w:rsidRPr="008902EB">
        <w:rPr>
          <w:rFonts w:ascii="Times New Roman" w:hAnsi="Times New Roman" w:cs="Times New Roman"/>
        </w:rPr>
        <w:t xml:space="preserve">, Schmeling &amp; </w:t>
      </w:r>
      <w:proofErr w:type="spellStart"/>
      <w:r w:rsidRPr="008902EB">
        <w:rPr>
          <w:rFonts w:ascii="Times New Roman" w:hAnsi="Times New Roman" w:cs="Times New Roman"/>
        </w:rPr>
        <w:t>Schrimpf</w:t>
      </w:r>
      <w:proofErr w:type="spellEnd"/>
      <w:r w:rsidRPr="008902EB">
        <w:rPr>
          <w:rFonts w:ascii="Times New Roman" w:hAnsi="Times New Roman" w:cs="Times New Roman"/>
        </w:rPr>
        <w:t xml:space="preserve">, 2014; Leary and Michaely, 2011). In addition, </w:t>
      </w:r>
      <w:r w:rsidR="0009399F">
        <w:rPr>
          <w:rFonts w:ascii="Times New Roman" w:hAnsi="Times New Roman" w:cs="Times New Roman"/>
        </w:rPr>
        <w:t>I</w:t>
      </w:r>
      <w:r w:rsidRPr="008902EB">
        <w:rPr>
          <w:rFonts w:ascii="Times New Roman" w:hAnsi="Times New Roman" w:cs="Times New Roman"/>
        </w:rPr>
        <w:t xml:space="preserve"> </w:t>
      </w:r>
      <w:proofErr w:type="spellStart"/>
      <w:r w:rsidRPr="008902EB">
        <w:rPr>
          <w:rFonts w:ascii="Times New Roman" w:hAnsi="Times New Roman" w:cs="Times New Roman"/>
        </w:rPr>
        <w:t>winorize</w:t>
      </w:r>
      <w:proofErr w:type="spellEnd"/>
      <w:r w:rsidRPr="008902EB">
        <w:rPr>
          <w:rFonts w:ascii="Times New Roman" w:hAnsi="Times New Roman" w:cs="Times New Roman"/>
        </w:rPr>
        <w:t xml:space="preserve"> all continuous</w:t>
      </w:r>
      <w:r w:rsidRPr="00785BF3">
        <w:rPr>
          <w:rFonts w:ascii="Times New Roman" w:hAnsi="Times New Roman" w:cs="Times New Roman"/>
        </w:rPr>
        <w:t xml:space="preserve"> control variables at the 1st and 99th percentiles of their distributions to reduce the impact of outliers. All variables are identified and defined in Appendix A.</w:t>
      </w:r>
    </w:p>
    <w:p w14:paraId="10409BAF" w14:textId="5FB534FF" w:rsidR="00537A5B" w:rsidRPr="00537A5B" w:rsidRDefault="00E2432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15" w:name="_Toc167763044"/>
      <w:r w:rsidRPr="00742B4A">
        <w:rPr>
          <w:rFonts w:ascii="Times New Roman" w:eastAsia="Times New Roman" w:hAnsi="Times New Roman" w:cs="Times New Roman"/>
          <w:b/>
          <w:bCs/>
          <w:color w:val="auto"/>
          <w:sz w:val="24"/>
          <w:szCs w:val="24"/>
          <w:lang w:eastAsia="en-GB"/>
        </w:rPr>
        <w:t xml:space="preserve">Results </w:t>
      </w:r>
      <w:r w:rsidR="00742B4A" w:rsidRPr="00742B4A">
        <w:rPr>
          <w:rFonts w:ascii="Times New Roman" w:eastAsia="Times New Roman" w:hAnsi="Times New Roman" w:cs="Times New Roman"/>
          <w:b/>
          <w:bCs/>
          <w:color w:val="auto"/>
          <w:sz w:val="24"/>
          <w:szCs w:val="24"/>
          <w:lang w:eastAsia="en-GB"/>
        </w:rPr>
        <w:t>and Empirical analysis</w:t>
      </w:r>
      <w:bookmarkEnd w:id="15"/>
    </w:p>
    <w:p w14:paraId="74FAEAE8" w14:textId="3D70B019" w:rsidR="000215AD" w:rsidRDefault="00742B4A" w:rsidP="00CA7220">
      <w:pPr>
        <w:pStyle w:val="Heading2"/>
        <w:spacing w:line="480" w:lineRule="auto"/>
        <w:jc w:val="both"/>
        <w:rPr>
          <w:rFonts w:ascii="Times New Roman" w:hAnsi="Times New Roman" w:cs="Times New Roman"/>
          <w:color w:val="auto"/>
          <w:sz w:val="24"/>
          <w:szCs w:val="24"/>
        </w:rPr>
      </w:pPr>
      <w:bookmarkStart w:id="16" w:name="_Toc167763045"/>
      <w:r w:rsidRPr="00742B4A">
        <w:rPr>
          <w:rFonts w:ascii="Times New Roman" w:hAnsi="Times New Roman" w:cs="Times New Roman"/>
          <w:color w:val="auto"/>
          <w:sz w:val="24"/>
          <w:szCs w:val="24"/>
        </w:rPr>
        <w:t xml:space="preserve">6.1 </w:t>
      </w:r>
      <w:r w:rsidR="00537A5B">
        <w:rPr>
          <w:rFonts w:ascii="Times New Roman" w:hAnsi="Times New Roman" w:cs="Times New Roman"/>
          <w:color w:val="auto"/>
          <w:sz w:val="24"/>
          <w:szCs w:val="24"/>
        </w:rPr>
        <w:t>Overview of data</w:t>
      </w:r>
      <w:bookmarkEnd w:id="16"/>
    </w:p>
    <w:p w14:paraId="6CFA7AA1" w14:textId="77777777" w:rsidR="00332161" w:rsidRPr="00332161" w:rsidRDefault="00332161" w:rsidP="00332161"/>
    <w:p w14:paraId="2B2CBE25" w14:textId="272081F5" w:rsidR="00537A5B" w:rsidRDefault="00537A5B" w:rsidP="00CA7220">
      <w:pPr>
        <w:pStyle w:val="Heading3"/>
        <w:spacing w:line="480" w:lineRule="auto"/>
        <w:jc w:val="both"/>
        <w:rPr>
          <w:rFonts w:ascii="Times New Roman" w:hAnsi="Times New Roman" w:cs="Times New Roman"/>
          <w:color w:val="auto"/>
          <w:sz w:val="24"/>
          <w:szCs w:val="24"/>
        </w:rPr>
      </w:pPr>
      <w:bookmarkStart w:id="17" w:name="_Toc167763046"/>
      <w:r w:rsidRPr="00537A5B">
        <w:rPr>
          <w:rFonts w:ascii="Times New Roman" w:hAnsi="Times New Roman" w:cs="Times New Roman"/>
          <w:color w:val="auto"/>
          <w:sz w:val="24"/>
          <w:szCs w:val="24"/>
        </w:rPr>
        <w:t>6.1.1 Descriptive Statistics</w:t>
      </w:r>
      <w:bookmarkEnd w:id="17"/>
      <w:r w:rsidRPr="00537A5B">
        <w:rPr>
          <w:rFonts w:ascii="Times New Roman" w:hAnsi="Times New Roman" w:cs="Times New Roman"/>
          <w:color w:val="auto"/>
          <w:sz w:val="24"/>
          <w:szCs w:val="24"/>
        </w:rPr>
        <w:t xml:space="preserve"> </w:t>
      </w:r>
    </w:p>
    <w:p w14:paraId="4B684AA3" w14:textId="77777777" w:rsidR="00CA7220" w:rsidRPr="00CA7220" w:rsidRDefault="00CA7220" w:rsidP="00CA7220"/>
    <w:p w14:paraId="1B2B9C5B" w14:textId="4C811750" w:rsidR="00E24325" w:rsidRPr="00742B4A" w:rsidRDefault="00E24325" w:rsidP="00CA7220">
      <w:pPr>
        <w:spacing w:line="480" w:lineRule="auto"/>
        <w:jc w:val="both"/>
        <w:rPr>
          <w:rFonts w:ascii="Times New Roman" w:hAnsi="Times New Roman" w:cs="Times New Roman"/>
          <w:i/>
          <w:iCs/>
        </w:rPr>
      </w:pPr>
      <w:r w:rsidRPr="00742B4A">
        <w:rPr>
          <w:rFonts w:ascii="Times New Roman" w:hAnsi="Times New Roman" w:cs="Times New Roman"/>
          <w:i/>
          <w:iCs/>
        </w:rPr>
        <w:t>Year</w:t>
      </w:r>
      <w:r w:rsidR="00537A5B">
        <w:rPr>
          <w:rFonts w:ascii="Times New Roman" w:hAnsi="Times New Roman" w:cs="Times New Roman"/>
          <w:i/>
          <w:iCs/>
        </w:rPr>
        <w:t>ly</w:t>
      </w:r>
      <w:r w:rsidRPr="00742B4A">
        <w:rPr>
          <w:rFonts w:ascii="Times New Roman" w:hAnsi="Times New Roman" w:cs="Times New Roman"/>
          <w:i/>
          <w:iCs/>
        </w:rPr>
        <w:t xml:space="preserve"> Distribution</w:t>
      </w:r>
    </w:p>
    <w:p w14:paraId="477F05CF" w14:textId="77777777" w:rsidR="00E24325" w:rsidRPr="00785BF3" w:rsidRDefault="00E24325" w:rsidP="00CA7220">
      <w:pPr>
        <w:spacing w:line="480" w:lineRule="auto"/>
        <w:jc w:val="both"/>
        <w:rPr>
          <w:rFonts w:ascii="Times New Roman" w:hAnsi="Times New Roman" w:cs="Times New Roman"/>
          <w:b/>
          <w:bCs/>
        </w:rPr>
      </w:pPr>
    </w:p>
    <w:p w14:paraId="46BFAF53" w14:textId="5155EFD7" w:rsidR="00E24325"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t>The data f</w:t>
      </w:r>
      <w:r w:rsidR="00F742B1">
        <w:rPr>
          <w:rFonts w:ascii="Times New Roman" w:hAnsi="Times New Roman" w:cs="Times New Roman"/>
        </w:rPr>
        <w:t>ro</w:t>
      </w:r>
      <w:r w:rsidRPr="00785BF3">
        <w:rPr>
          <w:rFonts w:ascii="Times New Roman" w:hAnsi="Times New Roman" w:cs="Times New Roman"/>
        </w:rPr>
        <w:t xml:space="preserve">m Panel A show that the year 2008 has the highest number </w:t>
      </w:r>
      <w:r w:rsidR="00F742B1">
        <w:rPr>
          <w:rFonts w:ascii="Times New Roman" w:hAnsi="Times New Roman" w:cs="Times New Roman"/>
        </w:rPr>
        <w:t xml:space="preserve">of </w:t>
      </w:r>
      <w:r w:rsidRPr="00785BF3">
        <w:rPr>
          <w:rFonts w:ascii="Times New Roman" w:hAnsi="Times New Roman" w:cs="Times New Roman"/>
        </w:rPr>
        <w:t xml:space="preserve">observations (9.58%), while year 2000 has the lowest number (7.28%). Notably, 2008 also presents the lowest fraud rate of 0.004 and the lowest value of SOA of 0.464, suggesting the highest presence of dividend smoothing. In contrast, the presence of fraud reached its peak in 1998 at 0.048, while the highest level of SOA (lowest smoothing level) was seen in 2002 at 0.612. </w:t>
      </w:r>
      <w:r w:rsidR="0009399F">
        <w:rPr>
          <w:rFonts w:ascii="Times New Roman" w:hAnsi="Times New Roman" w:cs="Times New Roman"/>
        </w:rPr>
        <w:t>I</w:t>
      </w:r>
      <w:r w:rsidRPr="00785BF3">
        <w:rPr>
          <w:rFonts w:ascii="Times New Roman" w:hAnsi="Times New Roman" w:cs="Times New Roman"/>
        </w:rPr>
        <w:t xml:space="preserve"> can infer from the findings that fraud was more widespread in earlier years, while dividend smoothing became most present in later years. This supports </w:t>
      </w:r>
      <w:r w:rsidR="0009399F">
        <w:rPr>
          <w:rFonts w:ascii="Times New Roman" w:hAnsi="Times New Roman" w:cs="Times New Roman"/>
        </w:rPr>
        <w:t>my</w:t>
      </w:r>
      <w:r w:rsidRPr="00785BF3">
        <w:rPr>
          <w:rFonts w:ascii="Times New Roman" w:hAnsi="Times New Roman" w:cs="Times New Roman"/>
        </w:rPr>
        <w:t xml:space="preserve"> theory that firms are more likely to implement dividend smoothing as a strategy to demonstrate financial stability, particularly in times of economic uncertainty such as the 2007 financial crisis. </w:t>
      </w:r>
    </w:p>
    <w:p w14:paraId="04559857" w14:textId="77777777" w:rsidR="00E24325" w:rsidRPr="00785BF3" w:rsidRDefault="00E24325" w:rsidP="00CA7220">
      <w:pPr>
        <w:spacing w:line="480" w:lineRule="auto"/>
        <w:jc w:val="both"/>
        <w:rPr>
          <w:rFonts w:ascii="Times New Roman" w:hAnsi="Times New Roman" w:cs="Times New Roman"/>
        </w:rPr>
      </w:pPr>
    </w:p>
    <w:p w14:paraId="42B5CD55" w14:textId="77777777" w:rsidR="00E24325" w:rsidRPr="00742B4A" w:rsidRDefault="00E24325" w:rsidP="00CA7220">
      <w:pPr>
        <w:spacing w:line="480" w:lineRule="auto"/>
        <w:jc w:val="both"/>
        <w:rPr>
          <w:rFonts w:ascii="Times New Roman" w:hAnsi="Times New Roman" w:cs="Times New Roman"/>
          <w:i/>
          <w:iCs/>
        </w:rPr>
      </w:pPr>
      <w:r w:rsidRPr="00742B4A">
        <w:rPr>
          <w:rFonts w:ascii="Times New Roman" w:hAnsi="Times New Roman" w:cs="Times New Roman"/>
          <w:i/>
          <w:iCs/>
        </w:rPr>
        <w:t>Industry Distribution</w:t>
      </w:r>
    </w:p>
    <w:p w14:paraId="1F5F3A02" w14:textId="77777777" w:rsidR="00E24325" w:rsidRPr="00785BF3" w:rsidRDefault="00E24325" w:rsidP="00CA7220">
      <w:pPr>
        <w:spacing w:line="480" w:lineRule="auto"/>
        <w:jc w:val="both"/>
        <w:rPr>
          <w:rFonts w:ascii="Times New Roman" w:hAnsi="Times New Roman" w:cs="Times New Roman"/>
          <w:b/>
          <w:bCs/>
        </w:rPr>
      </w:pPr>
    </w:p>
    <w:p w14:paraId="539308F9" w14:textId="6A3CFA61" w:rsidR="00E24325"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lastRenderedPageBreak/>
        <w:t xml:space="preserve">Panel B’s results indicate that the </w:t>
      </w:r>
      <w:r w:rsidR="00F742B1">
        <w:rPr>
          <w:rFonts w:ascii="Times New Roman" w:hAnsi="Times New Roman" w:cs="Times New Roman"/>
        </w:rPr>
        <w:t>m</w:t>
      </w:r>
      <w:r w:rsidRPr="00785BF3">
        <w:rPr>
          <w:rFonts w:ascii="Times New Roman" w:hAnsi="Times New Roman" w:cs="Times New Roman"/>
        </w:rPr>
        <w:t xml:space="preserve">achinery industry has the largest number of observations (331), whilst the </w:t>
      </w:r>
      <w:r w:rsidR="00F742B1">
        <w:rPr>
          <w:rFonts w:ascii="Times New Roman" w:hAnsi="Times New Roman" w:cs="Times New Roman"/>
        </w:rPr>
        <w:t>c</w:t>
      </w:r>
      <w:r w:rsidRPr="00785BF3">
        <w:rPr>
          <w:rFonts w:ascii="Times New Roman" w:hAnsi="Times New Roman" w:cs="Times New Roman"/>
        </w:rPr>
        <w:t xml:space="preserve">onstruction industry has the lowest (2). The </w:t>
      </w:r>
      <w:r w:rsidR="00F742B1">
        <w:rPr>
          <w:rFonts w:ascii="Times New Roman" w:hAnsi="Times New Roman" w:cs="Times New Roman"/>
        </w:rPr>
        <w:t>c</w:t>
      </w:r>
      <w:r w:rsidRPr="00785BF3">
        <w:rPr>
          <w:rFonts w:ascii="Times New Roman" w:hAnsi="Times New Roman" w:cs="Times New Roman"/>
        </w:rPr>
        <w:t xml:space="preserve">andy and </w:t>
      </w:r>
      <w:r w:rsidR="00F742B1">
        <w:rPr>
          <w:rFonts w:ascii="Times New Roman" w:hAnsi="Times New Roman" w:cs="Times New Roman"/>
        </w:rPr>
        <w:t>s</w:t>
      </w:r>
      <w:r w:rsidRPr="00785BF3">
        <w:rPr>
          <w:rFonts w:ascii="Times New Roman" w:hAnsi="Times New Roman" w:cs="Times New Roman"/>
        </w:rPr>
        <w:t xml:space="preserve">oda industry records the highest fraud rate at 0.167) and the </w:t>
      </w:r>
      <w:r w:rsidR="00F742B1">
        <w:rPr>
          <w:rFonts w:ascii="Times New Roman" w:hAnsi="Times New Roman" w:cs="Times New Roman"/>
        </w:rPr>
        <w:t>c</w:t>
      </w:r>
      <w:r w:rsidRPr="00785BF3">
        <w:rPr>
          <w:rFonts w:ascii="Times New Roman" w:hAnsi="Times New Roman" w:cs="Times New Roman"/>
        </w:rPr>
        <w:t xml:space="preserve">omputer software industry has the highest SOA value recorded at 0.824, indicating the lowest dividend smoothing value. Conversely, the </w:t>
      </w:r>
      <w:r w:rsidR="00F742B1">
        <w:rPr>
          <w:rFonts w:ascii="Times New Roman" w:hAnsi="Times New Roman" w:cs="Times New Roman"/>
        </w:rPr>
        <w:t>e</w:t>
      </w:r>
      <w:r w:rsidRPr="00785BF3">
        <w:rPr>
          <w:rFonts w:ascii="Times New Roman" w:hAnsi="Times New Roman" w:cs="Times New Roman"/>
        </w:rPr>
        <w:t xml:space="preserve">lectrical </w:t>
      </w:r>
      <w:r w:rsidR="00F742B1">
        <w:rPr>
          <w:rFonts w:ascii="Times New Roman" w:hAnsi="Times New Roman" w:cs="Times New Roman"/>
        </w:rPr>
        <w:t>e</w:t>
      </w:r>
      <w:r w:rsidRPr="00785BF3">
        <w:rPr>
          <w:rFonts w:ascii="Times New Roman" w:hAnsi="Times New Roman" w:cs="Times New Roman"/>
        </w:rPr>
        <w:t>quipment industry has the lowest recorded fraud value at 0.009, other than industries who</w:t>
      </w:r>
      <w:r w:rsidR="00F742B1">
        <w:rPr>
          <w:rFonts w:ascii="Times New Roman" w:hAnsi="Times New Roman" w:cs="Times New Roman"/>
        </w:rPr>
        <w:t>se</w:t>
      </w:r>
      <w:r w:rsidRPr="00785BF3">
        <w:rPr>
          <w:rFonts w:ascii="Times New Roman" w:hAnsi="Times New Roman" w:cs="Times New Roman"/>
        </w:rPr>
        <w:t xml:space="preserve"> observations returned zero presence of fraud. Additionally, the </w:t>
      </w:r>
      <w:r w:rsidR="00F742B1">
        <w:rPr>
          <w:rFonts w:ascii="Times New Roman" w:hAnsi="Times New Roman" w:cs="Times New Roman"/>
        </w:rPr>
        <w:t>a</w:t>
      </w:r>
      <w:r w:rsidRPr="00785BF3">
        <w:rPr>
          <w:rFonts w:ascii="Times New Roman" w:hAnsi="Times New Roman" w:cs="Times New Roman"/>
        </w:rPr>
        <w:t>griculture industry exhibits the lowest value of SOA (-0.23), suggesting the maximum degree of dividend smoothing. These industry-specific trends demonstrate the diverse levels of financial manipulation and stability presentation across sectors. This compl</w:t>
      </w:r>
      <w:r w:rsidR="009571C7">
        <w:rPr>
          <w:rFonts w:ascii="Times New Roman" w:hAnsi="Times New Roman" w:cs="Times New Roman"/>
        </w:rPr>
        <w:t>i</w:t>
      </w:r>
      <w:r w:rsidRPr="00785BF3">
        <w:rPr>
          <w:rFonts w:ascii="Times New Roman" w:hAnsi="Times New Roman" w:cs="Times New Roman"/>
        </w:rPr>
        <w:t xml:space="preserve">ments </w:t>
      </w:r>
      <w:r w:rsidR="0009399F">
        <w:rPr>
          <w:rFonts w:ascii="Times New Roman" w:hAnsi="Times New Roman" w:cs="Times New Roman"/>
        </w:rPr>
        <w:t>my</w:t>
      </w:r>
      <w:r w:rsidRPr="00785BF3">
        <w:rPr>
          <w:rFonts w:ascii="Times New Roman" w:hAnsi="Times New Roman" w:cs="Times New Roman"/>
        </w:rPr>
        <w:t xml:space="preserve"> investigation into how the characteristics of industries affect the relationship between fraud and dividend smoothing. </w:t>
      </w:r>
    </w:p>
    <w:p w14:paraId="10A5F3F3" w14:textId="77777777" w:rsidR="00601827" w:rsidRDefault="00601827" w:rsidP="00CA7220">
      <w:pPr>
        <w:spacing w:line="480" w:lineRule="auto"/>
        <w:jc w:val="both"/>
        <w:rPr>
          <w:rFonts w:ascii="Times New Roman" w:hAnsi="Times New Roman" w:cs="Times New Roman"/>
        </w:rPr>
      </w:pPr>
    </w:p>
    <w:p w14:paraId="6916C130" w14:textId="3E71A7E7" w:rsidR="00CA7220" w:rsidRDefault="00E24325" w:rsidP="00CA7220">
      <w:pPr>
        <w:spacing w:line="480" w:lineRule="auto"/>
        <w:jc w:val="both"/>
        <w:rPr>
          <w:rFonts w:ascii="Times New Roman" w:hAnsi="Times New Roman" w:cs="Times New Roman"/>
        </w:rPr>
      </w:pPr>
      <w:r w:rsidRPr="00785BF3">
        <w:rPr>
          <w:rFonts w:ascii="Times New Roman" w:hAnsi="Times New Roman" w:cs="Times New Roman"/>
        </w:rPr>
        <w:t xml:space="preserve">Overall, </w:t>
      </w:r>
      <w:r w:rsidR="0009399F">
        <w:rPr>
          <w:rFonts w:ascii="Times New Roman" w:hAnsi="Times New Roman" w:cs="Times New Roman"/>
        </w:rPr>
        <w:t>I</w:t>
      </w:r>
      <w:r w:rsidRPr="00785BF3">
        <w:rPr>
          <w:rFonts w:ascii="Times New Roman" w:hAnsi="Times New Roman" w:cs="Times New Roman"/>
        </w:rPr>
        <w:t xml:space="preserve"> can observe that the highest levels of fraud occurred in 1998 and within the </w:t>
      </w:r>
      <w:r w:rsidR="00F742B1">
        <w:rPr>
          <w:rFonts w:ascii="Times New Roman" w:hAnsi="Times New Roman" w:cs="Times New Roman"/>
        </w:rPr>
        <w:t>c</w:t>
      </w:r>
      <w:r w:rsidRPr="00785BF3">
        <w:rPr>
          <w:rFonts w:ascii="Times New Roman" w:hAnsi="Times New Roman" w:cs="Times New Roman"/>
        </w:rPr>
        <w:t xml:space="preserve">andy and </w:t>
      </w:r>
      <w:r w:rsidR="00F742B1">
        <w:rPr>
          <w:rFonts w:ascii="Times New Roman" w:hAnsi="Times New Roman" w:cs="Times New Roman"/>
        </w:rPr>
        <w:t>s</w:t>
      </w:r>
      <w:r w:rsidRPr="00785BF3">
        <w:rPr>
          <w:rFonts w:ascii="Times New Roman" w:hAnsi="Times New Roman" w:cs="Times New Roman"/>
        </w:rPr>
        <w:t xml:space="preserve">oda industry, while the highest levels of dividend smoothing were noted in 2008 within the </w:t>
      </w:r>
      <w:r w:rsidR="00F742B1">
        <w:rPr>
          <w:rFonts w:ascii="Times New Roman" w:hAnsi="Times New Roman" w:cs="Times New Roman"/>
        </w:rPr>
        <w:t>a</w:t>
      </w:r>
      <w:r w:rsidRPr="00785BF3">
        <w:rPr>
          <w:rFonts w:ascii="Times New Roman" w:hAnsi="Times New Roman" w:cs="Times New Roman"/>
        </w:rPr>
        <w:t>griculture sector. These findings do not necessarily show any positive correlation between fraud and dividend smoothing which does</w:t>
      </w:r>
      <w:r w:rsidR="00B82C90">
        <w:rPr>
          <w:rFonts w:ascii="Times New Roman" w:hAnsi="Times New Roman" w:cs="Times New Roman"/>
        </w:rPr>
        <w:t xml:space="preserve"> not </w:t>
      </w:r>
      <w:r w:rsidRPr="00785BF3">
        <w:rPr>
          <w:rFonts w:ascii="Times New Roman" w:hAnsi="Times New Roman" w:cs="Times New Roman"/>
        </w:rPr>
        <w:t xml:space="preserve">contribute to </w:t>
      </w:r>
      <w:r w:rsidR="0009399F">
        <w:rPr>
          <w:rFonts w:ascii="Times New Roman" w:hAnsi="Times New Roman" w:cs="Times New Roman"/>
        </w:rPr>
        <w:t>my</w:t>
      </w:r>
      <w:r w:rsidRPr="00785BF3">
        <w:rPr>
          <w:rFonts w:ascii="Times New Roman" w:hAnsi="Times New Roman" w:cs="Times New Roman"/>
        </w:rPr>
        <w:t xml:space="preserve"> hypothesis, however, this may be a result of outside contexts throughout the years and an overall imperfect market. The diverse trends across industries also match a </w:t>
      </w:r>
      <w:r w:rsidRPr="008902EB">
        <w:rPr>
          <w:rFonts w:ascii="Times New Roman" w:hAnsi="Times New Roman" w:cs="Times New Roman"/>
        </w:rPr>
        <w:t xml:space="preserve">study by </w:t>
      </w:r>
      <w:proofErr w:type="spellStart"/>
      <w:r w:rsidRPr="008902EB">
        <w:rPr>
          <w:rFonts w:ascii="Times New Roman" w:hAnsi="Times New Roman" w:cs="Times New Roman"/>
        </w:rPr>
        <w:t>Adjaoud</w:t>
      </w:r>
      <w:proofErr w:type="spellEnd"/>
      <w:r w:rsidRPr="008902EB">
        <w:rPr>
          <w:rFonts w:ascii="Times New Roman" w:hAnsi="Times New Roman" w:cs="Times New Roman"/>
        </w:rPr>
        <w:t xml:space="preserve"> and Ben Amar (2010) who’s</w:t>
      </w:r>
      <w:r w:rsidRPr="00785BF3">
        <w:rPr>
          <w:rFonts w:ascii="Times New Roman" w:hAnsi="Times New Roman" w:cs="Times New Roman"/>
        </w:rPr>
        <w:t xml:space="preserve"> findings were inconclusive on the relationship between governance quality and dividend policies, indicating that these connections can vary significantly depending on sectors and circumstances.</w:t>
      </w:r>
    </w:p>
    <w:p w14:paraId="0FC45C36" w14:textId="77777777" w:rsidR="00CA7220" w:rsidRDefault="00CA7220" w:rsidP="00CA7220">
      <w:pPr>
        <w:spacing w:line="480" w:lineRule="auto"/>
        <w:jc w:val="both"/>
        <w:rPr>
          <w:rFonts w:ascii="Times New Roman" w:hAnsi="Times New Roman" w:cs="Times New Roman"/>
        </w:rPr>
      </w:pPr>
    </w:p>
    <w:p w14:paraId="5951B712" w14:textId="0761B086" w:rsidR="00742B4A" w:rsidRDefault="00537A5B" w:rsidP="00CA7220">
      <w:pPr>
        <w:pStyle w:val="Heading3"/>
        <w:spacing w:line="480" w:lineRule="auto"/>
        <w:jc w:val="both"/>
        <w:rPr>
          <w:rFonts w:ascii="Times New Roman" w:hAnsi="Times New Roman" w:cs="Times New Roman"/>
          <w:color w:val="auto"/>
          <w:sz w:val="24"/>
          <w:szCs w:val="24"/>
        </w:rPr>
      </w:pPr>
      <w:bookmarkStart w:id="18" w:name="_Toc167763047"/>
      <w:r w:rsidRPr="00537A5B">
        <w:rPr>
          <w:rFonts w:ascii="Times New Roman" w:hAnsi="Times New Roman" w:cs="Times New Roman"/>
          <w:color w:val="auto"/>
          <w:sz w:val="24"/>
          <w:szCs w:val="24"/>
        </w:rPr>
        <w:t>6.1.2 Summary Statistics</w:t>
      </w:r>
      <w:r w:rsidR="00E15C4B">
        <w:rPr>
          <w:rFonts w:ascii="Times New Roman" w:hAnsi="Times New Roman" w:cs="Times New Roman"/>
          <w:color w:val="auto"/>
          <w:sz w:val="24"/>
          <w:szCs w:val="24"/>
        </w:rPr>
        <w:t xml:space="preserve"> &amp; Subsample Analysis</w:t>
      </w:r>
      <w:bookmarkEnd w:id="18"/>
    </w:p>
    <w:p w14:paraId="39BDB912" w14:textId="77777777" w:rsidR="00CA7220" w:rsidRPr="00CA7220" w:rsidRDefault="00CA7220" w:rsidP="00CA7220"/>
    <w:p w14:paraId="27A0152F" w14:textId="19D39D83" w:rsidR="00E24325" w:rsidRDefault="00E24325" w:rsidP="00CA7220">
      <w:pPr>
        <w:spacing w:line="480" w:lineRule="auto"/>
        <w:jc w:val="both"/>
        <w:rPr>
          <w:rFonts w:ascii="Times New Roman" w:hAnsi="Times New Roman" w:cs="Times New Roman"/>
        </w:rPr>
      </w:pPr>
      <w:r w:rsidRPr="00785BF3">
        <w:rPr>
          <w:rFonts w:ascii="Times New Roman" w:hAnsi="Times New Roman" w:cs="Times New Roman"/>
          <w:lang w:val="en-US"/>
        </w:rPr>
        <w:t xml:space="preserve">Panel A of Table 2 represents the summary statistics of </w:t>
      </w:r>
      <w:r w:rsidRPr="00785BF3">
        <w:rPr>
          <w:rFonts w:ascii="Times New Roman" w:hAnsi="Times New Roman" w:cs="Times New Roman"/>
        </w:rPr>
        <w:t xml:space="preserve">firm-year observations between 1998 and 2009 used in </w:t>
      </w:r>
      <w:r w:rsidR="0009399F">
        <w:rPr>
          <w:rFonts w:ascii="Times New Roman" w:hAnsi="Times New Roman" w:cs="Times New Roman"/>
        </w:rPr>
        <w:t>my</w:t>
      </w:r>
      <w:r w:rsidRPr="00785BF3">
        <w:rPr>
          <w:rFonts w:ascii="Times New Roman" w:hAnsi="Times New Roman" w:cs="Times New Roman"/>
        </w:rPr>
        <w:t xml:space="preserve"> model, with all continuous variables are </w:t>
      </w:r>
      <w:proofErr w:type="spellStart"/>
      <w:r w:rsidRPr="00785BF3">
        <w:rPr>
          <w:rFonts w:ascii="Times New Roman" w:hAnsi="Times New Roman" w:cs="Times New Roman"/>
        </w:rPr>
        <w:t>winsorised</w:t>
      </w:r>
      <w:proofErr w:type="spellEnd"/>
      <w:r w:rsidRPr="00785BF3">
        <w:rPr>
          <w:rFonts w:ascii="Times New Roman" w:hAnsi="Times New Roman" w:cs="Times New Roman"/>
        </w:rPr>
        <w:t xml:space="preserve"> at the 1</w:t>
      </w:r>
      <w:r w:rsidRPr="00785BF3">
        <w:rPr>
          <w:rFonts w:ascii="Times New Roman" w:hAnsi="Times New Roman" w:cs="Times New Roman"/>
          <w:vertAlign w:val="superscript"/>
        </w:rPr>
        <w:t>st</w:t>
      </w:r>
      <w:r w:rsidRPr="00785BF3">
        <w:rPr>
          <w:rFonts w:ascii="Times New Roman" w:hAnsi="Times New Roman" w:cs="Times New Roman"/>
        </w:rPr>
        <w:t xml:space="preserve"> and 99</w:t>
      </w:r>
      <w:r w:rsidRPr="00785BF3">
        <w:rPr>
          <w:rFonts w:ascii="Times New Roman" w:hAnsi="Times New Roman" w:cs="Times New Roman"/>
          <w:vertAlign w:val="superscript"/>
        </w:rPr>
        <w:t>th</w:t>
      </w:r>
      <w:r w:rsidRPr="00785BF3">
        <w:rPr>
          <w:rFonts w:ascii="Times New Roman" w:hAnsi="Times New Roman" w:cs="Times New Roman"/>
        </w:rPr>
        <w:t xml:space="preserve"> </w:t>
      </w:r>
      <w:r w:rsidRPr="00785BF3">
        <w:rPr>
          <w:rFonts w:ascii="Times New Roman" w:hAnsi="Times New Roman" w:cs="Times New Roman"/>
        </w:rPr>
        <w:lastRenderedPageBreak/>
        <w:t xml:space="preserve">percentiles. Consistent with earlier studies </w:t>
      </w:r>
      <w:r w:rsidRPr="00785BF3">
        <w:rPr>
          <w:rFonts w:ascii="Times New Roman" w:hAnsi="Times New Roman" w:cs="Times New Roman"/>
          <w:lang w:val="en-US"/>
        </w:rPr>
        <w:t xml:space="preserve">(Leary and </w:t>
      </w:r>
      <w:proofErr w:type="spellStart"/>
      <w:r w:rsidRPr="00785BF3">
        <w:rPr>
          <w:rFonts w:ascii="Times New Roman" w:hAnsi="Times New Roman" w:cs="Times New Roman"/>
          <w:lang w:val="en-US"/>
        </w:rPr>
        <w:t>Michaely</w:t>
      </w:r>
      <w:proofErr w:type="spellEnd"/>
      <w:r w:rsidRPr="00785BF3">
        <w:rPr>
          <w:rFonts w:ascii="Times New Roman" w:hAnsi="Times New Roman" w:cs="Times New Roman"/>
          <w:lang w:val="en-US"/>
        </w:rPr>
        <w:t>, 2011;</w:t>
      </w:r>
      <w:r w:rsidRPr="00785BF3">
        <w:rPr>
          <w:rFonts w:ascii="Times New Roman" w:hAnsi="Times New Roman" w:cs="Times New Roman"/>
        </w:rPr>
        <w:t xml:space="preserve"> Bao et al, 2020), </w:t>
      </w:r>
      <w:r w:rsidRPr="00785BF3">
        <w:rPr>
          <w:rFonts w:ascii="Times New Roman" w:hAnsi="Times New Roman" w:cs="Times New Roman"/>
          <w:lang w:val="en-US"/>
        </w:rPr>
        <w:t xml:space="preserve">the average value of SOA and Misstate is 0.55 and 0.02 respectively, implying low levels of both fraud and dividend smoothing for the average firm. </w:t>
      </w:r>
      <w:r w:rsidRPr="00785BF3">
        <w:rPr>
          <w:rFonts w:ascii="Times New Roman" w:hAnsi="Times New Roman" w:cs="Times New Roman"/>
        </w:rPr>
        <w:t>The common firm age is around 37 years, with a leverage of</w:t>
      </w:r>
      <w:r w:rsidR="00E40DAB">
        <w:rPr>
          <w:rFonts w:ascii="Times New Roman" w:hAnsi="Times New Roman" w:cs="Times New Roman"/>
        </w:rPr>
        <w:t xml:space="preserve"> </w:t>
      </w:r>
      <w:r w:rsidRPr="00785BF3">
        <w:rPr>
          <w:rFonts w:ascii="Times New Roman" w:hAnsi="Times New Roman" w:cs="Times New Roman"/>
        </w:rPr>
        <w:t xml:space="preserve">29% and size of 7.4 (comparable across markets). </w:t>
      </w:r>
      <w:r w:rsidR="0009399F">
        <w:rPr>
          <w:rFonts w:ascii="Times New Roman" w:hAnsi="Times New Roman" w:cs="Times New Roman"/>
        </w:rPr>
        <w:t>The</w:t>
      </w:r>
      <w:r w:rsidRPr="00785BF3">
        <w:rPr>
          <w:rFonts w:ascii="Times New Roman" w:hAnsi="Times New Roman" w:cs="Times New Roman"/>
        </w:rPr>
        <w:t xml:space="preserve"> sample firms typically allocate 3% and 4% of their total assets to R&amp;D and capital expenditure investments, respectively. Moreover, tangible assets account for almost 25% of total assets for the average firm in </w:t>
      </w:r>
      <w:r w:rsidR="0009399F">
        <w:rPr>
          <w:rFonts w:ascii="Times New Roman" w:hAnsi="Times New Roman" w:cs="Times New Roman"/>
        </w:rPr>
        <w:t>the</w:t>
      </w:r>
      <w:r w:rsidRPr="00785BF3">
        <w:rPr>
          <w:rFonts w:ascii="Times New Roman" w:hAnsi="Times New Roman" w:cs="Times New Roman"/>
        </w:rPr>
        <w:t xml:space="preserve"> sample, followed by EBITDA at 16% and cash holdings at 12%, </w:t>
      </w:r>
      <w:r w:rsidRPr="00785BF3">
        <w:rPr>
          <w:rFonts w:ascii="Times New Roman" w:hAnsi="Times New Roman" w:cs="Times New Roman"/>
          <w:lang w:val="en-US"/>
        </w:rPr>
        <w:t>giving insight into the firm</w:t>
      </w:r>
      <w:r w:rsidR="00B52A8C">
        <w:rPr>
          <w:rFonts w:ascii="Times New Roman" w:hAnsi="Times New Roman" w:cs="Times New Roman"/>
          <w:lang w:val="en-US"/>
        </w:rPr>
        <w:t>’s</w:t>
      </w:r>
      <w:r w:rsidRPr="00785BF3">
        <w:rPr>
          <w:rFonts w:ascii="Times New Roman" w:hAnsi="Times New Roman" w:cs="Times New Roman"/>
          <w:lang w:val="en-US"/>
        </w:rPr>
        <w:t xml:space="preserve"> investment and liquidity positions. The Market-to-Book ratio averages a ratio of 2.01 </w:t>
      </w:r>
      <w:r w:rsidRPr="00785BF3">
        <w:rPr>
          <w:rFonts w:ascii="Times New Roman" w:hAnsi="Times New Roman" w:cs="Times New Roman"/>
        </w:rPr>
        <w:t>showing that the chosen firm’s market valuations could be up to twice their equity book value, with moderately low sales growth on average (3%).</w:t>
      </w:r>
      <w:r w:rsidRPr="00785BF3">
        <w:rPr>
          <w:rFonts w:ascii="Times New Roman" w:hAnsi="Times New Roman" w:cs="Times New Roman"/>
          <w:lang w:val="en-US"/>
        </w:rPr>
        <w:t xml:space="preserve"> The average </w:t>
      </w:r>
      <w:r w:rsidRPr="00785BF3">
        <w:rPr>
          <w:rFonts w:ascii="Times New Roman" w:hAnsi="Times New Roman" w:cs="Times New Roman"/>
        </w:rPr>
        <w:t xml:space="preserve">Earnings AR(1) of -0.25 highlights </w:t>
      </w:r>
      <w:r w:rsidR="00F742B1">
        <w:rPr>
          <w:rFonts w:ascii="Times New Roman" w:hAnsi="Times New Roman" w:cs="Times New Roman"/>
        </w:rPr>
        <w:t xml:space="preserve">that </w:t>
      </w:r>
      <w:r w:rsidRPr="00785BF3">
        <w:rPr>
          <w:rFonts w:ascii="Times New Roman" w:hAnsi="Times New Roman" w:cs="Times New Roman"/>
        </w:rPr>
        <w:t xml:space="preserve">the average firm experiences periods of high earnings followed by periods of earnings moving in the opposite direction and vice versa. Lastly, the </w:t>
      </w:r>
      <w:r w:rsidRPr="00785BF3">
        <w:rPr>
          <w:rFonts w:ascii="Times New Roman" w:hAnsi="Times New Roman" w:cs="Times New Roman"/>
          <w:lang w:val="en-US"/>
        </w:rPr>
        <w:t xml:space="preserve">Herfindahl-Hirschman Index score averages 0.17 across the sample, indicating firms have low levels of market concentration on average </w:t>
      </w:r>
      <w:r w:rsidRPr="00785BF3">
        <w:rPr>
          <w:rFonts w:ascii="Times New Roman" w:hAnsi="Times New Roman" w:cs="Times New Roman"/>
        </w:rPr>
        <w:t>which is consistent with diversified industry competition</w:t>
      </w:r>
      <w:r w:rsidRPr="00785BF3">
        <w:rPr>
          <w:rFonts w:ascii="Times New Roman" w:hAnsi="Times New Roman" w:cs="Times New Roman"/>
          <w:lang w:val="en-US"/>
        </w:rPr>
        <w:t xml:space="preserve">. </w:t>
      </w:r>
      <w:r w:rsidRPr="00785BF3">
        <w:rPr>
          <w:rFonts w:ascii="Times New Roman" w:hAnsi="Times New Roman" w:cs="Times New Roman"/>
        </w:rPr>
        <w:t xml:space="preserve">These summary statistics and their analysis provide a foundational understanding of the sample firms' financial dynamics, setting the stage for more detailed investigations into the specific factors influencing dividend smoothing and fraud. </w:t>
      </w:r>
    </w:p>
    <w:p w14:paraId="581505FC" w14:textId="77777777" w:rsidR="00E24325" w:rsidRPr="00785BF3" w:rsidRDefault="00E24325" w:rsidP="00CA7220">
      <w:pPr>
        <w:spacing w:line="480" w:lineRule="auto"/>
        <w:jc w:val="both"/>
        <w:rPr>
          <w:rFonts w:ascii="Times New Roman" w:hAnsi="Times New Roman" w:cs="Times New Roman"/>
          <w:b/>
          <w:bCs/>
        </w:rPr>
      </w:pPr>
    </w:p>
    <w:p w14:paraId="26859635" w14:textId="21A4FAB1" w:rsidR="00E24325" w:rsidRPr="00785BF3" w:rsidRDefault="00E24325" w:rsidP="00CA7220">
      <w:pPr>
        <w:spacing w:line="480" w:lineRule="auto"/>
        <w:jc w:val="both"/>
        <w:rPr>
          <w:rFonts w:ascii="Times New Roman" w:hAnsi="Times New Roman" w:cs="Times New Roman"/>
        </w:rPr>
      </w:pPr>
      <w:r w:rsidRPr="00785BF3">
        <w:rPr>
          <w:rFonts w:ascii="Times New Roman" w:hAnsi="Times New Roman" w:cs="Times New Roman"/>
        </w:rPr>
        <w:t>Table 2,</w:t>
      </w:r>
      <w:r w:rsidRPr="00785BF3">
        <w:rPr>
          <w:rFonts w:ascii="Times New Roman" w:hAnsi="Times New Roman" w:cs="Times New Roman"/>
          <w:b/>
          <w:bCs/>
        </w:rPr>
        <w:t xml:space="preserve"> </w:t>
      </w:r>
      <w:r w:rsidRPr="00785BF3">
        <w:rPr>
          <w:rFonts w:ascii="Times New Roman" w:hAnsi="Times New Roman" w:cs="Times New Roman"/>
        </w:rPr>
        <w:t xml:space="preserve">Panel B, presents the subsample analysis, showing the distinction between companies that have committed accounting fraud and those that have not. A number of intriguing patterns, particularly those involving statistically significant factors as indicated by their p-values, surface from this sample partitioning. </w:t>
      </w:r>
      <w:r w:rsidR="0009399F">
        <w:rPr>
          <w:rFonts w:ascii="Times New Roman" w:hAnsi="Times New Roman" w:cs="Times New Roman"/>
        </w:rPr>
        <w:t>I</w:t>
      </w:r>
      <w:r w:rsidRPr="00785BF3">
        <w:rPr>
          <w:rFonts w:ascii="Times New Roman" w:hAnsi="Times New Roman" w:cs="Times New Roman"/>
        </w:rPr>
        <w:t xml:space="preserve"> infer that companies with a history of accounting fraud (misstate=1) typically have lower SOA levels (0.41), indicating greater dividend smoothing.</w:t>
      </w:r>
      <w:r w:rsidR="00B52A8C">
        <w:rPr>
          <w:rFonts w:ascii="Times New Roman" w:hAnsi="Times New Roman" w:cs="Times New Roman"/>
          <w:lang w:val="en-US"/>
        </w:rPr>
        <w:t xml:space="preserve">  </w:t>
      </w:r>
      <w:r w:rsidRPr="00785BF3">
        <w:rPr>
          <w:rFonts w:ascii="Times New Roman" w:hAnsi="Times New Roman" w:cs="Times New Roman"/>
          <w:lang w:val="en-US"/>
        </w:rPr>
        <w:t xml:space="preserve">Moreover, firms with accounting fraud tend to be larger and </w:t>
      </w:r>
      <w:r w:rsidRPr="008902EB">
        <w:rPr>
          <w:rFonts w:ascii="Times New Roman" w:hAnsi="Times New Roman" w:cs="Times New Roman"/>
          <w:lang w:val="en-US"/>
        </w:rPr>
        <w:t xml:space="preserve">older with higher leverage, however, they have lower Earnings (AR) </w:t>
      </w:r>
      <w:r w:rsidRPr="008902EB">
        <w:rPr>
          <w:rFonts w:ascii="Times New Roman" w:hAnsi="Times New Roman" w:cs="Times New Roman"/>
        </w:rPr>
        <w:t>consistent with previous literature (</w:t>
      </w:r>
      <w:proofErr w:type="spellStart"/>
      <w:r w:rsidRPr="008902EB">
        <w:rPr>
          <w:rFonts w:ascii="Times New Roman" w:hAnsi="Times New Roman" w:cs="Times New Roman"/>
        </w:rPr>
        <w:t>Gerety</w:t>
      </w:r>
      <w:proofErr w:type="spellEnd"/>
      <w:r w:rsidRPr="008902EB">
        <w:rPr>
          <w:rFonts w:ascii="Times New Roman" w:hAnsi="Times New Roman" w:cs="Times New Roman"/>
        </w:rPr>
        <w:t xml:space="preserve"> and Lehn, </w:t>
      </w:r>
      <w:r w:rsidRPr="008902EB">
        <w:rPr>
          <w:rFonts w:ascii="Times New Roman" w:hAnsi="Times New Roman" w:cs="Times New Roman"/>
        </w:rPr>
        <w:lastRenderedPageBreak/>
        <w:t>1997; Skousen et al., 2009).</w:t>
      </w:r>
      <w:r w:rsidRPr="008902EB">
        <w:rPr>
          <w:rFonts w:ascii="Times New Roman" w:hAnsi="Times New Roman" w:cs="Times New Roman"/>
          <w:lang w:val="en-US"/>
        </w:rPr>
        <w:t xml:space="preserve"> As well as this, in </w:t>
      </w:r>
      <w:r w:rsidRPr="008902EB">
        <w:rPr>
          <w:rFonts w:ascii="Times New Roman" w:hAnsi="Times New Roman" w:cs="Times New Roman"/>
        </w:rPr>
        <w:t>firms engaging in accounting fraud,</w:t>
      </w:r>
      <w:r w:rsidRPr="00785BF3">
        <w:rPr>
          <w:rFonts w:ascii="Times New Roman" w:hAnsi="Times New Roman" w:cs="Times New Roman"/>
        </w:rPr>
        <w:t xml:space="preserve"> tangible assets as a fraction of overall assets are less common. These results support </w:t>
      </w:r>
      <w:r w:rsidR="0009399F">
        <w:rPr>
          <w:rFonts w:ascii="Times New Roman" w:hAnsi="Times New Roman" w:cs="Times New Roman"/>
        </w:rPr>
        <w:t>my</w:t>
      </w:r>
      <w:r w:rsidRPr="00785BF3">
        <w:rPr>
          <w:rFonts w:ascii="Times New Roman" w:hAnsi="Times New Roman" w:cs="Times New Roman"/>
        </w:rPr>
        <w:t xml:space="preserve"> hypothesis that </w:t>
      </w:r>
      <w:r w:rsidR="00FF55E1">
        <w:rPr>
          <w:rFonts w:ascii="Times New Roman" w:hAnsi="Times New Roman" w:cs="Times New Roman"/>
        </w:rPr>
        <w:t>accounting fraud is positively correlated with</w:t>
      </w:r>
      <w:r w:rsidRPr="00785BF3">
        <w:rPr>
          <w:rFonts w:ascii="Times New Roman" w:hAnsi="Times New Roman" w:cs="Times New Roman"/>
        </w:rPr>
        <w:t xml:space="preserve"> dividend smoothing. Established</w:t>
      </w:r>
      <w:r w:rsidR="00FF55E1">
        <w:rPr>
          <w:rFonts w:ascii="Times New Roman" w:hAnsi="Times New Roman" w:cs="Times New Roman"/>
        </w:rPr>
        <w:t xml:space="preserve">, </w:t>
      </w:r>
      <w:r w:rsidRPr="00785BF3">
        <w:rPr>
          <w:rFonts w:ascii="Times New Roman" w:hAnsi="Times New Roman" w:cs="Times New Roman"/>
        </w:rPr>
        <w:t>mature companies with greater debt and less consistent profitability may employ dividend smoothing as a tactic to mask their financial vulnerability and project an image of stability to investors. This is especially pertinent in companies engaged in accounting fraud, as the practice of smoothing dividends can serve as a strategy to uphold investor trust and reduce the likelihood of financial investigation.</w:t>
      </w:r>
    </w:p>
    <w:p w14:paraId="4D635731" w14:textId="77777777" w:rsidR="00DC5062" w:rsidRPr="00785BF3" w:rsidRDefault="00DC5062" w:rsidP="00CA7220">
      <w:pPr>
        <w:spacing w:line="480" w:lineRule="auto"/>
        <w:jc w:val="both"/>
        <w:rPr>
          <w:rFonts w:ascii="Times New Roman" w:hAnsi="Times New Roman" w:cs="Times New Roman"/>
        </w:rPr>
      </w:pPr>
    </w:p>
    <w:p w14:paraId="56AAD7DA" w14:textId="4CC4040E" w:rsidR="00263EC1" w:rsidRPr="00742B4A" w:rsidRDefault="00742B4A" w:rsidP="00CA7220">
      <w:pPr>
        <w:pStyle w:val="Heading2"/>
        <w:spacing w:line="480" w:lineRule="auto"/>
        <w:jc w:val="both"/>
        <w:rPr>
          <w:rFonts w:ascii="Times New Roman" w:hAnsi="Times New Roman" w:cs="Times New Roman"/>
          <w:color w:val="auto"/>
          <w:sz w:val="24"/>
          <w:szCs w:val="24"/>
        </w:rPr>
      </w:pPr>
      <w:bookmarkStart w:id="19" w:name="_Toc167763048"/>
      <w:r>
        <w:rPr>
          <w:rFonts w:ascii="Times New Roman" w:hAnsi="Times New Roman" w:cs="Times New Roman"/>
          <w:color w:val="auto"/>
          <w:sz w:val="24"/>
          <w:szCs w:val="24"/>
        </w:rPr>
        <w:t>6.</w:t>
      </w:r>
      <w:r w:rsidR="00537A5B">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00537A5B">
        <w:rPr>
          <w:rFonts w:ascii="Times New Roman" w:hAnsi="Times New Roman" w:cs="Times New Roman"/>
          <w:color w:val="auto"/>
          <w:sz w:val="24"/>
          <w:szCs w:val="24"/>
        </w:rPr>
        <w:t>Main analysis and Regressions</w:t>
      </w:r>
      <w:bookmarkEnd w:id="19"/>
    </w:p>
    <w:p w14:paraId="48544F13" w14:textId="77777777" w:rsidR="00537A5B" w:rsidRDefault="00537A5B" w:rsidP="00CA7220">
      <w:pPr>
        <w:spacing w:line="480" w:lineRule="auto"/>
        <w:jc w:val="both"/>
        <w:rPr>
          <w:rFonts w:ascii="Times New Roman" w:hAnsi="Times New Roman" w:cs="Times New Roman"/>
          <w:b/>
          <w:bCs/>
        </w:rPr>
      </w:pPr>
    </w:p>
    <w:p w14:paraId="3E6374F9" w14:textId="43CA3173" w:rsidR="00537A5B" w:rsidRPr="00537A5B" w:rsidRDefault="00537A5B" w:rsidP="00CA7220">
      <w:pPr>
        <w:pStyle w:val="Heading3"/>
        <w:spacing w:line="480" w:lineRule="auto"/>
        <w:jc w:val="both"/>
        <w:rPr>
          <w:rFonts w:ascii="Times New Roman" w:hAnsi="Times New Roman" w:cs="Times New Roman"/>
          <w:color w:val="auto"/>
          <w:sz w:val="24"/>
          <w:szCs w:val="24"/>
        </w:rPr>
      </w:pPr>
      <w:bookmarkStart w:id="20" w:name="_Toc167763049"/>
      <w:r w:rsidRPr="00537A5B">
        <w:rPr>
          <w:rFonts w:ascii="Times New Roman" w:hAnsi="Times New Roman" w:cs="Times New Roman"/>
          <w:color w:val="auto"/>
          <w:sz w:val="24"/>
          <w:szCs w:val="24"/>
        </w:rPr>
        <w:t>6.2.1 The Impact of Accounting Fraud on Dividend Smoothing</w:t>
      </w:r>
      <w:bookmarkEnd w:id="20"/>
    </w:p>
    <w:p w14:paraId="2C49720F" w14:textId="77777777" w:rsidR="00537A5B" w:rsidRPr="00263EC1" w:rsidRDefault="00537A5B" w:rsidP="00CA7220">
      <w:pPr>
        <w:spacing w:line="480" w:lineRule="auto"/>
        <w:jc w:val="both"/>
        <w:rPr>
          <w:rFonts w:ascii="Times New Roman" w:hAnsi="Times New Roman" w:cs="Times New Roman"/>
          <w:b/>
          <w:bCs/>
        </w:rPr>
      </w:pPr>
    </w:p>
    <w:p w14:paraId="7327AF04" w14:textId="6C43EAE2" w:rsidR="00263EC1" w:rsidRDefault="00263EC1" w:rsidP="00CA7220">
      <w:pPr>
        <w:spacing w:line="480" w:lineRule="auto"/>
        <w:jc w:val="both"/>
        <w:rPr>
          <w:rFonts w:ascii="Times New Roman" w:hAnsi="Times New Roman" w:cs="Times New Roman"/>
        </w:rPr>
      </w:pPr>
      <w:r w:rsidRPr="00263EC1">
        <w:rPr>
          <w:rFonts w:ascii="Times New Roman" w:hAnsi="Times New Roman" w:cs="Times New Roman"/>
        </w:rPr>
        <w:t xml:space="preserve">Table 3 analyses the impact of accounting fraud on the Speed of Adjustment (SOA), using Ordinary Least Squares (OLS) regressions which allows for clear interpretations and resilience in estimating the correlations between the dependent and independent variables. This regression includes industry fixed effects, adjusted for heteroscedasticity. This methodology aligns with previous investigations (Bao et al., 2020; Leary and Michaely, 2011). </w:t>
      </w:r>
    </w:p>
    <w:p w14:paraId="279E6ABF" w14:textId="77777777" w:rsidR="00313BEA" w:rsidRPr="00263EC1" w:rsidRDefault="00313BEA" w:rsidP="00CA7220">
      <w:pPr>
        <w:spacing w:line="480" w:lineRule="auto"/>
        <w:jc w:val="both"/>
        <w:rPr>
          <w:rFonts w:ascii="Times New Roman" w:hAnsi="Times New Roman" w:cs="Times New Roman"/>
        </w:rPr>
      </w:pPr>
    </w:p>
    <w:p w14:paraId="54723113" w14:textId="77777777" w:rsidR="00263EC1" w:rsidRPr="00263EC1" w:rsidRDefault="00263EC1" w:rsidP="00CA7220">
      <w:pPr>
        <w:spacing w:line="480" w:lineRule="auto"/>
        <w:jc w:val="both"/>
        <w:rPr>
          <w:rFonts w:ascii="Times New Roman" w:hAnsi="Times New Roman" w:cs="Times New Roman"/>
        </w:rPr>
      </w:pPr>
      <w:r w:rsidRPr="00263EC1">
        <w:rPr>
          <w:rFonts w:ascii="Times New Roman" w:hAnsi="Times New Roman" w:cs="Times New Roman"/>
        </w:rPr>
        <w:t>Based on the results shown in table 3</w:t>
      </w:r>
      <w:r w:rsidRPr="00263EC1">
        <w:rPr>
          <w:rFonts w:ascii="Times New Roman" w:hAnsi="Times New Roman" w:cs="Times New Roman"/>
          <w:lang w:val="en-US"/>
        </w:rPr>
        <w:t xml:space="preserve">, I find that firms with accounting fraud are strongly and negatively (positively) related to the speed-of-adjustment (dividend smoothing), at the 1% level. In economic terms, a one standard deviation increase of accounting fraud decreases SOA by 3.27% ((0.15 x 0.12) / 0.55) relative to its mean and including industry fixed effects, a one </w:t>
      </w:r>
      <w:r w:rsidRPr="00263EC1">
        <w:rPr>
          <w:rFonts w:ascii="Times New Roman" w:hAnsi="Times New Roman" w:cs="Times New Roman"/>
          <w:lang w:val="en-US"/>
        </w:rPr>
        <w:lastRenderedPageBreak/>
        <w:t>standard deviation increase on accounting fraud decreases SOA by 5.18% ((0.15 x 0.19) / 0.55) relative to its mean.</w:t>
      </w:r>
      <w:r w:rsidRPr="00263EC1">
        <w:rPr>
          <w:rFonts w:ascii="Times New Roman" w:hAnsi="Times New Roman" w:cs="Times New Roman"/>
        </w:rPr>
        <w:t> </w:t>
      </w:r>
    </w:p>
    <w:p w14:paraId="3BD19339" w14:textId="77777777" w:rsidR="00263EC1" w:rsidRPr="00263EC1" w:rsidRDefault="00263EC1" w:rsidP="00CA7220">
      <w:pPr>
        <w:spacing w:line="480" w:lineRule="auto"/>
        <w:jc w:val="both"/>
        <w:rPr>
          <w:rFonts w:ascii="Times New Roman" w:hAnsi="Times New Roman" w:cs="Times New Roman"/>
          <w:lang w:val="en-US"/>
        </w:rPr>
      </w:pPr>
      <w:r w:rsidRPr="00263EC1">
        <w:rPr>
          <w:rFonts w:ascii="Times New Roman" w:hAnsi="Times New Roman" w:cs="Times New Roman"/>
          <w:lang w:val="en-US"/>
        </w:rPr>
        <w:t> </w:t>
      </w:r>
    </w:p>
    <w:p w14:paraId="382C9F1B" w14:textId="158ADB2D" w:rsidR="00263EC1" w:rsidRDefault="00263EC1" w:rsidP="00CA7220">
      <w:pPr>
        <w:spacing w:line="480" w:lineRule="auto"/>
        <w:jc w:val="both"/>
        <w:rPr>
          <w:rFonts w:ascii="Times New Roman" w:hAnsi="Times New Roman" w:cs="Times New Roman"/>
        </w:rPr>
      </w:pPr>
      <w:r w:rsidRPr="00263EC1">
        <w:rPr>
          <w:rFonts w:ascii="Times New Roman" w:hAnsi="Times New Roman" w:cs="Times New Roman"/>
          <w:lang w:val="en-US"/>
        </w:rPr>
        <w:t xml:space="preserve">The results of the control variables are also interesting. In line with the findings of Leary and </w:t>
      </w:r>
      <w:proofErr w:type="spellStart"/>
      <w:r w:rsidRPr="00263EC1">
        <w:rPr>
          <w:rFonts w:ascii="Times New Roman" w:hAnsi="Times New Roman" w:cs="Times New Roman"/>
          <w:lang w:val="en-US"/>
        </w:rPr>
        <w:t>Michaely</w:t>
      </w:r>
      <w:proofErr w:type="spellEnd"/>
      <w:r w:rsidRPr="00263EC1">
        <w:rPr>
          <w:rFonts w:ascii="Times New Roman" w:hAnsi="Times New Roman" w:cs="Times New Roman"/>
          <w:lang w:val="en-US"/>
        </w:rPr>
        <w:t xml:space="preserve"> (2011), I find a positive </w:t>
      </w:r>
      <w:r w:rsidR="00FF55E1">
        <w:rPr>
          <w:rFonts w:ascii="Times New Roman" w:hAnsi="Times New Roman" w:cs="Times New Roman"/>
          <w:lang w:val="en-US"/>
        </w:rPr>
        <w:t xml:space="preserve">relationship </w:t>
      </w:r>
      <w:r w:rsidRPr="00263EC1">
        <w:rPr>
          <w:rFonts w:ascii="Times New Roman" w:hAnsi="Times New Roman" w:cs="Times New Roman"/>
          <w:lang w:val="en-US"/>
        </w:rPr>
        <w:t>between payout and dividend smoothing whereby firms with high payout practices prefer to engage in dividend smoothing more. Additionally, a positive association between market to book and dividend smoothing consistent with prior literature (</w:t>
      </w:r>
      <w:proofErr w:type="spellStart"/>
      <w:r w:rsidRPr="00263EC1">
        <w:rPr>
          <w:rFonts w:ascii="Times New Roman" w:hAnsi="Times New Roman" w:cs="Times New Roman"/>
        </w:rPr>
        <w:t>Javakhadze</w:t>
      </w:r>
      <w:proofErr w:type="spellEnd"/>
      <w:r w:rsidRPr="00263EC1">
        <w:rPr>
          <w:rFonts w:ascii="Times New Roman" w:hAnsi="Times New Roman" w:cs="Times New Roman"/>
        </w:rPr>
        <w:t xml:space="preserve"> et al., 2014; Guttman et al. 2010)</w:t>
      </w:r>
      <w:r w:rsidRPr="00263EC1">
        <w:rPr>
          <w:rFonts w:ascii="Times New Roman" w:hAnsi="Times New Roman" w:cs="Times New Roman"/>
          <w:lang w:val="en-US"/>
        </w:rPr>
        <w:t>. Conversely, firms with higher investment opportunities and firms that invest in capital expenditure tend to engage in dividend smoothing less, both are negatively (positively) related to dividend smoothing (SOA). Overall, the findings of the control variables are in line with those of the prior literature. </w:t>
      </w:r>
      <w:r w:rsidRPr="00263EC1">
        <w:rPr>
          <w:rFonts w:ascii="Times New Roman" w:hAnsi="Times New Roman" w:cs="Times New Roman"/>
        </w:rPr>
        <w:t>The findings from the regression analysis strongly support the hypothesis that there is a positive relationship between accounting fraud and dividend smoothing (H1). The significant and negative relationship between fraud and SOA suggests that firms engaged in fraudulent activities are more likely to smooth their dividends. This relationship is reinforced by the behaviour of various control variables and is consistent with previous studies in literature.</w:t>
      </w:r>
    </w:p>
    <w:p w14:paraId="7D578E5C" w14:textId="77777777" w:rsidR="00537A5B" w:rsidRPr="00263EC1" w:rsidRDefault="00537A5B" w:rsidP="00CA7220">
      <w:pPr>
        <w:spacing w:line="480" w:lineRule="auto"/>
        <w:jc w:val="both"/>
        <w:rPr>
          <w:rFonts w:ascii="Times New Roman" w:hAnsi="Times New Roman" w:cs="Times New Roman"/>
        </w:rPr>
      </w:pPr>
    </w:p>
    <w:p w14:paraId="29D0677A" w14:textId="28650C2D" w:rsidR="00263EC1" w:rsidRPr="00537A5B" w:rsidRDefault="00537A5B" w:rsidP="00CA7220">
      <w:pPr>
        <w:pStyle w:val="Heading3"/>
        <w:spacing w:line="480" w:lineRule="auto"/>
        <w:jc w:val="both"/>
        <w:rPr>
          <w:rFonts w:ascii="Times New Roman" w:hAnsi="Times New Roman" w:cs="Times New Roman"/>
          <w:color w:val="auto"/>
          <w:sz w:val="24"/>
          <w:szCs w:val="24"/>
        </w:rPr>
      </w:pPr>
      <w:bookmarkStart w:id="21" w:name="_Toc167763050"/>
      <w:r w:rsidRPr="00537A5B">
        <w:rPr>
          <w:rFonts w:ascii="Times New Roman" w:hAnsi="Times New Roman" w:cs="Times New Roman"/>
          <w:color w:val="auto"/>
          <w:sz w:val="24"/>
          <w:szCs w:val="24"/>
        </w:rPr>
        <w:t>6.2.2 Robustness Test</w:t>
      </w:r>
      <w:bookmarkEnd w:id="21"/>
    </w:p>
    <w:p w14:paraId="4A4A2439" w14:textId="77777777" w:rsidR="00263EC1" w:rsidRPr="00263EC1" w:rsidRDefault="00263EC1" w:rsidP="00CA7220">
      <w:pPr>
        <w:spacing w:line="480" w:lineRule="auto"/>
        <w:jc w:val="both"/>
        <w:rPr>
          <w:rFonts w:ascii="Times New Roman" w:hAnsi="Times New Roman" w:cs="Times New Roman"/>
          <w:b/>
          <w:bCs/>
        </w:rPr>
      </w:pPr>
    </w:p>
    <w:p w14:paraId="1E0050BC" w14:textId="3411DDE7" w:rsidR="00263EC1" w:rsidRPr="00263EC1" w:rsidRDefault="00263EC1" w:rsidP="00CA7220">
      <w:pPr>
        <w:spacing w:line="480" w:lineRule="auto"/>
        <w:jc w:val="both"/>
        <w:rPr>
          <w:rFonts w:ascii="Times New Roman" w:hAnsi="Times New Roman" w:cs="Times New Roman"/>
          <w:b/>
          <w:bCs/>
        </w:rPr>
      </w:pPr>
      <w:r w:rsidRPr="00263EC1">
        <w:rPr>
          <w:rFonts w:ascii="Times New Roman" w:hAnsi="Times New Roman" w:cs="Times New Roman"/>
        </w:rPr>
        <w:t xml:space="preserve">Table 4 represents a robustness test using firm fixed effects, improving the reliability of the results. Consistent with table 3, the results in table 4 further support the primary findings and I document that firms with accounting fraud are positively related to dividend smoothing (inversely to SOA). Economically speaking, a one standard deviation increase of accounting fraud decreases SOA by 1.36% ((0.15 x 0.05) / 0.55) relative to its mean and including firm fixed effects, a one standard deviation increase on accounting fraud decreases SOA by 3% </w:t>
      </w:r>
      <w:r w:rsidRPr="00263EC1">
        <w:rPr>
          <w:rFonts w:ascii="Times New Roman" w:hAnsi="Times New Roman" w:cs="Times New Roman"/>
        </w:rPr>
        <w:lastRenderedPageBreak/>
        <w:t>((0.15 x 0.11) / 0.55) relative to its mean. The control variables here are also valuable. Again</w:t>
      </w:r>
      <w:r w:rsidR="00F742B1">
        <w:rPr>
          <w:rFonts w:ascii="Times New Roman" w:hAnsi="Times New Roman" w:cs="Times New Roman"/>
        </w:rPr>
        <w:t>,</w:t>
      </w:r>
      <w:r w:rsidRPr="00263EC1">
        <w:rPr>
          <w:rFonts w:ascii="Times New Roman" w:hAnsi="Times New Roman" w:cs="Times New Roman"/>
        </w:rPr>
        <w:t xml:space="preserve"> consistent with </w:t>
      </w:r>
      <w:r w:rsidRPr="00263EC1">
        <w:rPr>
          <w:rFonts w:ascii="Times New Roman" w:hAnsi="Times New Roman" w:cs="Times New Roman"/>
          <w:lang w:val="en-US"/>
        </w:rPr>
        <w:t xml:space="preserve">previous literature, I find a positive relationship between market-to-book ratio and dividend smoothing. </w:t>
      </w:r>
      <w:r w:rsidRPr="00263EC1">
        <w:rPr>
          <w:rFonts w:ascii="Times New Roman" w:hAnsi="Times New Roman" w:cs="Times New Roman"/>
        </w:rPr>
        <w:t xml:space="preserve">Moreover, </w:t>
      </w:r>
      <w:r w:rsidR="0009399F">
        <w:rPr>
          <w:rFonts w:ascii="Times New Roman" w:hAnsi="Times New Roman" w:cs="Times New Roman"/>
        </w:rPr>
        <w:t xml:space="preserve">I </w:t>
      </w:r>
      <w:r w:rsidRPr="00263EC1">
        <w:rPr>
          <w:rFonts w:ascii="Times New Roman" w:hAnsi="Times New Roman" w:cs="Times New Roman"/>
        </w:rPr>
        <w:t xml:space="preserve">interpret that firms with high EBITDA levels, strong operational profitability, levels smooth more. These findings also support </w:t>
      </w:r>
      <w:r w:rsidR="0009399F">
        <w:rPr>
          <w:rFonts w:ascii="Times New Roman" w:hAnsi="Times New Roman" w:cs="Times New Roman"/>
        </w:rPr>
        <w:t>my</w:t>
      </w:r>
      <w:r w:rsidRPr="00263EC1">
        <w:rPr>
          <w:rFonts w:ascii="Times New Roman" w:hAnsi="Times New Roman" w:cs="Times New Roman"/>
        </w:rPr>
        <w:t xml:space="preserve"> hypothesis, although </w:t>
      </w:r>
      <w:r w:rsidR="00F742B1">
        <w:rPr>
          <w:rFonts w:ascii="Times New Roman" w:hAnsi="Times New Roman" w:cs="Times New Roman"/>
        </w:rPr>
        <w:t xml:space="preserve">they </w:t>
      </w:r>
      <w:r w:rsidRPr="00263EC1">
        <w:rPr>
          <w:rFonts w:ascii="Times New Roman" w:hAnsi="Times New Roman" w:cs="Times New Roman"/>
        </w:rPr>
        <w:t xml:space="preserve">are less statistically significant. </w:t>
      </w:r>
    </w:p>
    <w:p w14:paraId="7FD0963B" w14:textId="77777777" w:rsidR="00263EC1" w:rsidRPr="00263EC1" w:rsidRDefault="00263EC1" w:rsidP="00CA7220">
      <w:pPr>
        <w:spacing w:line="480" w:lineRule="auto"/>
        <w:jc w:val="both"/>
        <w:rPr>
          <w:rFonts w:ascii="Times New Roman" w:hAnsi="Times New Roman" w:cs="Times New Roman"/>
        </w:rPr>
      </w:pPr>
    </w:p>
    <w:p w14:paraId="7607DC1A" w14:textId="0DECF1B0" w:rsidR="00537A5B" w:rsidRPr="00537A5B" w:rsidRDefault="00537A5B" w:rsidP="00CA7220">
      <w:pPr>
        <w:pStyle w:val="Heading2"/>
        <w:spacing w:line="480" w:lineRule="auto"/>
        <w:jc w:val="both"/>
        <w:rPr>
          <w:rFonts w:ascii="Times New Roman" w:hAnsi="Times New Roman" w:cs="Times New Roman"/>
          <w:color w:val="auto"/>
          <w:sz w:val="24"/>
          <w:szCs w:val="24"/>
        </w:rPr>
      </w:pPr>
      <w:bookmarkStart w:id="22" w:name="_Toc167763051"/>
      <w:r>
        <w:rPr>
          <w:rFonts w:ascii="Times New Roman" w:hAnsi="Times New Roman" w:cs="Times New Roman"/>
          <w:color w:val="auto"/>
          <w:sz w:val="24"/>
          <w:szCs w:val="24"/>
        </w:rPr>
        <w:t>6.3 Additional Tests</w:t>
      </w:r>
      <w:bookmarkEnd w:id="22"/>
    </w:p>
    <w:p w14:paraId="39495F82" w14:textId="77777777" w:rsidR="00263EC1" w:rsidRPr="00263EC1" w:rsidRDefault="00263EC1" w:rsidP="00CA7220">
      <w:pPr>
        <w:spacing w:line="480" w:lineRule="auto"/>
        <w:jc w:val="both"/>
        <w:rPr>
          <w:rFonts w:ascii="Times New Roman" w:hAnsi="Times New Roman" w:cs="Times New Roman"/>
        </w:rPr>
      </w:pPr>
    </w:p>
    <w:p w14:paraId="782AA97C" w14:textId="11E15BB4" w:rsidR="00DC5062" w:rsidRDefault="00263EC1" w:rsidP="00CA7220">
      <w:pPr>
        <w:spacing w:line="480" w:lineRule="auto"/>
        <w:jc w:val="both"/>
        <w:rPr>
          <w:rFonts w:ascii="Times New Roman" w:hAnsi="Times New Roman" w:cs="Times New Roman"/>
        </w:rPr>
      </w:pPr>
      <w:r w:rsidRPr="00263EC1">
        <w:rPr>
          <w:rFonts w:ascii="Times New Roman" w:hAnsi="Times New Roman" w:cs="Times New Roman"/>
        </w:rPr>
        <w:t xml:space="preserve">Table 5, Panel B, compares the </w:t>
      </w:r>
      <w:r w:rsidRPr="00263EC1">
        <w:rPr>
          <w:rFonts w:ascii="Times New Roman" w:hAnsi="Times New Roman" w:cs="Times New Roman"/>
          <w:lang w:val="en-US"/>
        </w:rPr>
        <w:t xml:space="preserve">difference-in-difference mean values </w:t>
      </w:r>
      <w:r w:rsidRPr="00263EC1">
        <w:rPr>
          <w:rFonts w:ascii="Times New Roman" w:hAnsi="Times New Roman" w:cs="Times New Roman"/>
        </w:rPr>
        <w:t>of the control variables for highly fraudulent firms (treated) in comparison to lower fraudulent firms (control) post-entropy balancing. The results reveal a successful creation of two subsamples (high fraud firms in comparison to low fraud) whereby the</w:t>
      </w:r>
      <w:r w:rsidRPr="00263EC1">
        <w:rPr>
          <w:rFonts w:ascii="Times New Roman" w:hAnsi="Times New Roman" w:cs="Times New Roman"/>
          <w:lang w:val="en-US"/>
        </w:rPr>
        <w:t xml:space="preserve"> difference-in-difference mean values are shown to be</w:t>
      </w:r>
      <w:r w:rsidRPr="00263EC1">
        <w:rPr>
          <w:rFonts w:ascii="Times New Roman" w:hAnsi="Times New Roman" w:cs="Times New Roman"/>
        </w:rPr>
        <w:t xml:space="preserve"> statistically insignificant after the method was utilised. Finally, </w:t>
      </w:r>
      <w:r w:rsidR="0009399F">
        <w:rPr>
          <w:rFonts w:ascii="Times New Roman" w:hAnsi="Times New Roman" w:cs="Times New Roman"/>
        </w:rPr>
        <w:t>I</w:t>
      </w:r>
      <w:r w:rsidRPr="00263EC1">
        <w:rPr>
          <w:rFonts w:ascii="Times New Roman" w:hAnsi="Times New Roman" w:cs="Times New Roman"/>
        </w:rPr>
        <w:t xml:space="preserve"> include the weights created via entropy balancing and re-tested </w:t>
      </w:r>
      <w:r w:rsidR="0009399F">
        <w:rPr>
          <w:rFonts w:ascii="Times New Roman" w:hAnsi="Times New Roman" w:cs="Times New Roman"/>
        </w:rPr>
        <w:t>my</w:t>
      </w:r>
      <w:r w:rsidRPr="00263EC1">
        <w:rPr>
          <w:rFonts w:ascii="Times New Roman" w:hAnsi="Times New Roman" w:cs="Times New Roman"/>
        </w:rPr>
        <w:t xml:space="preserve"> baseline regression</w:t>
      </w:r>
      <w:r w:rsidR="00BE2019">
        <w:rPr>
          <w:rFonts w:ascii="Times New Roman" w:hAnsi="Times New Roman" w:cs="Times New Roman"/>
        </w:rPr>
        <w:t>.</w:t>
      </w:r>
      <w:r w:rsidRPr="00263EC1">
        <w:rPr>
          <w:rFonts w:ascii="Times New Roman" w:hAnsi="Times New Roman" w:cs="Times New Roman"/>
        </w:rPr>
        <w:t xml:space="preserve"> Panel C communicates </w:t>
      </w:r>
      <w:r w:rsidR="0009399F">
        <w:rPr>
          <w:rFonts w:ascii="Times New Roman" w:hAnsi="Times New Roman" w:cs="Times New Roman"/>
        </w:rPr>
        <w:t xml:space="preserve">my </w:t>
      </w:r>
      <w:r w:rsidRPr="00263EC1">
        <w:rPr>
          <w:rFonts w:ascii="Times New Roman" w:hAnsi="Times New Roman" w:cs="Times New Roman"/>
        </w:rPr>
        <w:t xml:space="preserve">results to support </w:t>
      </w:r>
      <w:r w:rsidR="0009399F">
        <w:rPr>
          <w:rFonts w:ascii="Times New Roman" w:hAnsi="Times New Roman" w:cs="Times New Roman"/>
        </w:rPr>
        <w:t>my</w:t>
      </w:r>
      <w:r w:rsidR="00F742B1">
        <w:rPr>
          <w:rFonts w:ascii="Times New Roman" w:hAnsi="Times New Roman" w:cs="Times New Roman"/>
        </w:rPr>
        <w:t xml:space="preserve"> </w:t>
      </w:r>
      <w:r w:rsidRPr="00263EC1">
        <w:rPr>
          <w:rFonts w:ascii="Times New Roman" w:hAnsi="Times New Roman" w:cs="Times New Roman"/>
        </w:rPr>
        <w:t>original conclusions</w:t>
      </w:r>
      <w:r w:rsidR="00BE2019">
        <w:rPr>
          <w:rFonts w:ascii="Times New Roman" w:hAnsi="Times New Roman" w:cs="Times New Roman"/>
        </w:rPr>
        <w:t xml:space="preserve"> with a statistically significant coefficient of accounting fraud is -0.19, further verifying the positive correlation between accounting fraud and dividend smoothing.</w:t>
      </w:r>
    </w:p>
    <w:p w14:paraId="21541398" w14:textId="77777777" w:rsidR="00D93ED2" w:rsidRPr="00785BF3" w:rsidRDefault="00D93ED2" w:rsidP="00CA7220">
      <w:pPr>
        <w:spacing w:line="480" w:lineRule="auto"/>
        <w:jc w:val="both"/>
        <w:rPr>
          <w:rFonts w:ascii="Times New Roman" w:hAnsi="Times New Roman" w:cs="Times New Roman"/>
        </w:rPr>
      </w:pPr>
    </w:p>
    <w:p w14:paraId="619F0872" w14:textId="188A8C70" w:rsidR="00263EC1" w:rsidRPr="00742B4A" w:rsidRDefault="00742B4A" w:rsidP="00CA7220">
      <w:pPr>
        <w:pStyle w:val="Heading2"/>
        <w:spacing w:line="480" w:lineRule="auto"/>
        <w:jc w:val="both"/>
        <w:rPr>
          <w:rFonts w:ascii="Times New Roman" w:hAnsi="Times New Roman" w:cs="Times New Roman"/>
          <w:color w:val="auto"/>
          <w:sz w:val="24"/>
          <w:szCs w:val="24"/>
        </w:rPr>
      </w:pPr>
      <w:bookmarkStart w:id="23" w:name="_Toc167763052"/>
      <w:r>
        <w:rPr>
          <w:rFonts w:ascii="Times New Roman" w:hAnsi="Times New Roman" w:cs="Times New Roman"/>
          <w:color w:val="auto"/>
          <w:sz w:val="24"/>
          <w:szCs w:val="24"/>
        </w:rPr>
        <w:t>6.</w:t>
      </w:r>
      <w:r w:rsidR="00537A5B">
        <w:rPr>
          <w:rFonts w:ascii="Times New Roman" w:hAnsi="Times New Roman" w:cs="Times New Roman"/>
          <w:color w:val="auto"/>
          <w:sz w:val="24"/>
          <w:szCs w:val="24"/>
        </w:rPr>
        <w:t>4</w:t>
      </w:r>
      <w:r>
        <w:rPr>
          <w:rFonts w:ascii="Times New Roman" w:hAnsi="Times New Roman" w:cs="Times New Roman"/>
          <w:color w:val="auto"/>
          <w:sz w:val="24"/>
          <w:szCs w:val="24"/>
        </w:rPr>
        <w:t xml:space="preserve"> </w:t>
      </w:r>
      <w:r w:rsidR="00263EC1" w:rsidRPr="00742B4A">
        <w:rPr>
          <w:rFonts w:ascii="Times New Roman" w:hAnsi="Times New Roman" w:cs="Times New Roman"/>
          <w:color w:val="auto"/>
          <w:sz w:val="24"/>
          <w:szCs w:val="24"/>
        </w:rPr>
        <w:t xml:space="preserve">Cross-sectional </w:t>
      </w:r>
      <w:r w:rsidR="00F87F52">
        <w:rPr>
          <w:rFonts w:ascii="Times New Roman" w:hAnsi="Times New Roman" w:cs="Times New Roman"/>
          <w:color w:val="auto"/>
          <w:sz w:val="24"/>
          <w:szCs w:val="24"/>
        </w:rPr>
        <w:t>variations in fraud</w:t>
      </w:r>
      <w:bookmarkEnd w:id="23"/>
    </w:p>
    <w:p w14:paraId="68710AEB" w14:textId="77777777" w:rsidR="00263EC1" w:rsidRPr="00263EC1" w:rsidRDefault="00263EC1" w:rsidP="00CA7220">
      <w:pPr>
        <w:spacing w:line="480" w:lineRule="auto"/>
        <w:jc w:val="both"/>
        <w:rPr>
          <w:rFonts w:ascii="Times New Roman" w:hAnsi="Times New Roman" w:cs="Times New Roman"/>
          <w:b/>
          <w:bCs/>
        </w:rPr>
      </w:pPr>
    </w:p>
    <w:p w14:paraId="2D13F60D" w14:textId="68947788" w:rsidR="00263EC1" w:rsidRPr="00785BF3" w:rsidRDefault="00263EC1" w:rsidP="00CA7220">
      <w:pPr>
        <w:spacing w:line="480" w:lineRule="auto"/>
        <w:jc w:val="both"/>
        <w:rPr>
          <w:rFonts w:ascii="Times New Roman" w:hAnsi="Times New Roman" w:cs="Times New Roman"/>
        </w:rPr>
      </w:pPr>
      <w:r w:rsidRPr="00263EC1">
        <w:rPr>
          <w:rFonts w:ascii="Times New Roman" w:hAnsi="Times New Roman" w:cs="Times New Roman"/>
        </w:rPr>
        <w:t xml:space="preserve">Based on my previous analysis, I document a positive associated between fraud and dividend smoothing which may be a result of dividend smoothing being the outcome of agency problems. Prior literature (Lafond &amp; </w:t>
      </w:r>
      <w:proofErr w:type="spellStart"/>
      <w:r w:rsidRPr="00263EC1">
        <w:rPr>
          <w:rFonts w:ascii="Times New Roman" w:hAnsi="Times New Roman" w:cs="Times New Roman"/>
        </w:rPr>
        <w:t>Roychowdhury</w:t>
      </w:r>
      <w:proofErr w:type="spellEnd"/>
      <w:r w:rsidRPr="00263EC1">
        <w:rPr>
          <w:rFonts w:ascii="Times New Roman" w:hAnsi="Times New Roman" w:cs="Times New Roman"/>
        </w:rPr>
        <w:t>, 2008; Chi et al 2009; Xu et al 2012) has shown that accounting conservatism reduces agency problems. Moreover</w:t>
      </w:r>
      <w:r w:rsidR="00F742B1">
        <w:rPr>
          <w:rFonts w:ascii="Times New Roman" w:hAnsi="Times New Roman" w:cs="Times New Roman"/>
        </w:rPr>
        <w:t>,</w:t>
      </w:r>
      <w:r w:rsidRPr="00263EC1">
        <w:rPr>
          <w:rFonts w:ascii="Times New Roman" w:hAnsi="Times New Roman" w:cs="Times New Roman"/>
        </w:rPr>
        <w:t xml:space="preserve"> other studies (Tang </w:t>
      </w:r>
      <w:r w:rsidRPr="00263EC1">
        <w:rPr>
          <w:rFonts w:ascii="Times New Roman" w:hAnsi="Times New Roman" w:cs="Times New Roman"/>
        </w:rPr>
        <w:lastRenderedPageBreak/>
        <w:t>2022; Liu et al 2023; Alves &amp; Meneses 2024) found that agency problems were reduced through corporate governance mechanisms (ESG scores). Based on this prior literature, by incorporating both of these variables in a cross-sectional analysis, the positive association between fraud and dividend smoothing will be less pronounced.</w:t>
      </w:r>
      <w:r w:rsidR="008902EB">
        <w:rPr>
          <w:rFonts w:ascii="Times New Roman" w:hAnsi="Times New Roman" w:cs="Times New Roman"/>
        </w:rPr>
        <w:t xml:space="preserve"> Consistent with my conjectures, my results show that the positive effect of accounting fraud on dividend smoothing is weakened among firms with better governance quality and fewer agency problems.</w:t>
      </w:r>
    </w:p>
    <w:p w14:paraId="0DE85A1B" w14:textId="77777777" w:rsidR="00263EC1" w:rsidRPr="00263EC1" w:rsidRDefault="00263EC1" w:rsidP="00CA7220">
      <w:pPr>
        <w:spacing w:line="480" w:lineRule="auto"/>
        <w:jc w:val="both"/>
        <w:rPr>
          <w:rFonts w:ascii="Times New Roman" w:hAnsi="Times New Roman" w:cs="Times New Roman"/>
        </w:rPr>
      </w:pPr>
    </w:p>
    <w:p w14:paraId="71D31521" w14:textId="0030ED4B" w:rsidR="00263EC1" w:rsidRPr="00785BF3" w:rsidRDefault="00263EC1" w:rsidP="00CA7220">
      <w:pPr>
        <w:spacing w:line="480" w:lineRule="auto"/>
        <w:jc w:val="both"/>
        <w:rPr>
          <w:rFonts w:ascii="Times New Roman" w:hAnsi="Times New Roman" w:cs="Times New Roman"/>
        </w:rPr>
      </w:pPr>
      <w:r w:rsidRPr="00263EC1">
        <w:rPr>
          <w:rFonts w:ascii="Times New Roman" w:hAnsi="Times New Roman" w:cs="Times New Roman"/>
        </w:rPr>
        <w:t>The coefficient for Fraud in model (1) is 0.15</w:t>
      </w:r>
      <w:r w:rsidR="009571C7">
        <w:rPr>
          <w:rFonts w:ascii="Times New Roman" w:hAnsi="Times New Roman" w:cs="Times New Roman"/>
        </w:rPr>
        <w:t>,</w:t>
      </w:r>
      <w:r w:rsidRPr="00263EC1">
        <w:rPr>
          <w:rFonts w:ascii="Times New Roman" w:hAnsi="Times New Roman" w:cs="Times New Roman"/>
        </w:rPr>
        <w:t xml:space="preserve"> ye</w:t>
      </w:r>
      <w:r w:rsidR="009571C7">
        <w:rPr>
          <w:rFonts w:ascii="Times New Roman" w:hAnsi="Times New Roman" w:cs="Times New Roman"/>
        </w:rPr>
        <w:t>t</w:t>
      </w:r>
      <w:r w:rsidRPr="00263EC1">
        <w:rPr>
          <w:rFonts w:ascii="Times New Roman" w:hAnsi="Times New Roman" w:cs="Times New Roman"/>
        </w:rPr>
        <w:t xml:space="preserve"> this coefficient is not statistically significant. Thus, this shows there is no positive association between accounting fraud and dividend smoothing without incorporating ESG scores or accounting conservatism. In model (2), the coefficient for Fraud is -0.18 and is significant at the 1% level. This suggests a significant negative association between accounting fraud and SOA (a positive association with dividend smoothing) when considering both ESG scores and accounting conservatism. The ESG Score fraud coefficient is 0.20, and the Accounting Conservatism fraud coefficient is 0.03, both statistically significant at the 10% level. These findings indicate that having better ESG ratings can help lessen the connection between fraud and dividend smoothing consistent with prior research on corporate governance (Knyazeva and Knyazeva, 2014; Leary and Michaely, 2011). This implies that strong company governance, as assessed by ESG, can reduce the impact of accounting fraud. Moreover, this indicates that the implementation of accounting conservatism weaken</w:t>
      </w:r>
      <w:r w:rsidR="00F742B1">
        <w:rPr>
          <w:rFonts w:ascii="Times New Roman" w:hAnsi="Times New Roman" w:cs="Times New Roman"/>
        </w:rPr>
        <w:t>s</w:t>
      </w:r>
      <w:r w:rsidRPr="00263EC1">
        <w:rPr>
          <w:rFonts w:ascii="Times New Roman" w:hAnsi="Times New Roman" w:cs="Times New Roman"/>
        </w:rPr>
        <w:t xml:space="preserve"> the correlation between accounting fraud and dividend smoothing, suggesting that conservative accounting methods can mitigate the inclination of deceitful companies to manipulate dividend payments, aligning with previous studies on accounting conservatism (</w:t>
      </w:r>
      <w:proofErr w:type="spellStart"/>
      <w:r w:rsidRPr="00263EC1">
        <w:rPr>
          <w:rFonts w:ascii="Times New Roman" w:hAnsi="Times New Roman" w:cs="Times New Roman"/>
        </w:rPr>
        <w:t>Rezaee</w:t>
      </w:r>
      <w:proofErr w:type="spellEnd"/>
      <w:r w:rsidRPr="00263EC1">
        <w:rPr>
          <w:rFonts w:ascii="Times New Roman" w:hAnsi="Times New Roman" w:cs="Times New Roman"/>
        </w:rPr>
        <w:t xml:space="preserve">, 2005; </w:t>
      </w:r>
      <w:proofErr w:type="spellStart"/>
      <w:r w:rsidRPr="00263EC1">
        <w:rPr>
          <w:rFonts w:ascii="Times New Roman" w:hAnsi="Times New Roman" w:cs="Times New Roman"/>
        </w:rPr>
        <w:t>Harakeh</w:t>
      </w:r>
      <w:proofErr w:type="spellEnd"/>
      <w:r w:rsidRPr="00263EC1">
        <w:rPr>
          <w:rFonts w:ascii="Times New Roman" w:hAnsi="Times New Roman" w:cs="Times New Roman"/>
        </w:rPr>
        <w:t>, 2017).</w:t>
      </w:r>
    </w:p>
    <w:p w14:paraId="0848309E" w14:textId="77777777" w:rsidR="00263EC1" w:rsidRPr="00263EC1" w:rsidRDefault="00263EC1" w:rsidP="00CA7220">
      <w:pPr>
        <w:spacing w:line="480" w:lineRule="auto"/>
        <w:jc w:val="both"/>
        <w:rPr>
          <w:rFonts w:ascii="Times New Roman" w:hAnsi="Times New Roman" w:cs="Times New Roman"/>
        </w:rPr>
      </w:pPr>
    </w:p>
    <w:p w14:paraId="6174B620" w14:textId="4D24B641" w:rsidR="00DC5062" w:rsidRPr="00785BF3" w:rsidRDefault="00263EC1" w:rsidP="00CA7220">
      <w:pPr>
        <w:spacing w:line="480" w:lineRule="auto"/>
        <w:jc w:val="both"/>
        <w:rPr>
          <w:rFonts w:ascii="Times New Roman" w:hAnsi="Times New Roman" w:cs="Times New Roman"/>
        </w:rPr>
      </w:pPr>
      <w:r w:rsidRPr="00263EC1">
        <w:rPr>
          <w:rFonts w:ascii="Times New Roman" w:hAnsi="Times New Roman" w:cs="Times New Roman"/>
        </w:rPr>
        <w:lastRenderedPageBreak/>
        <w:t>The cross-sectional analysis findings are consistent with the hypotheses</w:t>
      </w:r>
      <w:r w:rsidR="00F96D3F" w:rsidRPr="00785BF3">
        <w:rPr>
          <w:rFonts w:ascii="Times New Roman" w:hAnsi="Times New Roman" w:cs="Times New Roman"/>
        </w:rPr>
        <w:t xml:space="preserve"> 2 and 3</w:t>
      </w:r>
      <w:r w:rsidRPr="00263EC1">
        <w:rPr>
          <w:rFonts w:ascii="Times New Roman" w:hAnsi="Times New Roman" w:cs="Times New Roman"/>
        </w:rPr>
        <w:t xml:space="preserve">, indicating that both ESG scores and accounting conservatism are </w:t>
      </w:r>
      <w:r w:rsidR="00B82C90">
        <w:rPr>
          <w:rFonts w:ascii="Times New Roman" w:hAnsi="Times New Roman" w:cs="Times New Roman"/>
        </w:rPr>
        <w:t xml:space="preserve">key </w:t>
      </w:r>
      <w:r w:rsidRPr="00263EC1">
        <w:rPr>
          <w:rFonts w:ascii="Times New Roman" w:hAnsi="Times New Roman" w:cs="Times New Roman"/>
        </w:rPr>
        <w:t>factors in reducing the connection between accounting fraud and dividend smoothing consistent with prior literature. These findings highlight the significance of robust corporate governance and cautious accounting processes in improving financial transparency and mitigating manipulative dividend practices.</w:t>
      </w:r>
    </w:p>
    <w:p w14:paraId="2DDF6518" w14:textId="7635E42C" w:rsidR="00E24325" w:rsidRPr="00AE79E5" w:rsidRDefault="00E2432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24" w:name="_Toc167763053"/>
      <w:r w:rsidRPr="00AE79E5">
        <w:rPr>
          <w:rFonts w:ascii="Times New Roman" w:eastAsia="Times New Roman" w:hAnsi="Times New Roman" w:cs="Times New Roman"/>
          <w:b/>
          <w:bCs/>
          <w:color w:val="auto"/>
          <w:sz w:val="24"/>
          <w:szCs w:val="24"/>
          <w:lang w:eastAsia="en-GB"/>
        </w:rPr>
        <w:t>Conclusion</w:t>
      </w:r>
      <w:bookmarkEnd w:id="24"/>
      <w:r w:rsidRPr="00AE79E5">
        <w:rPr>
          <w:rFonts w:ascii="Times New Roman" w:eastAsia="Times New Roman" w:hAnsi="Times New Roman" w:cs="Times New Roman"/>
          <w:b/>
          <w:bCs/>
          <w:color w:val="auto"/>
          <w:sz w:val="24"/>
          <w:szCs w:val="24"/>
          <w:lang w:eastAsia="en-GB"/>
        </w:rPr>
        <w:t xml:space="preserve"> </w:t>
      </w:r>
    </w:p>
    <w:p w14:paraId="7CEB1847" w14:textId="77777777" w:rsidR="00785BF3" w:rsidRPr="00785BF3" w:rsidRDefault="00785BF3" w:rsidP="00CA7220">
      <w:pPr>
        <w:spacing w:line="480" w:lineRule="auto"/>
        <w:jc w:val="both"/>
        <w:rPr>
          <w:rFonts w:ascii="Times New Roman" w:hAnsi="Times New Roman" w:cs="Times New Roman"/>
          <w:lang w:eastAsia="en-GB"/>
        </w:rPr>
      </w:pPr>
    </w:p>
    <w:p w14:paraId="2BB24DB5" w14:textId="21B679C2" w:rsidR="00C97D8E" w:rsidRPr="00785BF3" w:rsidRDefault="00C97D8E" w:rsidP="00CA7220">
      <w:pPr>
        <w:spacing w:line="480" w:lineRule="auto"/>
        <w:jc w:val="both"/>
        <w:rPr>
          <w:rFonts w:ascii="Times New Roman" w:hAnsi="Times New Roman" w:cs="Times New Roman"/>
        </w:rPr>
      </w:pPr>
      <w:r w:rsidRPr="00785BF3">
        <w:rPr>
          <w:rFonts w:ascii="Times New Roman" w:hAnsi="Times New Roman" w:cs="Times New Roman"/>
        </w:rPr>
        <w:t xml:space="preserve">Companies can utilise many methods in concealing accounting fraud. This study explores the relationship between accounting fraud and the practice of smoothing dividends as a means for dividend stability. </w:t>
      </w:r>
      <w:r w:rsidR="0009399F">
        <w:rPr>
          <w:rFonts w:ascii="Times New Roman" w:hAnsi="Times New Roman" w:cs="Times New Roman"/>
        </w:rPr>
        <w:t>My</w:t>
      </w:r>
      <w:r w:rsidRPr="00785BF3">
        <w:rPr>
          <w:rFonts w:ascii="Times New Roman" w:hAnsi="Times New Roman" w:cs="Times New Roman"/>
        </w:rPr>
        <w:t xml:space="preserve"> findings suggest that compan</w:t>
      </w:r>
      <w:r w:rsidR="00F742B1">
        <w:rPr>
          <w:rFonts w:ascii="Times New Roman" w:hAnsi="Times New Roman" w:cs="Times New Roman"/>
        </w:rPr>
        <w:t>ies</w:t>
      </w:r>
      <w:r w:rsidRPr="00785BF3">
        <w:rPr>
          <w:rFonts w:ascii="Times New Roman" w:hAnsi="Times New Roman" w:cs="Times New Roman"/>
        </w:rPr>
        <w:t xml:space="preserve"> engaging in fraudulent reporting also smooth their dividends. The positive relationship is reinforced by dividend practices being used to communicate a healthier financial position for shareholders and investors. Moreover, the practices of both dividend smoothing and accounting fraud are more prevalent in the absence of strong corporate governance. As well as this, accounting conservatism reduces managers</w:t>
      </w:r>
      <w:r w:rsidR="00F742B1">
        <w:rPr>
          <w:rFonts w:ascii="Times New Roman" w:hAnsi="Times New Roman" w:cs="Times New Roman"/>
        </w:rPr>
        <w:t>’</w:t>
      </w:r>
      <w:r w:rsidRPr="00785BF3">
        <w:rPr>
          <w:rFonts w:ascii="Times New Roman" w:hAnsi="Times New Roman" w:cs="Times New Roman"/>
        </w:rPr>
        <w:t xml:space="preserve"> ability to manipulate earnings through practices such as smoothing thereby reducing the likelihood of accounting fraud. </w:t>
      </w:r>
      <w:r w:rsidR="0009399F">
        <w:rPr>
          <w:rFonts w:ascii="Times New Roman" w:hAnsi="Times New Roman" w:cs="Times New Roman"/>
        </w:rPr>
        <w:t xml:space="preserve">My </w:t>
      </w:r>
      <w:r w:rsidRPr="00785BF3">
        <w:rPr>
          <w:rFonts w:ascii="Times New Roman" w:hAnsi="Times New Roman" w:cs="Times New Roman"/>
        </w:rPr>
        <w:t xml:space="preserve">empirical study demonstrates these ideas with </w:t>
      </w:r>
      <w:r w:rsidR="00F742B1">
        <w:rPr>
          <w:rFonts w:ascii="Times New Roman" w:hAnsi="Times New Roman" w:cs="Times New Roman"/>
        </w:rPr>
        <w:t xml:space="preserve">the </w:t>
      </w:r>
      <w:r w:rsidRPr="00785BF3">
        <w:rPr>
          <w:rFonts w:ascii="Times New Roman" w:hAnsi="Times New Roman" w:cs="Times New Roman"/>
        </w:rPr>
        <w:t>presence of both corporate governance mechanisms and accounting conservatism reducing fraudulent practices and smoothing techniques amongst companies in</w:t>
      </w:r>
      <w:r w:rsidR="0009399F">
        <w:rPr>
          <w:rFonts w:ascii="Times New Roman" w:hAnsi="Times New Roman" w:cs="Times New Roman"/>
        </w:rPr>
        <w:t xml:space="preserve"> the </w:t>
      </w:r>
      <w:r w:rsidRPr="00785BF3">
        <w:rPr>
          <w:rFonts w:ascii="Times New Roman" w:hAnsi="Times New Roman" w:cs="Times New Roman"/>
        </w:rPr>
        <w:t xml:space="preserve">sample. </w:t>
      </w:r>
    </w:p>
    <w:p w14:paraId="34D721FD" w14:textId="77777777" w:rsidR="00903F21" w:rsidRDefault="00903F21" w:rsidP="00CA7220">
      <w:pPr>
        <w:spacing w:line="480" w:lineRule="auto"/>
        <w:jc w:val="both"/>
        <w:rPr>
          <w:rFonts w:ascii="Times New Roman" w:hAnsi="Times New Roman" w:cs="Times New Roman"/>
        </w:rPr>
      </w:pPr>
    </w:p>
    <w:p w14:paraId="0D827A06" w14:textId="0761250D" w:rsidR="00DC5062" w:rsidRDefault="00C97D8E" w:rsidP="00CA7220">
      <w:pPr>
        <w:spacing w:line="480" w:lineRule="auto"/>
        <w:jc w:val="both"/>
        <w:rPr>
          <w:rFonts w:ascii="Times New Roman" w:hAnsi="Times New Roman" w:cs="Times New Roman"/>
        </w:rPr>
      </w:pPr>
      <w:r w:rsidRPr="00785BF3">
        <w:rPr>
          <w:rFonts w:ascii="Times New Roman" w:hAnsi="Times New Roman" w:cs="Times New Roman"/>
        </w:rPr>
        <w:t xml:space="preserve">In summary, this study emphasises the significance of understanding how fraudulent activities impact dividend strategies, with Lintner (1956) and Fama and </w:t>
      </w:r>
      <w:proofErr w:type="spellStart"/>
      <w:r w:rsidRPr="00785BF3">
        <w:rPr>
          <w:rFonts w:ascii="Times New Roman" w:hAnsi="Times New Roman" w:cs="Times New Roman"/>
        </w:rPr>
        <w:t>Babiak</w:t>
      </w:r>
      <w:proofErr w:type="spellEnd"/>
      <w:r w:rsidRPr="00785BF3">
        <w:rPr>
          <w:rFonts w:ascii="Times New Roman" w:hAnsi="Times New Roman" w:cs="Times New Roman"/>
        </w:rPr>
        <w:t xml:space="preserve"> (1968) playing a key role in shaping the notion of dividend smoothing. In addition, the agency theory proposed by Jensen and </w:t>
      </w:r>
      <w:proofErr w:type="spellStart"/>
      <w:r w:rsidRPr="00785BF3">
        <w:rPr>
          <w:rFonts w:ascii="Times New Roman" w:hAnsi="Times New Roman" w:cs="Times New Roman"/>
        </w:rPr>
        <w:t>Meckling</w:t>
      </w:r>
      <w:proofErr w:type="spellEnd"/>
      <w:r w:rsidRPr="00785BF3">
        <w:rPr>
          <w:rFonts w:ascii="Times New Roman" w:hAnsi="Times New Roman" w:cs="Times New Roman"/>
        </w:rPr>
        <w:t xml:space="preserve"> (1976) and the signalling theory developed by Bhattacharya (1979) provide a basis for exploring the impact of fraud on practices. Subsequent research can further investigate </w:t>
      </w:r>
      <w:r w:rsidRPr="00785BF3">
        <w:rPr>
          <w:rFonts w:ascii="Times New Roman" w:hAnsi="Times New Roman" w:cs="Times New Roman"/>
        </w:rPr>
        <w:lastRenderedPageBreak/>
        <w:t xml:space="preserve">the lasting impacts of dividend smoothing on both corporate performance and market perceptions, thereby enhancing our understanding of </w:t>
      </w:r>
      <w:r w:rsidR="00B35B05">
        <w:rPr>
          <w:rFonts w:ascii="Times New Roman" w:hAnsi="Times New Roman" w:cs="Times New Roman"/>
        </w:rPr>
        <w:t xml:space="preserve">dividend </w:t>
      </w:r>
      <w:r w:rsidRPr="00785BF3">
        <w:rPr>
          <w:rFonts w:ascii="Times New Roman" w:hAnsi="Times New Roman" w:cs="Times New Roman"/>
        </w:rPr>
        <w:t>strategies</w:t>
      </w:r>
      <w:r w:rsidR="00106CFF">
        <w:rPr>
          <w:rFonts w:ascii="Times New Roman" w:hAnsi="Times New Roman" w:cs="Times New Roman"/>
        </w:rPr>
        <w:t>.</w:t>
      </w:r>
    </w:p>
    <w:p w14:paraId="67402EA3" w14:textId="18DB8B69" w:rsidR="00AE79E5" w:rsidRPr="00AE79E5" w:rsidRDefault="00AE79E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25" w:name="_Toc167763054"/>
      <w:r w:rsidRPr="00AE79E5">
        <w:rPr>
          <w:rFonts w:ascii="Times New Roman" w:eastAsia="Times New Roman" w:hAnsi="Times New Roman" w:cs="Times New Roman"/>
          <w:b/>
          <w:bCs/>
          <w:color w:val="auto"/>
          <w:sz w:val="24"/>
          <w:szCs w:val="24"/>
          <w:lang w:eastAsia="en-GB"/>
        </w:rPr>
        <w:t>Limitations and Suggestions for Future Research</w:t>
      </w:r>
      <w:bookmarkEnd w:id="25"/>
      <w:r w:rsidRPr="00AE79E5">
        <w:rPr>
          <w:rFonts w:ascii="Times New Roman" w:eastAsia="Times New Roman" w:hAnsi="Times New Roman" w:cs="Times New Roman"/>
          <w:b/>
          <w:bCs/>
          <w:color w:val="auto"/>
          <w:sz w:val="24"/>
          <w:szCs w:val="24"/>
          <w:lang w:eastAsia="en-GB"/>
        </w:rPr>
        <w:t xml:space="preserve"> </w:t>
      </w:r>
    </w:p>
    <w:p w14:paraId="244A1C87" w14:textId="77777777" w:rsidR="00AE79E5" w:rsidRPr="00785BF3" w:rsidRDefault="00AE79E5" w:rsidP="00CA7220">
      <w:pPr>
        <w:spacing w:line="480" w:lineRule="auto"/>
        <w:jc w:val="both"/>
        <w:rPr>
          <w:rFonts w:ascii="Times New Roman" w:hAnsi="Times New Roman" w:cs="Times New Roman"/>
          <w:lang w:eastAsia="en-GB"/>
        </w:rPr>
      </w:pPr>
    </w:p>
    <w:p w14:paraId="4A351D71" w14:textId="3B5EA3CF" w:rsidR="00AE79E5" w:rsidRPr="002D2F6A" w:rsidRDefault="00AE79E5" w:rsidP="00CA7220">
      <w:pPr>
        <w:spacing w:line="480" w:lineRule="auto"/>
        <w:jc w:val="both"/>
        <w:rPr>
          <w:rFonts w:ascii="Times New Roman" w:hAnsi="Times New Roman" w:cs="Times New Roman"/>
        </w:rPr>
      </w:pPr>
      <w:r w:rsidRPr="002D2F6A">
        <w:rPr>
          <w:rFonts w:ascii="Times New Roman" w:hAnsi="Times New Roman" w:cs="Times New Roman"/>
        </w:rPr>
        <w:t>Despite the comprehensive approach of this study, several limitations need to be acknowledged</w:t>
      </w:r>
      <w:r w:rsidRPr="00785BF3">
        <w:rPr>
          <w:rFonts w:ascii="Times New Roman" w:hAnsi="Times New Roman" w:cs="Times New Roman"/>
        </w:rPr>
        <w:t>. T</w:t>
      </w:r>
      <w:r>
        <w:rPr>
          <w:rFonts w:ascii="Times New Roman" w:hAnsi="Times New Roman" w:cs="Times New Roman"/>
        </w:rPr>
        <w:t>his study analyses</w:t>
      </w:r>
      <w:r w:rsidRPr="00785BF3">
        <w:rPr>
          <w:rFonts w:ascii="Times New Roman" w:hAnsi="Times New Roman" w:cs="Times New Roman"/>
        </w:rPr>
        <w:t xml:space="preserve"> firm-year data retrieved from </w:t>
      </w:r>
      <w:proofErr w:type="spellStart"/>
      <w:r w:rsidRPr="00785BF3">
        <w:rPr>
          <w:rFonts w:ascii="Times New Roman" w:hAnsi="Times New Roman" w:cs="Times New Roman"/>
        </w:rPr>
        <w:t>Compustat</w:t>
      </w:r>
      <w:proofErr w:type="spellEnd"/>
      <w:r w:rsidRPr="00785BF3">
        <w:rPr>
          <w:rFonts w:ascii="Times New Roman" w:hAnsi="Times New Roman" w:cs="Times New Roman"/>
        </w:rPr>
        <w:t xml:space="preserve"> ranges from 1998 to 2009. Th</w:t>
      </w:r>
      <w:r w:rsidR="009571C7">
        <w:rPr>
          <w:rFonts w:ascii="Times New Roman" w:hAnsi="Times New Roman" w:cs="Times New Roman"/>
        </w:rPr>
        <w:t xml:space="preserve">is </w:t>
      </w:r>
      <w:r w:rsidRPr="00785BF3">
        <w:rPr>
          <w:rFonts w:ascii="Times New Roman" w:hAnsi="Times New Roman" w:cs="Times New Roman"/>
        </w:rPr>
        <w:t>does</w:t>
      </w:r>
      <w:r>
        <w:rPr>
          <w:rFonts w:ascii="Times New Roman" w:hAnsi="Times New Roman" w:cs="Times New Roman"/>
        </w:rPr>
        <w:t xml:space="preserve"> not</w:t>
      </w:r>
      <w:r w:rsidR="009571C7">
        <w:rPr>
          <w:rFonts w:ascii="Times New Roman" w:hAnsi="Times New Roman" w:cs="Times New Roman"/>
        </w:rPr>
        <w:t xml:space="preserve"> take r</w:t>
      </w:r>
      <w:r w:rsidRPr="00785BF3">
        <w:rPr>
          <w:rFonts w:ascii="Times New Roman" w:hAnsi="Times New Roman" w:cs="Times New Roman"/>
        </w:rPr>
        <w:t xml:space="preserve">ecent data </w:t>
      </w:r>
      <w:r w:rsidR="009571C7">
        <w:rPr>
          <w:rFonts w:ascii="Times New Roman" w:hAnsi="Times New Roman" w:cs="Times New Roman"/>
        </w:rPr>
        <w:t>into account a</w:t>
      </w:r>
      <w:r w:rsidRPr="00785BF3">
        <w:rPr>
          <w:rFonts w:ascii="Times New Roman" w:hAnsi="Times New Roman" w:cs="Times New Roman"/>
        </w:rPr>
        <w:t xml:space="preserve">nd is confined to a specific </w:t>
      </w:r>
      <w:r>
        <w:rPr>
          <w:rFonts w:ascii="Times New Roman" w:hAnsi="Times New Roman" w:cs="Times New Roman"/>
        </w:rPr>
        <w:t xml:space="preserve">period </w:t>
      </w:r>
      <w:r w:rsidRPr="00785BF3">
        <w:rPr>
          <w:rFonts w:ascii="Times New Roman" w:hAnsi="Times New Roman" w:cs="Times New Roman"/>
        </w:rPr>
        <w:t xml:space="preserve">which may not capture long-term trends and potential regulatory referments post-2009. Moreover, the data captures U.S. public corporations which although robust, is limited to publicly available financial information and excludes private firms which may impact the results found. Further, the limit to U.S. companies may result in the findings not proving true in other countries with different regulatory and legal environments, corporate governance practices and cultural attitudes towards both fraud and dividend smoothing. The data collected is secondary data extracted from both </w:t>
      </w:r>
      <w:proofErr w:type="spellStart"/>
      <w:r w:rsidRPr="00785BF3">
        <w:rPr>
          <w:rFonts w:ascii="Times New Roman" w:hAnsi="Times New Roman" w:cs="Times New Roman"/>
        </w:rPr>
        <w:t>Compustat</w:t>
      </w:r>
      <w:proofErr w:type="spellEnd"/>
      <w:r w:rsidRPr="00785BF3">
        <w:rPr>
          <w:rFonts w:ascii="Times New Roman" w:hAnsi="Times New Roman" w:cs="Times New Roman"/>
        </w:rPr>
        <w:t xml:space="preserve"> and </w:t>
      </w:r>
      <w:r w:rsidRPr="002D2F6A">
        <w:rPr>
          <w:rFonts w:ascii="Times New Roman" w:hAnsi="Times New Roman" w:cs="Times New Roman"/>
        </w:rPr>
        <w:t>Bao et al. (2020)</w:t>
      </w:r>
      <w:r w:rsidRPr="00785BF3">
        <w:rPr>
          <w:rFonts w:ascii="Times New Roman" w:hAnsi="Times New Roman" w:cs="Times New Roman"/>
        </w:rPr>
        <w:t xml:space="preserve"> and specific proxies are used for variables such as dividend smoothing being measured as per </w:t>
      </w:r>
      <w:r>
        <w:rPr>
          <w:rFonts w:ascii="Times New Roman" w:hAnsi="Times New Roman" w:cs="Times New Roman"/>
        </w:rPr>
        <w:t>L</w:t>
      </w:r>
      <w:r w:rsidRPr="002D2F6A">
        <w:rPr>
          <w:rFonts w:ascii="Times New Roman" w:hAnsi="Times New Roman" w:cs="Times New Roman"/>
        </w:rPr>
        <w:t>i</w:t>
      </w:r>
      <w:r>
        <w:rPr>
          <w:rFonts w:ascii="Times New Roman" w:hAnsi="Times New Roman" w:cs="Times New Roman"/>
        </w:rPr>
        <w:t>tn</w:t>
      </w:r>
      <w:r w:rsidRPr="002D2F6A">
        <w:rPr>
          <w:rFonts w:ascii="Times New Roman" w:hAnsi="Times New Roman" w:cs="Times New Roman"/>
        </w:rPr>
        <w:t>er et al (1956)</w:t>
      </w:r>
      <w:r w:rsidRPr="00785BF3">
        <w:rPr>
          <w:rFonts w:ascii="Times New Roman" w:hAnsi="Times New Roman" w:cs="Times New Roman"/>
        </w:rPr>
        <w:t xml:space="preserve"> </w:t>
      </w:r>
      <w:r w:rsidRPr="002D2F6A">
        <w:rPr>
          <w:rFonts w:ascii="Times New Roman" w:hAnsi="Times New Roman" w:cs="Times New Roman"/>
        </w:rPr>
        <w:t>and Leary and Michaely</w:t>
      </w:r>
      <w:r w:rsidRPr="00785BF3">
        <w:rPr>
          <w:rFonts w:ascii="Times New Roman" w:hAnsi="Times New Roman" w:cs="Times New Roman"/>
        </w:rPr>
        <w:t xml:space="preserve"> (2011) and thus may not capture the full complexities of these variables and overall topics. Furthermore, empirical data is analysed in this study and therefore qualitative additions are</w:t>
      </w:r>
      <w:r>
        <w:rPr>
          <w:rFonts w:ascii="Times New Roman" w:hAnsi="Times New Roman" w:cs="Times New Roman"/>
        </w:rPr>
        <w:t xml:space="preserve"> not </w:t>
      </w:r>
      <w:r w:rsidRPr="00785BF3">
        <w:rPr>
          <w:rFonts w:ascii="Times New Roman" w:hAnsi="Times New Roman" w:cs="Times New Roman"/>
        </w:rPr>
        <w:t>accounted</w:t>
      </w:r>
      <w:r>
        <w:rPr>
          <w:rFonts w:ascii="Times New Roman" w:hAnsi="Times New Roman" w:cs="Times New Roman"/>
        </w:rPr>
        <w:t xml:space="preserve"> for which may </w:t>
      </w:r>
      <w:r w:rsidR="00B52A8C">
        <w:rPr>
          <w:rFonts w:ascii="Times New Roman" w:hAnsi="Times New Roman" w:cs="Times New Roman"/>
        </w:rPr>
        <w:t>have</w:t>
      </w:r>
      <w:r>
        <w:rPr>
          <w:rFonts w:ascii="Times New Roman" w:hAnsi="Times New Roman" w:cs="Times New Roman"/>
        </w:rPr>
        <w:t xml:space="preserve"> enhanced the sample</w:t>
      </w:r>
      <w:r w:rsidRPr="00785BF3">
        <w:rPr>
          <w:rFonts w:ascii="Times New Roman" w:hAnsi="Times New Roman" w:cs="Times New Roman"/>
        </w:rPr>
        <w:t>. Lastly, although entropy balancing and robustness test</w:t>
      </w:r>
      <w:r>
        <w:rPr>
          <w:rFonts w:ascii="Times New Roman" w:hAnsi="Times New Roman" w:cs="Times New Roman"/>
        </w:rPr>
        <w:t>s</w:t>
      </w:r>
      <w:r w:rsidRPr="00785BF3">
        <w:rPr>
          <w:rFonts w:ascii="Times New Roman" w:hAnsi="Times New Roman" w:cs="Times New Roman"/>
        </w:rPr>
        <w:t xml:space="preserve"> are in place, there are still risks of e</w:t>
      </w:r>
      <w:r w:rsidRPr="002D2F6A">
        <w:rPr>
          <w:rFonts w:ascii="Times New Roman" w:hAnsi="Times New Roman" w:cs="Times New Roman"/>
        </w:rPr>
        <w:t>ndogeneity</w:t>
      </w:r>
      <w:r w:rsidRPr="00785BF3">
        <w:rPr>
          <w:rFonts w:ascii="Times New Roman" w:hAnsi="Times New Roman" w:cs="Times New Roman"/>
        </w:rPr>
        <w:t xml:space="preserve"> whereby u</w:t>
      </w:r>
      <w:r w:rsidRPr="002D2F6A">
        <w:rPr>
          <w:rFonts w:ascii="Times New Roman" w:hAnsi="Times New Roman" w:cs="Times New Roman"/>
        </w:rPr>
        <w:t>nobserved factors might still influence both accounting fraud and dividend smoothing, potentially biasing the results.</w:t>
      </w:r>
    </w:p>
    <w:p w14:paraId="72B74CF1" w14:textId="77777777" w:rsidR="00AE79E5" w:rsidRPr="00785BF3" w:rsidRDefault="00AE79E5" w:rsidP="00CA7220">
      <w:pPr>
        <w:spacing w:line="480" w:lineRule="auto"/>
        <w:jc w:val="both"/>
        <w:rPr>
          <w:rFonts w:ascii="Times New Roman" w:hAnsi="Times New Roman" w:cs="Times New Roman"/>
        </w:rPr>
      </w:pPr>
    </w:p>
    <w:p w14:paraId="7D0FB208" w14:textId="2BF9E24A" w:rsidR="00AE79E5" w:rsidRPr="002D2F6A" w:rsidRDefault="00AE79E5" w:rsidP="00CA7220">
      <w:pPr>
        <w:spacing w:line="480" w:lineRule="auto"/>
        <w:jc w:val="both"/>
        <w:rPr>
          <w:rFonts w:ascii="Times New Roman" w:hAnsi="Times New Roman" w:cs="Times New Roman"/>
        </w:rPr>
      </w:pPr>
      <w:r w:rsidRPr="00785BF3">
        <w:rPr>
          <w:rFonts w:ascii="Times New Roman" w:hAnsi="Times New Roman" w:cs="Times New Roman"/>
        </w:rPr>
        <w:t xml:space="preserve">To build on this study and address its limitations, </w:t>
      </w:r>
      <w:r w:rsidR="009571C7">
        <w:rPr>
          <w:rFonts w:ascii="Times New Roman" w:hAnsi="Times New Roman" w:cs="Times New Roman"/>
        </w:rPr>
        <w:t>f</w:t>
      </w:r>
      <w:r w:rsidRPr="00785BF3">
        <w:rPr>
          <w:rFonts w:ascii="Times New Roman" w:hAnsi="Times New Roman" w:cs="Times New Roman"/>
        </w:rPr>
        <w:t xml:space="preserve">uture studies could incorporate more recent data post-2009 which would provide insights into how regulatory environments shape </w:t>
      </w:r>
      <w:r w:rsidRPr="00785BF3">
        <w:rPr>
          <w:rFonts w:ascii="Times New Roman" w:hAnsi="Times New Roman" w:cs="Times New Roman"/>
        </w:rPr>
        <w:lastRenderedPageBreak/>
        <w:t xml:space="preserve">corporate behaviours. Moreover, expanding this study to analyse company's internationally and private firms as well as publicly available data will provide a more comprehensive analysis of the diverse environments, cultural differences and practices which may enhance the relationship between accounting fraud and dividend smoothing. Incorporating qualitative methods, such as interviews with corporate executives and auditors could provide deeper insights into the motivations and mechanisms behind dividend smoothing and accounting fraud, complementing the empirical findings. As well as this, future research could explore alternative proxies and measurement for accounting fraud and dividend smoothing such as utilising machine learning algorithms to obtain more comprehensive datasets. Moreover, utilising this technology, non-linear relationships could be further explored to uncover more complex dynamics between the variables not captured by linear models. </w:t>
      </w:r>
      <w:r w:rsidRPr="002D2F6A">
        <w:rPr>
          <w:rFonts w:ascii="Times New Roman" w:hAnsi="Times New Roman" w:cs="Times New Roman"/>
        </w:rPr>
        <w:t>By addressing these limitations and exploring these future research directions</w:t>
      </w:r>
      <w:r w:rsidR="009571C7">
        <w:rPr>
          <w:rFonts w:ascii="Times New Roman" w:hAnsi="Times New Roman" w:cs="Times New Roman"/>
        </w:rPr>
        <w:t>,</w:t>
      </w:r>
      <w:r w:rsidRPr="002D2F6A">
        <w:rPr>
          <w:rFonts w:ascii="Times New Roman" w:hAnsi="Times New Roman" w:cs="Times New Roman"/>
        </w:rPr>
        <w:t xml:space="preserve"> the understanding of the </w:t>
      </w:r>
      <w:r w:rsidR="00FF55E1">
        <w:rPr>
          <w:rFonts w:ascii="Times New Roman" w:hAnsi="Times New Roman" w:cs="Times New Roman"/>
        </w:rPr>
        <w:t xml:space="preserve">correlation </w:t>
      </w:r>
      <w:r w:rsidRPr="002D2F6A">
        <w:rPr>
          <w:rFonts w:ascii="Times New Roman" w:hAnsi="Times New Roman" w:cs="Times New Roman"/>
        </w:rPr>
        <w:t>between accounting fraud and dividend smoothing</w:t>
      </w:r>
      <w:r w:rsidRPr="00785BF3">
        <w:rPr>
          <w:rFonts w:ascii="Times New Roman" w:hAnsi="Times New Roman" w:cs="Times New Roman"/>
        </w:rPr>
        <w:t xml:space="preserve"> will be enhanced</w:t>
      </w:r>
      <w:r w:rsidRPr="002D2F6A">
        <w:rPr>
          <w:rFonts w:ascii="Times New Roman" w:hAnsi="Times New Roman" w:cs="Times New Roman"/>
        </w:rPr>
        <w:t>, thereby contributing to more effective corporate governance and financial reporting practices.</w:t>
      </w:r>
    </w:p>
    <w:p w14:paraId="036EA131" w14:textId="77777777" w:rsidR="005C4A1D" w:rsidRDefault="005C4A1D" w:rsidP="00CA7220">
      <w:pPr>
        <w:spacing w:line="480" w:lineRule="auto"/>
        <w:jc w:val="both"/>
        <w:rPr>
          <w:rFonts w:ascii="Times New Roman" w:hAnsi="Times New Roman" w:cs="Times New Roman"/>
        </w:rPr>
      </w:pPr>
    </w:p>
    <w:p w14:paraId="799106B5" w14:textId="77777777" w:rsidR="000215AD" w:rsidRDefault="000215AD" w:rsidP="00CA7220">
      <w:pPr>
        <w:spacing w:line="480" w:lineRule="auto"/>
        <w:jc w:val="both"/>
        <w:rPr>
          <w:rFonts w:ascii="Times New Roman" w:hAnsi="Times New Roman" w:cs="Times New Roman"/>
        </w:rPr>
      </w:pPr>
    </w:p>
    <w:p w14:paraId="6909E003" w14:textId="77777777" w:rsidR="000215AD" w:rsidRDefault="000215AD" w:rsidP="00CA7220">
      <w:pPr>
        <w:spacing w:line="480" w:lineRule="auto"/>
        <w:jc w:val="both"/>
        <w:rPr>
          <w:rFonts w:ascii="Times New Roman" w:hAnsi="Times New Roman" w:cs="Times New Roman"/>
        </w:rPr>
      </w:pPr>
    </w:p>
    <w:p w14:paraId="11E42C23" w14:textId="77777777" w:rsidR="000215AD" w:rsidRDefault="000215AD" w:rsidP="00CA7220">
      <w:pPr>
        <w:spacing w:line="480" w:lineRule="auto"/>
        <w:jc w:val="both"/>
        <w:rPr>
          <w:rFonts w:ascii="Times New Roman" w:hAnsi="Times New Roman" w:cs="Times New Roman"/>
        </w:rPr>
      </w:pPr>
    </w:p>
    <w:p w14:paraId="6D8F4124" w14:textId="77777777" w:rsidR="000215AD" w:rsidRDefault="000215AD" w:rsidP="00CA7220">
      <w:pPr>
        <w:spacing w:line="480" w:lineRule="auto"/>
        <w:jc w:val="both"/>
        <w:rPr>
          <w:rFonts w:ascii="Times New Roman" w:hAnsi="Times New Roman" w:cs="Times New Roman"/>
        </w:rPr>
      </w:pPr>
    </w:p>
    <w:p w14:paraId="76DF6231" w14:textId="77777777" w:rsidR="000215AD" w:rsidRDefault="000215AD" w:rsidP="00CA7220">
      <w:pPr>
        <w:spacing w:line="480" w:lineRule="auto"/>
        <w:jc w:val="both"/>
        <w:rPr>
          <w:rFonts w:ascii="Times New Roman" w:hAnsi="Times New Roman" w:cs="Times New Roman"/>
        </w:rPr>
      </w:pPr>
    </w:p>
    <w:p w14:paraId="0F1A4DE8" w14:textId="77777777" w:rsidR="00CA7220" w:rsidRDefault="00CA7220" w:rsidP="00CA7220">
      <w:pPr>
        <w:spacing w:line="480" w:lineRule="auto"/>
        <w:jc w:val="both"/>
        <w:rPr>
          <w:rFonts w:ascii="Times New Roman" w:hAnsi="Times New Roman" w:cs="Times New Roman"/>
        </w:rPr>
      </w:pPr>
    </w:p>
    <w:p w14:paraId="2205A731" w14:textId="77777777" w:rsidR="00FF55E1" w:rsidRDefault="00FF55E1" w:rsidP="00CA7220">
      <w:pPr>
        <w:spacing w:line="480" w:lineRule="auto"/>
        <w:jc w:val="both"/>
        <w:rPr>
          <w:rFonts w:ascii="Times New Roman" w:hAnsi="Times New Roman" w:cs="Times New Roman"/>
        </w:rPr>
      </w:pPr>
    </w:p>
    <w:p w14:paraId="683DC222" w14:textId="77777777" w:rsidR="00FF55E1" w:rsidRDefault="00FF55E1" w:rsidP="00CA7220">
      <w:pPr>
        <w:spacing w:line="480" w:lineRule="auto"/>
        <w:jc w:val="both"/>
        <w:rPr>
          <w:rFonts w:ascii="Times New Roman" w:hAnsi="Times New Roman" w:cs="Times New Roman"/>
        </w:rPr>
      </w:pPr>
    </w:p>
    <w:p w14:paraId="14D1137E" w14:textId="77777777" w:rsidR="00FF55E1" w:rsidRDefault="00FF55E1" w:rsidP="00CA7220">
      <w:pPr>
        <w:spacing w:line="480" w:lineRule="auto"/>
        <w:jc w:val="both"/>
        <w:rPr>
          <w:rFonts w:ascii="Times New Roman" w:hAnsi="Times New Roman" w:cs="Times New Roman"/>
        </w:rPr>
      </w:pPr>
    </w:p>
    <w:p w14:paraId="684CA721" w14:textId="41AC6F79" w:rsidR="00AE79E5" w:rsidRPr="00AE79E5" w:rsidRDefault="00AE79E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26" w:name="_Toc167763055"/>
      <w:r w:rsidRPr="00AE79E5">
        <w:rPr>
          <w:rFonts w:ascii="Times New Roman" w:eastAsia="Times New Roman" w:hAnsi="Times New Roman" w:cs="Times New Roman"/>
          <w:b/>
          <w:bCs/>
          <w:color w:val="auto"/>
          <w:sz w:val="24"/>
          <w:szCs w:val="24"/>
          <w:lang w:eastAsia="en-GB"/>
        </w:rPr>
        <w:lastRenderedPageBreak/>
        <w:t>Appendix A (Definition of Variables)</w:t>
      </w:r>
      <w:bookmarkEnd w:id="26"/>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466"/>
      </w:tblGrid>
      <w:tr w:rsidR="00AE79E5" w:rsidRPr="00785BF3" w14:paraId="2BD1B713" w14:textId="77777777" w:rsidTr="00744119">
        <w:trPr>
          <w:trHeight w:val="216"/>
        </w:trPr>
        <w:tc>
          <w:tcPr>
            <w:tcW w:w="9356" w:type="dxa"/>
            <w:gridSpan w:val="2"/>
            <w:tcBorders>
              <w:top w:val="nil"/>
              <w:left w:val="nil"/>
              <w:bottom w:val="single" w:sz="4" w:space="0" w:color="auto"/>
              <w:right w:val="nil"/>
            </w:tcBorders>
            <w:shd w:val="clear" w:color="auto" w:fill="auto"/>
            <w:vAlign w:val="center"/>
          </w:tcPr>
          <w:p w14:paraId="5FB487FC" w14:textId="77777777" w:rsidR="00AE79E5" w:rsidRPr="00785BF3" w:rsidRDefault="00AE79E5" w:rsidP="00CA7220">
            <w:pPr>
              <w:jc w:val="center"/>
              <w:rPr>
                <w:rFonts w:ascii="Times New Roman" w:hAnsi="Times New Roman" w:cs="Times New Roman"/>
                <w:b/>
                <w:sz w:val="18"/>
                <w:szCs w:val="20"/>
              </w:rPr>
            </w:pPr>
          </w:p>
        </w:tc>
      </w:tr>
      <w:tr w:rsidR="00AE79E5" w:rsidRPr="00785BF3" w14:paraId="70D94546" w14:textId="77777777" w:rsidTr="00744119">
        <w:trPr>
          <w:trHeight w:val="74"/>
        </w:trPr>
        <w:tc>
          <w:tcPr>
            <w:tcW w:w="1890" w:type="dxa"/>
            <w:tcBorders>
              <w:top w:val="single" w:sz="4" w:space="0" w:color="auto"/>
              <w:left w:val="nil"/>
              <w:bottom w:val="single" w:sz="4" w:space="0" w:color="auto"/>
              <w:right w:val="nil"/>
            </w:tcBorders>
            <w:shd w:val="clear" w:color="auto" w:fill="auto"/>
            <w:vAlign w:val="center"/>
          </w:tcPr>
          <w:p w14:paraId="2769164A" w14:textId="77777777" w:rsidR="00AE79E5" w:rsidRPr="00785BF3" w:rsidRDefault="00AE79E5" w:rsidP="00CA7220">
            <w:pPr>
              <w:rPr>
                <w:rFonts w:ascii="Times New Roman" w:hAnsi="Times New Roman" w:cs="Times New Roman"/>
                <w:b/>
                <w:sz w:val="18"/>
                <w:szCs w:val="20"/>
              </w:rPr>
            </w:pPr>
            <w:r w:rsidRPr="00785BF3">
              <w:rPr>
                <w:rFonts w:ascii="Times New Roman" w:hAnsi="Times New Roman" w:cs="Times New Roman"/>
                <w:b/>
                <w:sz w:val="18"/>
                <w:szCs w:val="20"/>
              </w:rPr>
              <w:t>Variable</w:t>
            </w:r>
          </w:p>
        </w:tc>
        <w:tc>
          <w:tcPr>
            <w:tcW w:w="7466" w:type="dxa"/>
            <w:tcBorders>
              <w:top w:val="single" w:sz="4" w:space="0" w:color="auto"/>
              <w:left w:val="nil"/>
              <w:bottom w:val="single" w:sz="4" w:space="0" w:color="auto"/>
              <w:right w:val="nil"/>
            </w:tcBorders>
            <w:shd w:val="clear" w:color="auto" w:fill="auto"/>
            <w:vAlign w:val="center"/>
          </w:tcPr>
          <w:p w14:paraId="0588EC2E" w14:textId="77777777" w:rsidR="00AE79E5" w:rsidRPr="00785BF3" w:rsidRDefault="00AE79E5" w:rsidP="00CA7220">
            <w:pPr>
              <w:jc w:val="center"/>
              <w:rPr>
                <w:rFonts w:ascii="Times New Roman" w:hAnsi="Times New Roman" w:cs="Times New Roman"/>
                <w:b/>
                <w:sz w:val="18"/>
                <w:szCs w:val="20"/>
              </w:rPr>
            </w:pPr>
            <w:r w:rsidRPr="00785BF3">
              <w:rPr>
                <w:rFonts w:ascii="Times New Roman" w:hAnsi="Times New Roman" w:cs="Times New Roman"/>
                <w:b/>
                <w:sz w:val="18"/>
                <w:szCs w:val="20"/>
              </w:rPr>
              <w:t>Definition</w:t>
            </w:r>
          </w:p>
        </w:tc>
      </w:tr>
      <w:tr w:rsidR="00AE79E5" w:rsidRPr="00785BF3" w14:paraId="6771E80E" w14:textId="77777777" w:rsidTr="00744119">
        <w:trPr>
          <w:trHeight w:val="125"/>
        </w:trPr>
        <w:tc>
          <w:tcPr>
            <w:tcW w:w="1890" w:type="dxa"/>
            <w:tcBorders>
              <w:top w:val="single" w:sz="4" w:space="0" w:color="auto"/>
              <w:left w:val="nil"/>
              <w:bottom w:val="nil"/>
              <w:right w:val="nil"/>
            </w:tcBorders>
            <w:shd w:val="clear" w:color="auto" w:fill="auto"/>
            <w:vAlign w:val="center"/>
          </w:tcPr>
          <w:p w14:paraId="5A4380D8"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SOA</w:t>
            </w:r>
          </w:p>
        </w:tc>
        <w:tc>
          <w:tcPr>
            <w:tcW w:w="7466" w:type="dxa"/>
            <w:tcBorders>
              <w:top w:val="single" w:sz="4" w:space="0" w:color="auto"/>
              <w:left w:val="nil"/>
              <w:bottom w:val="nil"/>
              <w:right w:val="nil"/>
            </w:tcBorders>
            <w:shd w:val="clear" w:color="auto" w:fill="auto"/>
            <w:vAlign w:val="center"/>
          </w:tcPr>
          <w:p w14:paraId="6AB2C664" w14:textId="6B644129" w:rsidR="00AE79E5" w:rsidRPr="00EF5766" w:rsidRDefault="00AE79E5" w:rsidP="00CA7220">
            <w:pPr>
              <w:jc w:val="both"/>
              <w:rPr>
                <w:rFonts w:ascii="Times New Roman" w:eastAsia="Calibri" w:hAnsi="Times New Roman" w:cs="Times New Roman"/>
                <w:kern w:val="0"/>
                <w:sz w:val="19"/>
                <w:szCs w:val="19"/>
                <w14:ligatures w14:val="none"/>
              </w:rPr>
            </w:pPr>
            <w:r w:rsidRPr="00785BF3">
              <w:rPr>
                <w:rFonts w:ascii="Times New Roman" w:hAnsi="Times New Roman" w:cs="Times New Roman"/>
                <w:sz w:val="19"/>
                <w:szCs w:val="19"/>
              </w:rPr>
              <w:t xml:space="preserve">The </w:t>
            </w:r>
            <w:r w:rsidRPr="00785BF3">
              <w:rPr>
                <w:rStyle w:val="NoSpacingChar"/>
                <w:rFonts w:ascii="Times New Roman" w:hAnsi="Times New Roman"/>
                <w:sz w:val="19"/>
                <w:szCs w:val="19"/>
              </w:rPr>
              <w:t xml:space="preserve">speed of adjustment measurement is calculated </w:t>
            </w:r>
            <w:r w:rsidR="000215AD">
              <w:rPr>
                <w:rStyle w:val="NoSpacingChar"/>
                <w:rFonts w:ascii="Times New Roman" w:hAnsi="Times New Roman"/>
                <w:sz w:val="19"/>
                <w:szCs w:val="19"/>
              </w:rPr>
              <w:t>using</w:t>
            </w:r>
            <w:r w:rsidRPr="00785BF3">
              <w:rPr>
                <w:rStyle w:val="NoSpacingChar"/>
                <w:rFonts w:ascii="Times New Roman" w:hAnsi="Times New Roman"/>
                <w:sz w:val="19"/>
                <w:szCs w:val="19"/>
              </w:rPr>
              <w:t xml:space="preserve"> </w:t>
            </w:r>
            <w:r w:rsidR="000215AD" w:rsidRPr="00785BF3">
              <w:rPr>
                <w:rStyle w:val="NoSpacingChar"/>
                <w:rFonts w:ascii="Times New Roman" w:hAnsi="Times New Roman"/>
                <w:sz w:val="19"/>
                <w:szCs w:val="19"/>
              </w:rPr>
              <w:t>Lintner’s (</w:t>
            </w:r>
            <w:r w:rsidR="000215AD" w:rsidRPr="000215AD">
              <w:rPr>
                <w:rStyle w:val="NoSpacingChar"/>
                <w:rFonts w:ascii="Times New Roman" w:hAnsi="Times New Roman"/>
                <w:sz w:val="19"/>
                <w:szCs w:val="19"/>
              </w:rPr>
              <w:t xml:space="preserve">1956) </w:t>
            </w:r>
            <w:r w:rsidR="00313BEA">
              <w:rPr>
                <w:rStyle w:val="NoSpacingChar"/>
                <w:rFonts w:ascii="Times New Roman" w:hAnsi="Times New Roman"/>
                <w:sz w:val="19"/>
                <w:szCs w:val="19"/>
              </w:rPr>
              <w:t>model of p</w:t>
            </w:r>
            <w:r>
              <w:rPr>
                <w:rStyle w:val="NoSpacingChar"/>
                <w:rFonts w:ascii="Times New Roman" w:hAnsi="Times New Roman"/>
                <w:sz w:val="19"/>
                <w:szCs w:val="19"/>
              </w:rPr>
              <w:t xml:space="preserve">artial adjustment </w:t>
            </w:r>
            <w:r w:rsidRPr="000215AD">
              <w:rPr>
                <w:rStyle w:val="NoSpacingChar"/>
                <w:rFonts w:ascii="Times New Roman" w:hAnsi="Times New Roman"/>
                <w:sz w:val="19"/>
                <w:szCs w:val="19"/>
              </w:rPr>
              <w:t xml:space="preserve">(explained in section </w:t>
            </w:r>
            <w:r w:rsidR="000215AD" w:rsidRPr="000215AD">
              <w:rPr>
                <w:rStyle w:val="NoSpacingChar"/>
                <w:rFonts w:ascii="Times New Roman" w:hAnsi="Times New Roman"/>
                <w:sz w:val="19"/>
                <w:szCs w:val="19"/>
              </w:rPr>
              <w:t>5.1</w:t>
            </w:r>
            <w:r w:rsidRPr="000215AD">
              <w:rPr>
                <w:rStyle w:val="NoSpacingChar"/>
                <w:rFonts w:ascii="Times New Roman" w:hAnsi="Times New Roman"/>
                <w:sz w:val="19"/>
                <w:szCs w:val="19"/>
              </w:rPr>
              <w:t>)</w:t>
            </w:r>
          </w:p>
        </w:tc>
      </w:tr>
      <w:tr w:rsidR="00AE79E5" w:rsidRPr="00785BF3" w14:paraId="1BE2B991" w14:textId="77777777" w:rsidTr="00744119">
        <w:trPr>
          <w:trHeight w:val="125"/>
        </w:trPr>
        <w:tc>
          <w:tcPr>
            <w:tcW w:w="1890" w:type="dxa"/>
            <w:tcBorders>
              <w:top w:val="nil"/>
              <w:left w:val="nil"/>
              <w:bottom w:val="single" w:sz="4" w:space="0" w:color="auto"/>
              <w:right w:val="nil"/>
            </w:tcBorders>
            <w:shd w:val="clear" w:color="auto" w:fill="auto"/>
            <w:vAlign w:val="center"/>
          </w:tcPr>
          <w:p w14:paraId="17E05959" w14:textId="77777777" w:rsidR="00AE79E5" w:rsidRPr="00785BF3" w:rsidRDefault="00AE79E5" w:rsidP="00CA7220">
            <w:pPr>
              <w:rPr>
                <w:rFonts w:ascii="Times New Roman" w:hAnsi="Times New Roman" w:cs="Times New Roman"/>
                <w:bCs/>
                <w:sz w:val="19"/>
                <w:szCs w:val="19"/>
              </w:rPr>
            </w:pPr>
            <w:r>
              <w:rPr>
                <w:rFonts w:ascii="Times New Roman" w:hAnsi="Times New Roman" w:cs="Times New Roman"/>
                <w:bCs/>
                <w:sz w:val="19"/>
                <w:szCs w:val="19"/>
              </w:rPr>
              <w:t xml:space="preserve">Fraud </w:t>
            </w:r>
          </w:p>
        </w:tc>
        <w:tc>
          <w:tcPr>
            <w:tcW w:w="7466" w:type="dxa"/>
            <w:tcBorders>
              <w:top w:val="nil"/>
              <w:left w:val="nil"/>
              <w:bottom w:val="single" w:sz="4" w:space="0" w:color="auto"/>
              <w:right w:val="nil"/>
            </w:tcBorders>
            <w:shd w:val="clear" w:color="auto" w:fill="auto"/>
            <w:vAlign w:val="center"/>
          </w:tcPr>
          <w:p w14:paraId="14D07344" w14:textId="3A0A8B08" w:rsidR="00AE79E5" w:rsidRPr="00785BF3" w:rsidRDefault="00AE79E5" w:rsidP="00CA7220">
            <w:pPr>
              <w:jc w:val="both"/>
              <w:rPr>
                <w:rFonts w:ascii="Times New Roman" w:hAnsi="Times New Roman" w:cs="Times New Roman"/>
                <w:sz w:val="19"/>
                <w:szCs w:val="19"/>
              </w:rPr>
            </w:pPr>
            <w:r>
              <w:rPr>
                <w:rFonts w:ascii="Times New Roman" w:hAnsi="Times New Roman" w:cs="Times New Roman"/>
                <w:sz w:val="19"/>
                <w:szCs w:val="19"/>
              </w:rPr>
              <w:t>Accounting Fraud is measured in accordance wit</w:t>
            </w:r>
            <w:r w:rsidR="000215AD">
              <w:rPr>
                <w:rFonts w:ascii="Times New Roman" w:hAnsi="Times New Roman" w:cs="Times New Roman"/>
                <w:sz w:val="19"/>
                <w:szCs w:val="19"/>
              </w:rPr>
              <w:t xml:space="preserve">h Bao et al. (2020) </w:t>
            </w:r>
            <w:r w:rsidR="000215AD" w:rsidRPr="000215AD">
              <w:rPr>
                <w:rStyle w:val="NoSpacingChar"/>
                <w:rFonts w:ascii="Times New Roman" w:hAnsi="Times New Roman"/>
                <w:sz w:val="19"/>
                <w:szCs w:val="19"/>
              </w:rPr>
              <w:t>(explained in section 5.</w:t>
            </w:r>
            <w:r w:rsidR="000215AD">
              <w:rPr>
                <w:rStyle w:val="NoSpacingChar"/>
                <w:rFonts w:ascii="Times New Roman" w:hAnsi="Times New Roman"/>
                <w:sz w:val="19"/>
                <w:szCs w:val="19"/>
              </w:rPr>
              <w:t>2</w:t>
            </w:r>
            <w:r w:rsidR="000215AD" w:rsidRPr="000215AD">
              <w:rPr>
                <w:rStyle w:val="NoSpacingChar"/>
                <w:rFonts w:ascii="Times New Roman" w:hAnsi="Times New Roman"/>
                <w:sz w:val="19"/>
                <w:szCs w:val="19"/>
              </w:rPr>
              <w:t>)</w:t>
            </w:r>
          </w:p>
        </w:tc>
      </w:tr>
      <w:tr w:rsidR="00AE79E5" w:rsidRPr="00785BF3" w14:paraId="2F7CAA6E" w14:textId="77777777" w:rsidTr="00744119">
        <w:trPr>
          <w:trHeight w:val="125"/>
        </w:trPr>
        <w:tc>
          <w:tcPr>
            <w:tcW w:w="1890" w:type="dxa"/>
            <w:tcBorders>
              <w:top w:val="single" w:sz="4" w:space="0" w:color="auto"/>
              <w:left w:val="nil"/>
              <w:bottom w:val="nil"/>
              <w:right w:val="nil"/>
            </w:tcBorders>
            <w:shd w:val="clear" w:color="auto" w:fill="auto"/>
            <w:vAlign w:val="center"/>
          </w:tcPr>
          <w:p w14:paraId="63F5BC8D" w14:textId="77777777" w:rsidR="00AE79E5" w:rsidRPr="00785BF3" w:rsidRDefault="00AE79E5" w:rsidP="00CA7220">
            <w:pPr>
              <w:rPr>
                <w:rFonts w:ascii="Times New Roman" w:hAnsi="Times New Roman" w:cs="Times New Roman"/>
                <w:bCs/>
                <w:sz w:val="19"/>
                <w:szCs w:val="19"/>
                <w:vertAlign w:val="subscript"/>
              </w:rPr>
            </w:pPr>
            <w:r w:rsidRPr="00785BF3">
              <w:rPr>
                <w:rFonts w:ascii="Times New Roman" w:hAnsi="Times New Roman" w:cs="Times New Roman"/>
                <w:bCs/>
                <w:sz w:val="19"/>
                <w:szCs w:val="19"/>
              </w:rPr>
              <w:t>SOA</w:t>
            </w:r>
            <w:r w:rsidRPr="00785BF3">
              <w:rPr>
                <w:rFonts w:ascii="Times New Roman" w:hAnsi="Times New Roman" w:cs="Times New Roman"/>
                <w:bCs/>
                <w:sz w:val="19"/>
                <w:szCs w:val="19"/>
                <w:vertAlign w:val="subscript"/>
              </w:rPr>
              <w:t>LM</w:t>
            </w:r>
          </w:p>
        </w:tc>
        <w:tc>
          <w:tcPr>
            <w:tcW w:w="7466" w:type="dxa"/>
            <w:tcBorders>
              <w:top w:val="single" w:sz="4" w:space="0" w:color="auto"/>
              <w:left w:val="nil"/>
              <w:bottom w:val="nil"/>
              <w:right w:val="nil"/>
            </w:tcBorders>
            <w:shd w:val="clear" w:color="auto" w:fill="auto"/>
            <w:vAlign w:val="center"/>
          </w:tcPr>
          <w:p w14:paraId="654F54FF" w14:textId="77777777" w:rsidR="00AE79E5" w:rsidRPr="00785BF3" w:rsidRDefault="00AE79E5" w:rsidP="00CA7220">
            <w:pPr>
              <w:pStyle w:val="NoSpacing"/>
              <w:jc w:val="both"/>
              <w:rPr>
                <w:rFonts w:ascii="Times New Roman" w:hAnsi="Times New Roman"/>
                <w:sz w:val="19"/>
                <w:szCs w:val="19"/>
              </w:rPr>
            </w:pPr>
            <w:r w:rsidRPr="00785BF3">
              <w:rPr>
                <w:rFonts w:ascii="Times New Roman" w:hAnsi="Times New Roman"/>
                <w:sz w:val="19"/>
                <w:szCs w:val="19"/>
              </w:rPr>
              <w:t xml:space="preserve">Speed of adjustment measurement </w:t>
            </w:r>
            <w:r>
              <w:rPr>
                <w:rFonts w:ascii="Times New Roman" w:hAnsi="Times New Roman"/>
                <w:sz w:val="19"/>
                <w:szCs w:val="19"/>
              </w:rPr>
              <w:t xml:space="preserve">is </w:t>
            </w:r>
            <w:r w:rsidRPr="00785BF3">
              <w:rPr>
                <w:rFonts w:ascii="Times New Roman" w:hAnsi="Times New Roman"/>
                <w:sz w:val="19"/>
                <w:szCs w:val="19"/>
              </w:rPr>
              <w:t xml:space="preserve">calculated </w:t>
            </w:r>
            <w:r>
              <w:rPr>
                <w:rFonts w:ascii="Times New Roman" w:hAnsi="Times New Roman"/>
                <w:sz w:val="19"/>
                <w:szCs w:val="19"/>
              </w:rPr>
              <w:t>in accordance with</w:t>
            </w:r>
            <w:r w:rsidRPr="00785BF3">
              <w:rPr>
                <w:rFonts w:ascii="Times New Roman" w:hAnsi="Times New Roman"/>
                <w:sz w:val="19"/>
                <w:szCs w:val="19"/>
              </w:rPr>
              <w:t xml:space="preserve"> Leary and Michaely (2011).</w:t>
            </w:r>
          </w:p>
        </w:tc>
      </w:tr>
      <w:tr w:rsidR="00AE79E5" w:rsidRPr="00785BF3" w14:paraId="76813D64" w14:textId="77777777" w:rsidTr="00744119">
        <w:trPr>
          <w:trHeight w:val="125"/>
        </w:trPr>
        <w:tc>
          <w:tcPr>
            <w:tcW w:w="1890" w:type="dxa"/>
            <w:tcBorders>
              <w:top w:val="nil"/>
              <w:left w:val="nil"/>
              <w:bottom w:val="nil"/>
              <w:right w:val="nil"/>
            </w:tcBorders>
            <w:shd w:val="clear" w:color="auto" w:fill="auto"/>
            <w:vAlign w:val="center"/>
          </w:tcPr>
          <w:p w14:paraId="5CA31819"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Size</w:t>
            </w:r>
          </w:p>
        </w:tc>
        <w:tc>
          <w:tcPr>
            <w:tcW w:w="7466" w:type="dxa"/>
            <w:tcBorders>
              <w:top w:val="nil"/>
              <w:left w:val="nil"/>
              <w:bottom w:val="nil"/>
              <w:right w:val="nil"/>
            </w:tcBorders>
            <w:shd w:val="clear" w:color="auto" w:fill="auto"/>
            <w:vAlign w:val="center"/>
          </w:tcPr>
          <w:p w14:paraId="77E064A0" w14:textId="77777777"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rPr>
              <w:t>The natural logarithm of market value.</w:t>
            </w:r>
          </w:p>
        </w:tc>
      </w:tr>
      <w:tr w:rsidR="00AE79E5" w:rsidRPr="00785BF3" w14:paraId="300BDF2E" w14:textId="77777777" w:rsidTr="00744119">
        <w:trPr>
          <w:trHeight w:val="125"/>
        </w:trPr>
        <w:tc>
          <w:tcPr>
            <w:tcW w:w="1890" w:type="dxa"/>
            <w:tcBorders>
              <w:top w:val="nil"/>
              <w:left w:val="nil"/>
              <w:bottom w:val="nil"/>
              <w:right w:val="nil"/>
            </w:tcBorders>
            <w:shd w:val="clear" w:color="auto" w:fill="auto"/>
            <w:vAlign w:val="center"/>
          </w:tcPr>
          <w:p w14:paraId="571D1B7D"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Firm Age</w:t>
            </w:r>
          </w:p>
        </w:tc>
        <w:tc>
          <w:tcPr>
            <w:tcW w:w="7466" w:type="dxa"/>
            <w:tcBorders>
              <w:top w:val="nil"/>
              <w:left w:val="nil"/>
              <w:bottom w:val="nil"/>
              <w:right w:val="nil"/>
            </w:tcBorders>
            <w:shd w:val="clear" w:color="auto" w:fill="auto"/>
            <w:vAlign w:val="center"/>
          </w:tcPr>
          <w:p w14:paraId="12B4757C" w14:textId="0C077605"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lang w:val="en-US"/>
              </w:rPr>
              <w:t xml:space="preserve">The </w:t>
            </w:r>
            <w:r w:rsidR="00FF55E1">
              <w:rPr>
                <w:rFonts w:ascii="Times New Roman" w:hAnsi="Times New Roman" w:cs="Times New Roman"/>
                <w:sz w:val="19"/>
                <w:szCs w:val="19"/>
                <w:lang w:val="en-US"/>
              </w:rPr>
              <w:t>duration of the company’s</w:t>
            </w:r>
            <w:r w:rsidRPr="00785BF3">
              <w:rPr>
                <w:rFonts w:ascii="Times New Roman" w:hAnsi="Times New Roman" w:cs="Times New Roman"/>
                <w:sz w:val="19"/>
                <w:szCs w:val="19"/>
                <w:lang w:val="en-US"/>
              </w:rPr>
              <w:t xml:space="preserve"> list</w:t>
            </w:r>
            <w:r w:rsidR="00FF55E1">
              <w:rPr>
                <w:rFonts w:ascii="Times New Roman" w:hAnsi="Times New Roman" w:cs="Times New Roman"/>
                <w:sz w:val="19"/>
                <w:szCs w:val="19"/>
                <w:lang w:val="en-US"/>
              </w:rPr>
              <w:t>ing</w:t>
            </w:r>
            <w:r w:rsidRPr="00785BF3">
              <w:rPr>
                <w:rFonts w:ascii="Times New Roman" w:hAnsi="Times New Roman" w:cs="Times New Roman"/>
                <w:sz w:val="19"/>
                <w:szCs w:val="19"/>
                <w:lang w:val="en-US"/>
              </w:rPr>
              <w:t xml:space="preserve"> on CRSP. </w:t>
            </w:r>
            <w:r w:rsidR="000215AD">
              <w:rPr>
                <w:rFonts w:ascii="Times New Roman" w:hAnsi="Times New Roman" w:cs="Times New Roman"/>
                <w:sz w:val="19"/>
                <w:szCs w:val="19"/>
                <w:lang w:val="en-US"/>
              </w:rPr>
              <w:t xml:space="preserve">In the regressions, </w:t>
            </w:r>
            <w:r>
              <w:rPr>
                <w:rFonts w:ascii="Times New Roman" w:hAnsi="Times New Roman" w:cs="Times New Roman"/>
                <w:sz w:val="19"/>
                <w:szCs w:val="19"/>
                <w:lang w:val="en-US"/>
              </w:rPr>
              <w:t>I</w:t>
            </w:r>
            <w:r w:rsidRPr="00785BF3">
              <w:rPr>
                <w:rFonts w:ascii="Times New Roman" w:hAnsi="Times New Roman" w:cs="Times New Roman"/>
                <w:sz w:val="19"/>
                <w:szCs w:val="19"/>
                <w:lang w:val="en-US"/>
              </w:rPr>
              <w:t xml:space="preserve"> use the natural logarithm of </w:t>
            </w:r>
            <w:r w:rsidR="00313BEA">
              <w:rPr>
                <w:rFonts w:ascii="Times New Roman" w:hAnsi="Times New Roman" w:cs="Times New Roman"/>
                <w:sz w:val="19"/>
                <w:szCs w:val="19"/>
                <w:lang w:val="en-US"/>
              </w:rPr>
              <w:t xml:space="preserve">the </w:t>
            </w:r>
            <w:r w:rsidRPr="00785BF3">
              <w:rPr>
                <w:rFonts w:ascii="Times New Roman" w:hAnsi="Times New Roman" w:cs="Times New Roman"/>
                <w:sz w:val="19"/>
                <w:szCs w:val="19"/>
                <w:lang w:val="en-US"/>
              </w:rPr>
              <w:t>firm</w:t>
            </w:r>
            <w:r w:rsidR="00313BEA">
              <w:rPr>
                <w:rFonts w:ascii="Times New Roman" w:hAnsi="Times New Roman" w:cs="Times New Roman"/>
                <w:sz w:val="19"/>
                <w:szCs w:val="19"/>
                <w:lang w:val="en-US"/>
              </w:rPr>
              <w:t>’s</w:t>
            </w:r>
            <w:r w:rsidRPr="00785BF3">
              <w:rPr>
                <w:rFonts w:ascii="Times New Roman" w:hAnsi="Times New Roman" w:cs="Times New Roman"/>
                <w:sz w:val="19"/>
                <w:szCs w:val="19"/>
                <w:lang w:val="en-US"/>
              </w:rPr>
              <w:t xml:space="preserve"> age plus one</w:t>
            </w:r>
            <w:r w:rsidR="000215AD">
              <w:rPr>
                <w:rFonts w:ascii="Times New Roman" w:hAnsi="Times New Roman" w:cs="Times New Roman"/>
                <w:sz w:val="19"/>
                <w:szCs w:val="19"/>
                <w:lang w:val="en-US"/>
              </w:rPr>
              <w:t>.</w:t>
            </w:r>
          </w:p>
        </w:tc>
      </w:tr>
      <w:tr w:rsidR="00AE79E5" w:rsidRPr="00785BF3" w14:paraId="167165D2" w14:textId="77777777" w:rsidTr="00744119">
        <w:trPr>
          <w:trHeight w:val="125"/>
        </w:trPr>
        <w:tc>
          <w:tcPr>
            <w:tcW w:w="1890" w:type="dxa"/>
            <w:tcBorders>
              <w:top w:val="nil"/>
              <w:left w:val="nil"/>
              <w:bottom w:val="nil"/>
              <w:right w:val="nil"/>
            </w:tcBorders>
            <w:shd w:val="clear" w:color="auto" w:fill="auto"/>
            <w:vAlign w:val="center"/>
          </w:tcPr>
          <w:p w14:paraId="527DA5FA"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MB</w:t>
            </w:r>
          </w:p>
        </w:tc>
        <w:tc>
          <w:tcPr>
            <w:tcW w:w="7466" w:type="dxa"/>
            <w:tcBorders>
              <w:top w:val="nil"/>
              <w:left w:val="nil"/>
              <w:bottom w:val="nil"/>
              <w:right w:val="nil"/>
            </w:tcBorders>
            <w:shd w:val="clear" w:color="auto" w:fill="auto"/>
            <w:vAlign w:val="center"/>
          </w:tcPr>
          <w:p w14:paraId="39553F7D" w14:textId="2C708BCA"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rPr>
              <w:t xml:space="preserve">The </w:t>
            </w:r>
            <w:r w:rsidR="00FF55E1">
              <w:rPr>
                <w:rFonts w:ascii="Times New Roman" w:hAnsi="Times New Roman" w:cs="Times New Roman"/>
                <w:sz w:val="19"/>
                <w:szCs w:val="19"/>
              </w:rPr>
              <w:t xml:space="preserve">sum of the </w:t>
            </w:r>
            <w:r w:rsidRPr="00785BF3">
              <w:rPr>
                <w:rFonts w:ascii="Times New Roman" w:hAnsi="Times New Roman" w:cs="Times New Roman"/>
                <w:sz w:val="19"/>
                <w:szCs w:val="19"/>
              </w:rPr>
              <w:t xml:space="preserve">market value of equity </w:t>
            </w:r>
            <w:r w:rsidR="00FF55E1">
              <w:rPr>
                <w:rFonts w:ascii="Times New Roman" w:hAnsi="Times New Roman" w:cs="Times New Roman"/>
                <w:sz w:val="19"/>
                <w:szCs w:val="19"/>
              </w:rPr>
              <w:t>and</w:t>
            </w:r>
            <w:r w:rsidRPr="00785BF3">
              <w:rPr>
                <w:rFonts w:ascii="Times New Roman" w:hAnsi="Times New Roman" w:cs="Times New Roman"/>
                <w:sz w:val="19"/>
                <w:szCs w:val="19"/>
              </w:rPr>
              <w:t xml:space="preserve"> total assets</w:t>
            </w:r>
            <w:r w:rsidR="00FF55E1">
              <w:rPr>
                <w:rFonts w:ascii="Times New Roman" w:hAnsi="Times New Roman" w:cs="Times New Roman"/>
                <w:sz w:val="19"/>
                <w:szCs w:val="19"/>
              </w:rPr>
              <w:t>,</w:t>
            </w:r>
            <w:r w:rsidRPr="00785BF3">
              <w:rPr>
                <w:rFonts w:ascii="Times New Roman" w:hAnsi="Times New Roman" w:cs="Times New Roman"/>
                <w:sz w:val="19"/>
                <w:szCs w:val="19"/>
              </w:rPr>
              <w:t xml:space="preserve"> minus the book value of equity, </w:t>
            </w:r>
            <w:r w:rsidR="00FF55E1">
              <w:rPr>
                <w:rFonts w:ascii="Times New Roman" w:hAnsi="Times New Roman" w:cs="Times New Roman"/>
                <w:sz w:val="19"/>
                <w:szCs w:val="19"/>
              </w:rPr>
              <w:t>multiplied</w:t>
            </w:r>
            <w:r w:rsidRPr="00785BF3">
              <w:rPr>
                <w:rFonts w:ascii="Times New Roman" w:hAnsi="Times New Roman" w:cs="Times New Roman"/>
                <w:sz w:val="19"/>
                <w:szCs w:val="19"/>
              </w:rPr>
              <w:t xml:space="preserve"> by total assets</w:t>
            </w:r>
            <w:r w:rsidR="00FF55E1">
              <w:rPr>
                <w:rFonts w:ascii="Times New Roman" w:hAnsi="Times New Roman" w:cs="Times New Roman"/>
                <w:sz w:val="19"/>
                <w:szCs w:val="19"/>
              </w:rPr>
              <w:t>.</w:t>
            </w:r>
          </w:p>
        </w:tc>
      </w:tr>
      <w:tr w:rsidR="00AE79E5" w:rsidRPr="00785BF3" w14:paraId="5DC182F8" w14:textId="77777777" w:rsidTr="00744119">
        <w:trPr>
          <w:trHeight w:val="125"/>
        </w:trPr>
        <w:tc>
          <w:tcPr>
            <w:tcW w:w="1890" w:type="dxa"/>
            <w:tcBorders>
              <w:top w:val="nil"/>
              <w:left w:val="nil"/>
              <w:bottom w:val="nil"/>
              <w:right w:val="nil"/>
            </w:tcBorders>
            <w:shd w:val="clear" w:color="auto" w:fill="auto"/>
            <w:vAlign w:val="center"/>
          </w:tcPr>
          <w:p w14:paraId="175BE0BD"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EBITDA</w:t>
            </w:r>
          </w:p>
        </w:tc>
        <w:tc>
          <w:tcPr>
            <w:tcW w:w="7466" w:type="dxa"/>
            <w:tcBorders>
              <w:top w:val="nil"/>
              <w:left w:val="nil"/>
              <w:bottom w:val="nil"/>
              <w:right w:val="nil"/>
            </w:tcBorders>
            <w:shd w:val="clear" w:color="auto" w:fill="auto"/>
            <w:vAlign w:val="center"/>
          </w:tcPr>
          <w:p w14:paraId="3AC97605" w14:textId="098AD293"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rPr>
              <w:t>EBITDA</w:t>
            </w:r>
            <w:r w:rsidR="000215AD">
              <w:rPr>
                <w:rFonts w:ascii="Times New Roman" w:hAnsi="Times New Roman" w:cs="Times New Roman"/>
                <w:sz w:val="19"/>
                <w:szCs w:val="19"/>
              </w:rPr>
              <w:t xml:space="preserve"> is s</w:t>
            </w:r>
            <w:r w:rsidRPr="00785BF3">
              <w:rPr>
                <w:rFonts w:ascii="Times New Roman" w:hAnsi="Times New Roman" w:cs="Times New Roman"/>
                <w:sz w:val="19"/>
                <w:szCs w:val="19"/>
              </w:rPr>
              <w:t>caled by total assets.</w:t>
            </w:r>
          </w:p>
        </w:tc>
      </w:tr>
      <w:tr w:rsidR="00AE79E5" w:rsidRPr="00785BF3" w14:paraId="41EB2080" w14:textId="77777777" w:rsidTr="00744119">
        <w:trPr>
          <w:trHeight w:val="125"/>
        </w:trPr>
        <w:tc>
          <w:tcPr>
            <w:tcW w:w="1890" w:type="dxa"/>
            <w:tcBorders>
              <w:top w:val="nil"/>
              <w:left w:val="nil"/>
              <w:bottom w:val="nil"/>
              <w:right w:val="nil"/>
            </w:tcBorders>
            <w:shd w:val="clear" w:color="auto" w:fill="auto"/>
            <w:vAlign w:val="center"/>
          </w:tcPr>
          <w:p w14:paraId="63CA462C" w14:textId="77777777" w:rsidR="00AE79E5" w:rsidRPr="00785BF3" w:rsidRDefault="00AE79E5" w:rsidP="00CA7220">
            <w:pPr>
              <w:rPr>
                <w:rFonts w:ascii="Times New Roman" w:hAnsi="Times New Roman" w:cs="Times New Roman"/>
                <w:bCs/>
                <w:sz w:val="19"/>
                <w:szCs w:val="19"/>
              </w:rPr>
            </w:pPr>
            <w:proofErr w:type="spellStart"/>
            <w:r w:rsidRPr="00785BF3">
              <w:rPr>
                <w:rFonts w:ascii="Times New Roman" w:hAnsi="Times New Roman" w:cs="Times New Roman"/>
                <w:sz w:val="19"/>
                <w:szCs w:val="19"/>
                <w:lang w:val="en-US"/>
              </w:rPr>
              <w:t>EarningsAR</w:t>
            </w:r>
            <w:proofErr w:type="spellEnd"/>
          </w:p>
        </w:tc>
        <w:tc>
          <w:tcPr>
            <w:tcW w:w="7466" w:type="dxa"/>
            <w:tcBorders>
              <w:top w:val="nil"/>
              <w:left w:val="nil"/>
              <w:bottom w:val="nil"/>
              <w:right w:val="nil"/>
            </w:tcBorders>
            <w:shd w:val="clear" w:color="auto" w:fill="auto"/>
            <w:vAlign w:val="center"/>
          </w:tcPr>
          <w:p w14:paraId="61F2FD45" w14:textId="7945BD47"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rPr>
              <w:t xml:space="preserve">The </w:t>
            </w:r>
            <w:r w:rsidR="00FF55E1">
              <w:rPr>
                <w:rFonts w:ascii="Times New Roman" w:hAnsi="Times New Roman" w:cs="Times New Roman"/>
                <w:sz w:val="19"/>
                <w:szCs w:val="19"/>
              </w:rPr>
              <w:t xml:space="preserve">estimated </w:t>
            </w:r>
            <w:r w:rsidRPr="00785BF3">
              <w:rPr>
                <w:rFonts w:ascii="Times New Roman" w:hAnsi="Times New Roman" w:cs="Times New Roman"/>
                <w:sz w:val="19"/>
                <w:szCs w:val="19"/>
              </w:rPr>
              <w:t xml:space="preserve">autoregressive parameter </w:t>
            </w:r>
            <w:r w:rsidR="00FF55E1">
              <w:rPr>
                <w:rFonts w:ascii="Times New Roman" w:hAnsi="Times New Roman" w:cs="Times New Roman"/>
                <w:sz w:val="19"/>
                <w:szCs w:val="19"/>
              </w:rPr>
              <w:t>for</w:t>
            </w:r>
            <w:r w:rsidRPr="00785BF3">
              <w:rPr>
                <w:rFonts w:ascii="Times New Roman" w:hAnsi="Times New Roman" w:cs="Times New Roman"/>
                <w:sz w:val="19"/>
                <w:szCs w:val="19"/>
              </w:rPr>
              <w:t xml:space="preserve"> an AR(1) model of earnings.</w:t>
            </w:r>
          </w:p>
        </w:tc>
      </w:tr>
      <w:tr w:rsidR="00AE79E5" w:rsidRPr="00785BF3" w14:paraId="28758F0D" w14:textId="77777777" w:rsidTr="00744119">
        <w:trPr>
          <w:trHeight w:val="125"/>
        </w:trPr>
        <w:tc>
          <w:tcPr>
            <w:tcW w:w="1890" w:type="dxa"/>
            <w:tcBorders>
              <w:top w:val="nil"/>
              <w:left w:val="nil"/>
              <w:bottom w:val="nil"/>
              <w:right w:val="nil"/>
            </w:tcBorders>
            <w:shd w:val="clear" w:color="auto" w:fill="auto"/>
            <w:vAlign w:val="center"/>
          </w:tcPr>
          <w:p w14:paraId="744A9F92"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Sales Growth</w:t>
            </w:r>
          </w:p>
        </w:tc>
        <w:tc>
          <w:tcPr>
            <w:tcW w:w="7466" w:type="dxa"/>
            <w:tcBorders>
              <w:top w:val="nil"/>
              <w:left w:val="nil"/>
              <w:bottom w:val="nil"/>
              <w:right w:val="nil"/>
            </w:tcBorders>
            <w:shd w:val="clear" w:color="auto" w:fill="auto"/>
            <w:vAlign w:val="center"/>
          </w:tcPr>
          <w:p w14:paraId="6DD89268" w14:textId="00FE0774" w:rsidR="00AE79E5" w:rsidRPr="00785BF3" w:rsidRDefault="000215AD" w:rsidP="00CA7220">
            <w:pPr>
              <w:rPr>
                <w:rFonts w:ascii="Times New Roman" w:hAnsi="Times New Roman" w:cs="Times New Roman"/>
                <w:sz w:val="19"/>
                <w:szCs w:val="19"/>
              </w:rPr>
            </w:pPr>
            <w:r>
              <w:rPr>
                <w:rFonts w:ascii="Times New Roman" w:hAnsi="Times New Roman" w:cs="Times New Roman"/>
                <w:sz w:val="19"/>
                <w:szCs w:val="19"/>
              </w:rPr>
              <w:t>T</w:t>
            </w:r>
            <w:r w:rsidR="00AE79E5" w:rsidRPr="00785BF3">
              <w:rPr>
                <w:rFonts w:ascii="Times New Roman" w:hAnsi="Times New Roman" w:cs="Times New Roman"/>
                <w:sz w:val="19"/>
                <w:szCs w:val="19"/>
              </w:rPr>
              <w:t xml:space="preserve">he </w:t>
            </w:r>
            <w:r w:rsidR="00FF55E1">
              <w:rPr>
                <w:rFonts w:ascii="Times New Roman" w:hAnsi="Times New Roman" w:cs="Times New Roman"/>
                <w:sz w:val="19"/>
                <w:szCs w:val="19"/>
              </w:rPr>
              <w:t xml:space="preserve">annual increase in total sales as a </w:t>
            </w:r>
            <w:r w:rsidR="00AE79E5" w:rsidRPr="00785BF3">
              <w:rPr>
                <w:rFonts w:ascii="Times New Roman" w:hAnsi="Times New Roman" w:cs="Times New Roman"/>
                <w:sz w:val="19"/>
                <w:szCs w:val="19"/>
              </w:rPr>
              <w:t>percentage.</w:t>
            </w:r>
          </w:p>
        </w:tc>
      </w:tr>
      <w:tr w:rsidR="00AE79E5" w:rsidRPr="00785BF3" w14:paraId="3711D797" w14:textId="77777777" w:rsidTr="00744119">
        <w:trPr>
          <w:trHeight w:val="125"/>
        </w:trPr>
        <w:tc>
          <w:tcPr>
            <w:tcW w:w="1890" w:type="dxa"/>
            <w:tcBorders>
              <w:top w:val="nil"/>
              <w:left w:val="nil"/>
              <w:bottom w:val="nil"/>
              <w:right w:val="nil"/>
            </w:tcBorders>
            <w:shd w:val="clear" w:color="auto" w:fill="auto"/>
            <w:vAlign w:val="center"/>
          </w:tcPr>
          <w:p w14:paraId="40FDB586"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Leverage</w:t>
            </w:r>
          </w:p>
        </w:tc>
        <w:tc>
          <w:tcPr>
            <w:tcW w:w="7466" w:type="dxa"/>
            <w:tcBorders>
              <w:top w:val="nil"/>
              <w:left w:val="nil"/>
              <w:bottom w:val="nil"/>
              <w:right w:val="nil"/>
            </w:tcBorders>
            <w:shd w:val="clear" w:color="auto" w:fill="auto"/>
            <w:vAlign w:val="center"/>
          </w:tcPr>
          <w:p w14:paraId="60299A50" w14:textId="28B748ED" w:rsidR="00AE79E5" w:rsidRPr="00785BF3" w:rsidRDefault="000215AD" w:rsidP="00CA7220">
            <w:pPr>
              <w:rPr>
                <w:rFonts w:ascii="Times New Roman" w:hAnsi="Times New Roman" w:cs="Times New Roman"/>
                <w:sz w:val="19"/>
                <w:szCs w:val="19"/>
              </w:rPr>
            </w:pPr>
            <w:r>
              <w:rPr>
                <w:rFonts w:ascii="Times New Roman" w:hAnsi="Times New Roman" w:cs="Times New Roman"/>
                <w:sz w:val="19"/>
                <w:szCs w:val="19"/>
                <w:lang w:val="en-US"/>
              </w:rPr>
              <w:t>T</w:t>
            </w:r>
            <w:r w:rsidR="00AE79E5" w:rsidRPr="00785BF3">
              <w:rPr>
                <w:rFonts w:ascii="Times New Roman" w:hAnsi="Times New Roman" w:cs="Times New Roman"/>
                <w:sz w:val="19"/>
                <w:szCs w:val="19"/>
                <w:lang w:val="en-US"/>
              </w:rPr>
              <w:t>he</w:t>
            </w:r>
            <w:r w:rsidR="00FF55E1">
              <w:rPr>
                <w:rFonts w:ascii="Times New Roman" w:hAnsi="Times New Roman" w:cs="Times New Roman"/>
                <w:sz w:val="19"/>
                <w:szCs w:val="19"/>
                <w:lang w:val="en-US"/>
              </w:rPr>
              <w:t xml:space="preserve"> total assets divided by the</w:t>
            </w:r>
            <w:r w:rsidR="00AE79E5" w:rsidRPr="00785BF3">
              <w:rPr>
                <w:rFonts w:ascii="Times New Roman" w:hAnsi="Times New Roman" w:cs="Times New Roman"/>
                <w:sz w:val="19"/>
                <w:szCs w:val="19"/>
                <w:lang w:val="en-US"/>
              </w:rPr>
              <w:t xml:space="preserve"> book value of all liabilities over the fiscal year.</w:t>
            </w:r>
          </w:p>
        </w:tc>
      </w:tr>
      <w:tr w:rsidR="00AE79E5" w:rsidRPr="00785BF3" w14:paraId="3F4D07DB" w14:textId="77777777" w:rsidTr="00744119">
        <w:trPr>
          <w:trHeight w:val="125"/>
        </w:trPr>
        <w:tc>
          <w:tcPr>
            <w:tcW w:w="1890" w:type="dxa"/>
            <w:tcBorders>
              <w:top w:val="nil"/>
              <w:left w:val="nil"/>
              <w:bottom w:val="nil"/>
              <w:right w:val="nil"/>
            </w:tcBorders>
            <w:shd w:val="clear" w:color="auto" w:fill="auto"/>
            <w:vAlign w:val="center"/>
          </w:tcPr>
          <w:p w14:paraId="42887E3E"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Tangibility</w:t>
            </w:r>
          </w:p>
        </w:tc>
        <w:tc>
          <w:tcPr>
            <w:tcW w:w="7466" w:type="dxa"/>
            <w:tcBorders>
              <w:top w:val="nil"/>
              <w:left w:val="nil"/>
              <w:bottom w:val="nil"/>
              <w:right w:val="nil"/>
            </w:tcBorders>
            <w:shd w:val="clear" w:color="auto" w:fill="auto"/>
            <w:vAlign w:val="center"/>
          </w:tcPr>
          <w:p w14:paraId="095FE7D2" w14:textId="4C6DBCFE"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lang w:val="en-US"/>
              </w:rPr>
              <w:t xml:space="preserve">The ratio of </w:t>
            </w:r>
            <w:r w:rsidR="00FF55E1">
              <w:rPr>
                <w:rFonts w:ascii="Times New Roman" w:hAnsi="Times New Roman" w:cs="Times New Roman"/>
                <w:sz w:val="19"/>
                <w:szCs w:val="19"/>
                <w:lang w:val="en-US"/>
              </w:rPr>
              <w:t xml:space="preserve">total assets to </w:t>
            </w:r>
            <w:r w:rsidRPr="00785BF3">
              <w:rPr>
                <w:rFonts w:ascii="Times New Roman" w:hAnsi="Times New Roman" w:cs="Times New Roman"/>
                <w:sz w:val="19"/>
                <w:szCs w:val="19"/>
                <w:lang w:val="en-US"/>
              </w:rPr>
              <w:t xml:space="preserve">property, plant, and equipment </w:t>
            </w:r>
            <w:r w:rsidR="000215AD">
              <w:rPr>
                <w:rFonts w:ascii="Times New Roman" w:hAnsi="Times New Roman" w:cs="Times New Roman"/>
                <w:sz w:val="19"/>
                <w:szCs w:val="19"/>
                <w:lang w:val="en-US"/>
              </w:rPr>
              <w:t xml:space="preserve">(PPE) </w:t>
            </w:r>
            <w:r w:rsidRPr="00785BF3">
              <w:rPr>
                <w:rFonts w:ascii="Times New Roman" w:hAnsi="Times New Roman" w:cs="Times New Roman"/>
                <w:sz w:val="19"/>
                <w:szCs w:val="19"/>
                <w:lang w:val="en-US"/>
              </w:rPr>
              <w:t>expenses over the fiscal year.</w:t>
            </w:r>
          </w:p>
        </w:tc>
      </w:tr>
      <w:tr w:rsidR="00AE79E5" w:rsidRPr="00785BF3" w14:paraId="2FB17514" w14:textId="77777777" w:rsidTr="00744119">
        <w:trPr>
          <w:trHeight w:val="125"/>
        </w:trPr>
        <w:tc>
          <w:tcPr>
            <w:tcW w:w="1890" w:type="dxa"/>
            <w:tcBorders>
              <w:top w:val="nil"/>
              <w:left w:val="nil"/>
              <w:bottom w:val="nil"/>
              <w:right w:val="nil"/>
            </w:tcBorders>
            <w:shd w:val="clear" w:color="auto" w:fill="auto"/>
            <w:vAlign w:val="center"/>
          </w:tcPr>
          <w:p w14:paraId="0933289D"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Payout</w:t>
            </w:r>
          </w:p>
        </w:tc>
        <w:tc>
          <w:tcPr>
            <w:tcW w:w="7466" w:type="dxa"/>
            <w:tcBorders>
              <w:top w:val="nil"/>
              <w:left w:val="nil"/>
              <w:bottom w:val="nil"/>
              <w:right w:val="nil"/>
            </w:tcBorders>
            <w:shd w:val="clear" w:color="auto" w:fill="auto"/>
            <w:vAlign w:val="center"/>
          </w:tcPr>
          <w:p w14:paraId="0AA9D087" w14:textId="77777777"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rPr>
              <w:t>Cash dividends to net income</w:t>
            </w:r>
          </w:p>
        </w:tc>
      </w:tr>
      <w:tr w:rsidR="00AE79E5" w:rsidRPr="00785BF3" w14:paraId="538C22A6" w14:textId="77777777" w:rsidTr="00744119">
        <w:trPr>
          <w:trHeight w:val="125"/>
        </w:trPr>
        <w:tc>
          <w:tcPr>
            <w:tcW w:w="1890" w:type="dxa"/>
            <w:tcBorders>
              <w:top w:val="nil"/>
              <w:left w:val="nil"/>
              <w:bottom w:val="nil"/>
              <w:right w:val="nil"/>
            </w:tcBorders>
            <w:shd w:val="clear" w:color="auto" w:fill="auto"/>
            <w:vAlign w:val="center"/>
          </w:tcPr>
          <w:p w14:paraId="45E55649"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Cash Holdings</w:t>
            </w:r>
          </w:p>
        </w:tc>
        <w:tc>
          <w:tcPr>
            <w:tcW w:w="7466" w:type="dxa"/>
            <w:tcBorders>
              <w:top w:val="nil"/>
              <w:left w:val="nil"/>
              <w:bottom w:val="nil"/>
              <w:right w:val="nil"/>
            </w:tcBorders>
            <w:shd w:val="clear" w:color="auto" w:fill="auto"/>
            <w:vAlign w:val="center"/>
          </w:tcPr>
          <w:p w14:paraId="0A2BF614" w14:textId="0ED1AB4E"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lang w:val="en-US"/>
              </w:rPr>
              <w:t xml:space="preserve">The </w:t>
            </w:r>
            <w:r w:rsidR="00FF55E1">
              <w:rPr>
                <w:rFonts w:ascii="Times New Roman" w:hAnsi="Times New Roman" w:cs="Times New Roman"/>
                <w:sz w:val="19"/>
                <w:szCs w:val="19"/>
                <w:lang w:val="en-US"/>
              </w:rPr>
              <w:t>proportion of total assets to</w:t>
            </w:r>
            <w:r w:rsidRPr="00785BF3">
              <w:rPr>
                <w:rFonts w:ascii="Times New Roman" w:hAnsi="Times New Roman" w:cs="Times New Roman"/>
                <w:sz w:val="19"/>
                <w:szCs w:val="19"/>
                <w:lang w:val="en-US"/>
              </w:rPr>
              <w:t xml:space="preserve"> cash and cash equivalents</w:t>
            </w:r>
            <w:r w:rsidR="00FF55E1">
              <w:rPr>
                <w:rFonts w:ascii="Times New Roman" w:hAnsi="Times New Roman" w:cs="Times New Roman"/>
                <w:sz w:val="19"/>
                <w:szCs w:val="19"/>
                <w:lang w:val="en-US"/>
              </w:rPr>
              <w:t>.</w:t>
            </w:r>
          </w:p>
        </w:tc>
      </w:tr>
      <w:tr w:rsidR="00AE79E5" w:rsidRPr="00785BF3" w14:paraId="2DD6DFC6" w14:textId="77777777" w:rsidTr="00744119">
        <w:trPr>
          <w:trHeight w:val="125"/>
        </w:trPr>
        <w:tc>
          <w:tcPr>
            <w:tcW w:w="1890" w:type="dxa"/>
            <w:tcBorders>
              <w:top w:val="nil"/>
              <w:left w:val="nil"/>
              <w:bottom w:val="nil"/>
              <w:right w:val="nil"/>
            </w:tcBorders>
            <w:shd w:val="clear" w:color="auto" w:fill="auto"/>
            <w:vAlign w:val="center"/>
          </w:tcPr>
          <w:p w14:paraId="421A1BC9"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R&amp;D Expenses</w:t>
            </w:r>
          </w:p>
        </w:tc>
        <w:tc>
          <w:tcPr>
            <w:tcW w:w="7466" w:type="dxa"/>
            <w:tcBorders>
              <w:top w:val="nil"/>
              <w:left w:val="nil"/>
              <w:bottom w:val="nil"/>
              <w:right w:val="nil"/>
            </w:tcBorders>
            <w:shd w:val="clear" w:color="auto" w:fill="auto"/>
            <w:vAlign w:val="center"/>
          </w:tcPr>
          <w:p w14:paraId="7EA8D3EB" w14:textId="0859B869"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lang w:val="en-US"/>
              </w:rPr>
              <w:t xml:space="preserve">The </w:t>
            </w:r>
            <w:r w:rsidR="00FF55E1">
              <w:rPr>
                <w:rFonts w:ascii="Times New Roman" w:hAnsi="Times New Roman" w:cs="Times New Roman"/>
                <w:sz w:val="19"/>
                <w:szCs w:val="19"/>
                <w:lang w:val="en-US"/>
              </w:rPr>
              <w:t xml:space="preserve">proportion of total assets to </w:t>
            </w:r>
            <w:r w:rsidRPr="00785BF3">
              <w:rPr>
                <w:rFonts w:ascii="Times New Roman" w:hAnsi="Times New Roman" w:cs="Times New Roman"/>
                <w:sz w:val="19"/>
                <w:szCs w:val="19"/>
                <w:lang w:val="en-US"/>
              </w:rPr>
              <w:t>research and development.</w:t>
            </w:r>
          </w:p>
        </w:tc>
      </w:tr>
      <w:tr w:rsidR="00AE79E5" w:rsidRPr="00785BF3" w14:paraId="1376D99C" w14:textId="77777777" w:rsidTr="00744119">
        <w:trPr>
          <w:trHeight w:val="125"/>
        </w:trPr>
        <w:tc>
          <w:tcPr>
            <w:tcW w:w="1890" w:type="dxa"/>
            <w:tcBorders>
              <w:top w:val="nil"/>
              <w:left w:val="nil"/>
              <w:bottom w:val="nil"/>
              <w:right w:val="nil"/>
            </w:tcBorders>
            <w:shd w:val="clear" w:color="auto" w:fill="auto"/>
            <w:vAlign w:val="center"/>
          </w:tcPr>
          <w:p w14:paraId="27537D15"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Capex</w:t>
            </w:r>
          </w:p>
        </w:tc>
        <w:tc>
          <w:tcPr>
            <w:tcW w:w="7466" w:type="dxa"/>
            <w:tcBorders>
              <w:top w:val="nil"/>
              <w:left w:val="nil"/>
              <w:bottom w:val="nil"/>
              <w:right w:val="nil"/>
            </w:tcBorders>
            <w:shd w:val="clear" w:color="auto" w:fill="auto"/>
            <w:vAlign w:val="center"/>
          </w:tcPr>
          <w:p w14:paraId="48F2536A" w14:textId="746FF600" w:rsidR="00AE79E5" w:rsidRPr="00785BF3" w:rsidRDefault="00AE79E5" w:rsidP="00CA7220">
            <w:pPr>
              <w:rPr>
                <w:rFonts w:ascii="Times New Roman" w:hAnsi="Times New Roman" w:cs="Times New Roman"/>
                <w:sz w:val="19"/>
                <w:szCs w:val="19"/>
              </w:rPr>
            </w:pPr>
            <w:r w:rsidRPr="00785BF3">
              <w:rPr>
                <w:rFonts w:ascii="Times New Roman" w:hAnsi="Times New Roman" w:cs="Times New Roman"/>
                <w:sz w:val="19"/>
                <w:szCs w:val="19"/>
                <w:lang w:val="en-US"/>
              </w:rPr>
              <w:t xml:space="preserve">The </w:t>
            </w:r>
            <w:r w:rsidR="00FF55E1">
              <w:rPr>
                <w:rFonts w:ascii="Times New Roman" w:hAnsi="Times New Roman" w:cs="Times New Roman"/>
                <w:sz w:val="19"/>
                <w:szCs w:val="19"/>
                <w:lang w:val="en-US"/>
              </w:rPr>
              <w:t xml:space="preserve">proportion of total assets to </w:t>
            </w:r>
            <w:r w:rsidRPr="00785BF3">
              <w:rPr>
                <w:rFonts w:ascii="Times New Roman" w:hAnsi="Times New Roman" w:cs="Times New Roman"/>
                <w:sz w:val="19"/>
                <w:szCs w:val="19"/>
                <w:lang w:val="en-US"/>
              </w:rPr>
              <w:t>capital expenditures</w:t>
            </w:r>
            <w:r w:rsidR="00FF55E1">
              <w:rPr>
                <w:rFonts w:ascii="Times New Roman" w:hAnsi="Times New Roman" w:cs="Times New Roman"/>
                <w:sz w:val="19"/>
                <w:szCs w:val="19"/>
                <w:lang w:val="en-US"/>
              </w:rPr>
              <w:t>.</w:t>
            </w:r>
          </w:p>
        </w:tc>
      </w:tr>
      <w:tr w:rsidR="00AE79E5" w:rsidRPr="00785BF3" w14:paraId="7AB779FA" w14:textId="77777777" w:rsidTr="00744119">
        <w:trPr>
          <w:trHeight w:val="125"/>
        </w:trPr>
        <w:tc>
          <w:tcPr>
            <w:tcW w:w="1890" w:type="dxa"/>
            <w:tcBorders>
              <w:top w:val="nil"/>
              <w:left w:val="nil"/>
              <w:bottom w:val="nil"/>
              <w:right w:val="nil"/>
            </w:tcBorders>
            <w:shd w:val="clear" w:color="auto" w:fill="auto"/>
            <w:vAlign w:val="center"/>
          </w:tcPr>
          <w:p w14:paraId="5186EFD1"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sz w:val="19"/>
                <w:szCs w:val="19"/>
                <w:lang w:val="en-US"/>
              </w:rPr>
              <w:t>HHI</w:t>
            </w:r>
          </w:p>
        </w:tc>
        <w:tc>
          <w:tcPr>
            <w:tcW w:w="7466" w:type="dxa"/>
            <w:tcBorders>
              <w:top w:val="nil"/>
              <w:left w:val="nil"/>
              <w:bottom w:val="nil"/>
              <w:right w:val="nil"/>
            </w:tcBorders>
            <w:shd w:val="clear" w:color="auto" w:fill="auto"/>
            <w:vAlign w:val="center"/>
          </w:tcPr>
          <w:p w14:paraId="40AAFCF8" w14:textId="31827ECD" w:rsidR="00AE79E5" w:rsidRPr="00785BF3" w:rsidRDefault="00FF55E1" w:rsidP="00CA7220">
            <w:pPr>
              <w:rPr>
                <w:rFonts w:ascii="Times New Roman" w:hAnsi="Times New Roman" w:cs="Times New Roman"/>
                <w:sz w:val="19"/>
                <w:szCs w:val="19"/>
              </w:rPr>
            </w:pPr>
            <w:r>
              <w:rPr>
                <w:rFonts w:ascii="Times New Roman" w:hAnsi="Times New Roman" w:cs="Times New Roman"/>
                <w:sz w:val="19"/>
                <w:szCs w:val="19"/>
                <w:lang w:val="en-US"/>
              </w:rPr>
              <w:t>T</w:t>
            </w:r>
            <w:r w:rsidR="00AE79E5" w:rsidRPr="00785BF3">
              <w:rPr>
                <w:rFonts w:ascii="Times New Roman" w:hAnsi="Times New Roman" w:cs="Times New Roman"/>
                <w:sz w:val="19"/>
                <w:szCs w:val="19"/>
                <w:lang w:val="en-US"/>
              </w:rPr>
              <w:t>he Herfindahl-Hirschman index of market concentration</w:t>
            </w:r>
            <w:r>
              <w:rPr>
                <w:rFonts w:ascii="Times New Roman" w:hAnsi="Times New Roman" w:cs="Times New Roman"/>
                <w:sz w:val="19"/>
                <w:szCs w:val="19"/>
                <w:lang w:val="en-US"/>
              </w:rPr>
              <w:t>,</w:t>
            </w:r>
            <w:r w:rsidR="00AE79E5" w:rsidRPr="00785BF3">
              <w:rPr>
                <w:rFonts w:ascii="Times New Roman" w:hAnsi="Times New Roman" w:cs="Times New Roman"/>
                <w:sz w:val="19"/>
                <w:szCs w:val="19"/>
                <w:lang w:val="en-US"/>
              </w:rPr>
              <w:t xml:space="preserve"> based on</w:t>
            </w:r>
            <w:r>
              <w:rPr>
                <w:rFonts w:ascii="Times New Roman" w:hAnsi="Times New Roman" w:cs="Times New Roman"/>
                <w:sz w:val="19"/>
                <w:szCs w:val="19"/>
                <w:lang w:val="en-US"/>
              </w:rPr>
              <w:t xml:space="preserve"> the</w:t>
            </w:r>
            <w:r w:rsidR="00AE79E5" w:rsidRPr="00785BF3">
              <w:rPr>
                <w:rFonts w:ascii="Times New Roman" w:hAnsi="Times New Roman" w:cs="Times New Roman"/>
                <w:sz w:val="19"/>
                <w:szCs w:val="19"/>
                <w:lang w:val="en-US"/>
              </w:rPr>
              <w:t xml:space="preserve"> sales </w:t>
            </w:r>
            <w:r>
              <w:rPr>
                <w:rFonts w:ascii="Times New Roman" w:hAnsi="Times New Roman" w:cs="Times New Roman"/>
                <w:sz w:val="19"/>
                <w:szCs w:val="19"/>
                <w:lang w:val="en-US"/>
              </w:rPr>
              <w:t xml:space="preserve">of industries with a </w:t>
            </w:r>
            <w:r w:rsidR="00AE79E5" w:rsidRPr="00785BF3">
              <w:rPr>
                <w:rFonts w:ascii="Times New Roman" w:hAnsi="Times New Roman" w:cs="Times New Roman"/>
                <w:sz w:val="19"/>
                <w:szCs w:val="19"/>
                <w:lang w:val="en-US"/>
              </w:rPr>
              <w:t xml:space="preserve">four-digit SIC </w:t>
            </w:r>
            <w:r>
              <w:rPr>
                <w:rFonts w:ascii="Times New Roman" w:hAnsi="Times New Roman" w:cs="Times New Roman"/>
                <w:sz w:val="19"/>
                <w:szCs w:val="19"/>
                <w:lang w:val="en-US"/>
              </w:rPr>
              <w:t>code.</w:t>
            </w:r>
          </w:p>
        </w:tc>
      </w:tr>
      <w:tr w:rsidR="00AE79E5" w:rsidRPr="00785BF3" w14:paraId="33DDD7CE" w14:textId="77777777" w:rsidTr="00744119">
        <w:trPr>
          <w:trHeight w:val="125"/>
        </w:trPr>
        <w:tc>
          <w:tcPr>
            <w:tcW w:w="1890" w:type="dxa"/>
            <w:tcBorders>
              <w:top w:val="nil"/>
              <w:left w:val="nil"/>
              <w:bottom w:val="nil"/>
              <w:right w:val="nil"/>
            </w:tcBorders>
            <w:shd w:val="clear" w:color="auto" w:fill="auto"/>
            <w:vAlign w:val="center"/>
          </w:tcPr>
          <w:p w14:paraId="6BCF5B63"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M/B</w:t>
            </w:r>
          </w:p>
        </w:tc>
        <w:tc>
          <w:tcPr>
            <w:tcW w:w="7466" w:type="dxa"/>
            <w:tcBorders>
              <w:top w:val="nil"/>
              <w:left w:val="nil"/>
              <w:bottom w:val="nil"/>
              <w:right w:val="nil"/>
            </w:tcBorders>
            <w:shd w:val="clear" w:color="auto" w:fill="auto"/>
            <w:vAlign w:val="center"/>
          </w:tcPr>
          <w:p w14:paraId="0CF1D0A4" w14:textId="2F482302" w:rsidR="00AE79E5" w:rsidRPr="00785BF3" w:rsidRDefault="000215AD" w:rsidP="00CA7220">
            <w:pPr>
              <w:rPr>
                <w:rFonts w:ascii="Times New Roman" w:hAnsi="Times New Roman" w:cs="Times New Roman"/>
                <w:bCs/>
                <w:sz w:val="19"/>
                <w:szCs w:val="19"/>
              </w:rPr>
            </w:pPr>
            <w:r>
              <w:rPr>
                <w:rFonts w:ascii="Times New Roman" w:hAnsi="Times New Roman" w:cs="Times New Roman"/>
                <w:bCs/>
                <w:sz w:val="19"/>
                <w:szCs w:val="19"/>
              </w:rPr>
              <w:t xml:space="preserve">The </w:t>
            </w:r>
            <w:r w:rsidR="00FF55E1">
              <w:rPr>
                <w:rFonts w:ascii="Times New Roman" w:hAnsi="Times New Roman" w:cs="Times New Roman"/>
                <w:bCs/>
                <w:sz w:val="19"/>
                <w:szCs w:val="19"/>
              </w:rPr>
              <w:t>process of dividing the book value of assets by the market value of assets.</w:t>
            </w:r>
          </w:p>
        </w:tc>
      </w:tr>
      <w:tr w:rsidR="00AE79E5" w:rsidRPr="00785BF3" w14:paraId="330A80E7" w14:textId="77777777" w:rsidTr="00744119">
        <w:trPr>
          <w:trHeight w:val="125"/>
        </w:trPr>
        <w:tc>
          <w:tcPr>
            <w:tcW w:w="1890" w:type="dxa"/>
            <w:tcBorders>
              <w:top w:val="nil"/>
              <w:left w:val="nil"/>
              <w:bottom w:val="single" w:sz="4" w:space="0" w:color="auto"/>
              <w:right w:val="nil"/>
            </w:tcBorders>
            <w:shd w:val="clear" w:color="auto" w:fill="auto"/>
            <w:vAlign w:val="center"/>
          </w:tcPr>
          <w:p w14:paraId="60ACC476" w14:textId="77777777" w:rsidR="00AE79E5" w:rsidRPr="00785BF3" w:rsidRDefault="00AE79E5" w:rsidP="00CA7220">
            <w:pPr>
              <w:rPr>
                <w:rFonts w:ascii="Times New Roman" w:hAnsi="Times New Roman" w:cs="Times New Roman"/>
                <w:bCs/>
                <w:sz w:val="19"/>
                <w:szCs w:val="19"/>
              </w:rPr>
            </w:pPr>
            <w:r w:rsidRPr="00785BF3">
              <w:rPr>
                <w:rFonts w:ascii="Times New Roman" w:hAnsi="Times New Roman" w:cs="Times New Roman"/>
                <w:bCs/>
                <w:sz w:val="19"/>
                <w:szCs w:val="19"/>
              </w:rPr>
              <w:t>D</w:t>
            </w:r>
          </w:p>
        </w:tc>
        <w:tc>
          <w:tcPr>
            <w:tcW w:w="7466" w:type="dxa"/>
            <w:tcBorders>
              <w:top w:val="nil"/>
              <w:left w:val="nil"/>
              <w:bottom w:val="single" w:sz="4" w:space="0" w:color="auto"/>
              <w:right w:val="nil"/>
            </w:tcBorders>
            <w:shd w:val="clear" w:color="auto" w:fill="auto"/>
            <w:vAlign w:val="center"/>
          </w:tcPr>
          <w:p w14:paraId="5EF9DFC5" w14:textId="4DF7546C" w:rsidR="00AE79E5" w:rsidRPr="00785BF3" w:rsidRDefault="000215AD" w:rsidP="00CA7220">
            <w:pPr>
              <w:jc w:val="both"/>
              <w:rPr>
                <w:rFonts w:ascii="Times New Roman" w:hAnsi="Times New Roman" w:cs="Times New Roman"/>
                <w:bCs/>
                <w:sz w:val="19"/>
                <w:szCs w:val="19"/>
              </w:rPr>
            </w:pPr>
            <w:r>
              <w:rPr>
                <w:rFonts w:ascii="Times New Roman" w:hAnsi="Times New Roman" w:cs="Times New Roman"/>
                <w:bCs/>
                <w:sz w:val="19"/>
                <w:szCs w:val="19"/>
              </w:rPr>
              <w:t>R</w:t>
            </w:r>
            <w:r w:rsidR="00AE79E5" w:rsidRPr="00785BF3">
              <w:rPr>
                <w:rFonts w:ascii="Times New Roman" w:hAnsi="Times New Roman" w:cs="Times New Roman"/>
                <w:bCs/>
                <w:sz w:val="19"/>
                <w:szCs w:val="19"/>
              </w:rPr>
              <w:t>epresents the amount of dividends paid.</w:t>
            </w:r>
          </w:p>
        </w:tc>
      </w:tr>
    </w:tbl>
    <w:p w14:paraId="114A46D9" w14:textId="77777777" w:rsidR="005C4A1D" w:rsidRDefault="005C4A1D" w:rsidP="00CA7220">
      <w:pPr>
        <w:spacing w:line="480" w:lineRule="auto"/>
        <w:jc w:val="both"/>
        <w:rPr>
          <w:rFonts w:ascii="Times New Roman" w:hAnsi="Times New Roman" w:cs="Times New Roman"/>
        </w:rPr>
      </w:pPr>
    </w:p>
    <w:p w14:paraId="2B7BEA48" w14:textId="77777777" w:rsidR="005C4A1D" w:rsidRDefault="005C4A1D" w:rsidP="00CA7220">
      <w:pPr>
        <w:spacing w:line="480" w:lineRule="auto"/>
        <w:jc w:val="both"/>
        <w:rPr>
          <w:rFonts w:ascii="Times New Roman" w:hAnsi="Times New Roman" w:cs="Times New Roman"/>
        </w:rPr>
      </w:pPr>
    </w:p>
    <w:p w14:paraId="0A61C82F" w14:textId="77777777" w:rsidR="000215AD" w:rsidRDefault="000215AD" w:rsidP="00CA7220">
      <w:pPr>
        <w:spacing w:line="480" w:lineRule="auto"/>
        <w:jc w:val="both"/>
        <w:rPr>
          <w:rFonts w:ascii="Times New Roman" w:hAnsi="Times New Roman" w:cs="Times New Roman"/>
        </w:rPr>
      </w:pPr>
    </w:p>
    <w:p w14:paraId="6FD5F68C" w14:textId="77777777" w:rsidR="000215AD" w:rsidRDefault="000215AD" w:rsidP="00CA7220">
      <w:pPr>
        <w:spacing w:line="480" w:lineRule="auto"/>
        <w:jc w:val="both"/>
        <w:rPr>
          <w:rFonts w:ascii="Times New Roman" w:hAnsi="Times New Roman" w:cs="Times New Roman"/>
        </w:rPr>
      </w:pPr>
    </w:p>
    <w:p w14:paraId="4391119E" w14:textId="77777777" w:rsidR="00CA7220" w:rsidRDefault="00CA7220" w:rsidP="00CA7220">
      <w:pPr>
        <w:spacing w:line="480" w:lineRule="auto"/>
        <w:jc w:val="both"/>
        <w:rPr>
          <w:rFonts w:ascii="Times New Roman" w:hAnsi="Times New Roman" w:cs="Times New Roman"/>
        </w:rPr>
      </w:pPr>
    </w:p>
    <w:p w14:paraId="534D6D6D" w14:textId="77777777" w:rsidR="00CA7220" w:rsidRDefault="00CA7220" w:rsidP="00CA7220">
      <w:pPr>
        <w:spacing w:line="480" w:lineRule="auto"/>
        <w:jc w:val="both"/>
        <w:rPr>
          <w:rFonts w:ascii="Times New Roman" w:hAnsi="Times New Roman" w:cs="Times New Roman"/>
        </w:rPr>
      </w:pPr>
    </w:p>
    <w:p w14:paraId="643858B0" w14:textId="77777777" w:rsidR="00CA7220" w:rsidRDefault="00CA7220" w:rsidP="00CA7220">
      <w:pPr>
        <w:spacing w:line="480" w:lineRule="auto"/>
        <w:jc w:val="both"/>
        <w:rPr>
          <w:rFonts w:ascii="Times New Roman" w:hAnsi="Times New Roman" w:cs="Times New Roman"/>
        </w:rPr>
      </w:pPr>
    </w:p>
    <w:p w14:paraId="2ADDEDAE" w14:textId="77777777" w:rsidR="00CA7220" w:rsidRDefault="00CA7220" w:rsidP="00CA7220">
      <w:pPr>
        <w:spacing w:line="480" w:lineRule="auto"/>
        <w:jc w:val="both"/>
        <w:rPr>
          <w:rFonts w:ascii="Times New Roman" w:hAnsi="Times New Roman" w:cs="Times New Roman"/>
        </w:rPr>
      </w:pPr>
    </w:p>
    <w:p w14:paraId="7879B796" w14:textId="77777777" w:rsidR="00332161" w:rsidRDefault="00332161" w:rsidP="00CA7220">
      <w:pPr>
        <w:spacing w:line="480" w:lineRule="auto"/>
        <w:jc w:val="both"/>
        <w:rPr>
          <w:rFonts w:ascii="Times New Roman" w:hAnsi="Times New Roman" w:cs="Times New Roman"/>
        </w:rPr>
      </w:pPr>
    </w:p>
    <w:p w14:paraId="35C47701" w14:textId="77777777" w:rsidR="00332161" w:rsidRDefault="00332161" w:rsidP="00CA7220">
      <w:pPr>
        <w:spacing w:line="480" w:lineRule="auto"/>
        <w:jc w:val="both"/>
        <w:rPr>
          <w:rFonts w:ascii="Times New Roman" w:hAnsi="Times New Roman" w:cs="Times New Roman"/>
        </w:rPr>
      </w:pPr>
    </w:p>
    <w:p w14:paraId="66E4A2D7" w14:textId="77777777" w:rsidR="00332161" w:rsidRDefault="00332161" w:rsidP="00CA7220">
      <w:pPr>
        <w:spacing w:line="480" w:lineRule="auto"/>
        <w:jc w:val="both"/>
        <w:rPr>
          <w:rFonts w:ascii="Times New Roman" w:hAnsi="Times New Roman" w:cs="Times New Roman"/>
        </w:rPr>
      </w:pPr>
    </w:p>
    <w:p w14:paraId="72AAA8B0" w14:textId="77777777" w:rsidR="00CA7220" w:rsidRDefault="00CA7220" w:rsidP="00CA7220">
      <w:pPr>
        <w:spacing w:line="480" w:lineRule="auto"/>
        <w:jc w:val="both"/>
        <w:rPr>
          <w:rFonts w:ascii="Times New Roman" w:hAnsi="Times New Roman" w:cs="Times New Roman"/>
        </w:rPr>
      </w:pPr>
    </w:p>
    <w:p w14:paraId="3C086CF0" w14:textId="77777777" w:rsidR="00CA7220" w:rsidRDefault="00CA7220" w:rsidP="00CA7220">
      <w:pPr>
        <w:spacing w:line="480" w:lineRule="auto"/>
        <w:jc w:val="both"/>
        <w:rPr>
          <w:rFonts w:ascii="Times New Roman" w:hAnsi="Times New Roman" w:cs="Times New Roman"/>
        </w:rPr>
      </w:pPr>
    </w:p>
    <w:p w14:paraId="1AEF03FE" w14:textId="147B1187" w:rsidR="00AE79E5" w:rsidRPr="00AE79E5" w:rsidRDefault="00AE79E5" w:rsidP="008F44BA">
      <w:pPr>
        <w:pStyle w:val="Heading1"/>
        <w:numPr>
          <w:ilvl w:val="0"/>
          <w:numId w:val="26"/>
        </w:numPr>
        <w:spacing w:line="480" w:lineRule="auto"/>
        <w:jc w:val="both"/>
        <w:rPr>
          <w:rFonts w:ascii="Times New Roman" w:eastAsia="Times New Roman" w:hAnsi="Times New Roman" w:cs="Times New Roman"/>
          <w:b/>
          <w:bCs/>
          <w:color w:val="auto"/>
          <w:sz w:val="24"/>
          <w:szCs w:val="24"/>
          <w:lang w:eastAsia="en-GB"/>
        </w:rPr>
      </w:pPr>
      <w:bookmarkStart w:id="27" w:name="_Toc167763056"/>
      <w:r w:rsidRPr="00AE79E5">
        <w:rPr>
          <w:rFonts w:ascii="Times New Roman" w:eastAsia="Times New Roman" w:hAnsi="Times New Roman" w:cs="Times New Roman"/>
          <w:b/>
          <w:bCs/>
          <w:color w:val="auto"/>
          <w:sz w:val="24"/>
          <w:szCs w:val="24"/>
          <w:lang w:eastAsia="en-GB"/>
        </w:rPr>
        <w:lastRenderedPageBreak/>
        <w:t>References</w:t>
      </w:r>
      <w:bookmarkEnd w:id="27"/>
    </w:p>
    <w:p w14:paraId="5E78E922" w14:textId="77777777" w:rsidR="00AE79E5" w:rsidRPr="008902EB" w:rsidRDefault="00AE79E5" w:rsidP="00CA7220">
      <w:pPr>
        <w:spacing w:line="480" w:lineRule="auto"/>
        <w:jc w:val="both"/>
        <w:rPr>
          <w:rFonts w:ascii="Times New Roman" w:hAnsi="Times New Roman" w:cs="Times New Roman"/>
          <w:lang w:eastAsia="en-GB"/>
        </w:rPr>
      </w:pPr>
    </w:p>
    <w:p w14:paraId="3F91DD97" w14:textId="0A83F3BF" w:rsidR="000215AD" w:rsidRDefault="000215AD" w:rsidP="00CA7220">
      <w:pPr>
        <w:numPr>
          <w:ilvl w:val="0"/>
          <w:numId w:val="22"/>
        </w:numPr>
        <w:spacing w:line="480" w:lineRule="auto"/>
        <w:jc w:val="both"/>
        <w:rPr>
          <w:rFonts w:ascii="Times New Roman" w:hAnsi="Times New Roman" w:cs="Times New Roman"/>
          <w:lang w:eastAsia="en-GB"/>
        </w:rPr>
      </w:pPr>
      <w:r w:rsidRPr="000215AD">
        <w:rPr>
          <w:rFonts w:ascii="Times New Roman" w:hAnsi="Times New Roman" w:cs="Times New Roman"/>
          <w:lang w:eastAsia="en-GB"/>
        </w:rPr>
        <w:t xml:space="preserve">Abdallah, W., </w:t>
      </w:r>
      <w:proofErr w:type="spellStart"/>
      <w:r w:rsidRPr="000215AD">
        <w:rPr>
          <w:rFonts w:ascii="Times New Roman" w:hAnsi="Times New Roman" w:cs="Times New Roman"/>
          <w:lang w:eastAsia="en-GB"/>
        </w:rPr>
        <w:t>Goergen</w:t>
      </w:r>
      <w:proofErr w:type="spellEnd"/>
      <w:r w:rsidRPr="000215AD">
        <w:rPr>
          <w:rFonts w:ascii="Times New Roman" w:hAnsi="Times New Roman" w:cs="Times New Roman"/>
          <w:lang w:eastAsia="en-GB"/>
        </w:rPr>
        <w:t xml:space="preserve">, M. &amp; </w:t>
      </w:r>
      <w:proofErr w:type="spellStart"/>
      <w:r w:rsidRPr="000215AD">
        <w:rPr>
          <w:rFonts w:ascii="Times New Roman" w:hAnsi="Times New Roman" w:cs="Times New Roman"/>
          <w:lang w:eastAsia="en-GB"/>
        </w:rPr>
        <w:t>O'sullivan</w:t>
      </w:r>
      <w:proofErr w:type="spellEnd"/>
      <w:r w:rsidRPr="000215AD">
        <w:rPr>
          <w:rFonts w:ascii="Times New Roman" w:hAnsi="Times New Roman" w:cs="Times New Roman"/>
          <w:lang w:eastAsia="en-GB"/>
        </w:rPr>
        <w:t xml:space="preserve">, N. (2015). </w:t>
      </w:r>
      <w:r w:rsidRPr="000215AD">
        <w:rPr>
          <w:rFonts w:ascii="Times New Roman" w:hAnsi="Times New Roman" w:cs="Times New Roman"/>
          <w:i/>
          <w:iCs/>
          <w:lang w:eastAsia="en-GB"/>
        </w:rPr>
        <w:t>Endogeneity: How failure to correct for it can cause wrong inferences and some remedies</w:t>
      </w:r>
      <w:r w:rsidRPr="000215AD">
        <w:rPr>
          <w:rFonts w:ascii="Times New Roman" w:hAnsi="Times New Roman" w:cs="Times New Roman"/>
          <w:lang w:eastAsia="en-GB"/>
        </w:rPr>
        <w:t>. British Journal of Management, 26(4), pp. 791-804.</w:t>
      </w:r>
    </w:p>
    <w:p w14:paraId="5F94B097" w14:textId="5912C163"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Abogun</w:t>
      </w:r>
      <w:proofErr w:type="spellEnd"/>
      <w:r w:rsidRPr="008902EB">
        <w:rPr>
          <w:rFonts w:ascii="Times New Roman" w:hAnsi="Times New Roman" w:cs="Times New Roman"/>
          <w:lang w:eastAsia="en-GB"/>
        </w:rPr>
        <w:t xml:space="preserve">, S., </w:t>
      </w:r>
      <w:proofErr w:type="spellStart"/>
      <w:r w:rsidRPr="008902EB">
        <w:rPr>
          <w:rFonts w:ascii="Times New Roman" w:hAnsi="Times New Roman" w:cs="Times New Roman"/>
          <w:lang w:eastAsia="en-GB"/>
        </w:rPr>
        <w:t>Adigbole</w:t>
      </w:r>
      <w:proofErr w:type="spellEnd"/>
      <w:r w:rsidRPr="008902EB">
        <w:rPr>
          <w:rFonts w:ascii="Times New Roman" w:hAnsi="Times New Roman" w:cs="Times New Roman"/>
          <w:lang w:eastAsia="en-GB"/>
        </w:rPr>
        <w:t xml:space="preserve">, E. A. &amp; </w:t>
      </w:r>
      <w:proofErr w:type="spellStart"/>
      <w:r w:rsidRPr="008902EB">
        <w:rPr>
          <w:rFonts w:ascii="Times New Roman" w:hAnsi="Times New Roman" w:cs="Times New Roman"/>
          <w:lang w:eastAsia="en-GB"/>
        </w:rPr>
        <w:t>Olorede</w:t>
      </w:r>
      <w:proofErr w:type="spellEnd"/>
      <w:r w:rsidRPr="008902EB">
        <w:rPr>
          <w:rFonts w:ascii="Times New Roman" w:hAnsi="Times New Roman" w:cs="Times New Roman"/>
          <w:lang w:eastAsia="en-GB"/>
        </w:rPr>
        <w:t xml:space="preserve">, T. E. (2021). </w:t>
      </w:r>
      <w:r w:rsidRPr="008902EB">
        <w:rPr>
          <w:rFonts w:ascii="Times New Roman" w:hAnsi="Times New Roman" w:cs="Times New Roman"/>
          <w:i/>
          <w:iCs/>
          <w:lang w:eastAsia="en-GB"/>
        </w:rPr>
        <w:t>Income smoothing and firm value in a regulated market: the moderating effect of market risk</w:t>
      </w:r>
      <w:r w:rsidRPr="008902EB">
        <w:rPr>
          <w:rFonts w:ascii="Times New Roman" w:hAnsi="Times New Roman" w:cs="Times New Roman"/>
          <w:lang w:eastAsia="en-GB"/>
        </w:rPr>
        <w:t>. Asian Journal of Accounting Research, 6(3), pp. 296-308.</w:t>
      </w:r>
    </w:p>
    <w:p w14:paraId="664778A1"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Adjaoud</w:t>
      </w:r>
      <w:proofErr w:type="spellEnd"/>
      <w:r w:rsidRPr="008902EB">
        <w:rPr>
          <w:rFonts w:ascii="Times New Roman" w:hAnsi="Times New Roman" w:cs="Times New Roman"/>
          <w:lang w:eastAsia="en-GB"/>
        </w:rPr>
        <w:t xml:space="preserve">, F. &amp; Ben‐Amar, W. (2010). </w:t>
      </w:r>
      <w:r w:rsidRPr="008902EB">
        <w:rPr>
          <w:rFonts w:ascii="Times New Roman" w:hAnsi="Times New Roman" w:cs="Times New Roman"/>
          <w:i/>
          <w:iCs/>
          <w:lang w:eastAsia="en-GB"/>
        </w:rPr>
        <w:t>Corporate governance and dividend policy: shareholders’ protection or expropriation?</w:t>
      </w:r>
      <w:r w:rsidRPr="008902EB">
        <w:rPr>
          <w:rFonts w:ascii="Times New Roman" w:hAnsi="Times New Roman" w:cs="Times New Roman"/>
          <w:lang w:eastAsia="en-GB"/>
        </w:rPr>
        <w:t>. Journal of business finance &amp; accounting, 37(5‐6), pp. 648-667.</w:t>
      </w:r>
    </w:p>
    <w:p w14:paraId="5EEBA848"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Al-Najjar, B. &amp; </w:t>
      </w:r>
      <w:proofErr w:type="spellStart"/>
      <w:r w:rsidRPr="008902EB">
        <w:rPr>
          <w:rFonts w:ascii="Times New Roman" w:hAnsi="Times New Roman" w:cs="Times New Roman"/>
          <w:lang w:eastAsia="en-GB"/>
        </w:rPr>
        <w:t>Kilincarslan</w:t>
      </w:r>
      <w:proofErr w:type="spellEnd"/>
      <w:r w:rsidRPr="008902EB">
        <w:rPr>
          <w:rFonts w:ascii="Times New Roman" w:hAnsi="Times New Roman" w:cs="Times New Roman"/>
          <w:lang w:eastAsia="en-GB"/>
        </w:rPr>
        <w:t xml:space="preserve">, E. (2016). </w:t>
      </w:r>
      <w:r w:rsidRPr="008902EB">
        <w:rPr>
          <w:rFonts w:ascii="Times New Roman" w:hAnsi="Times New Roman" w:cs="Times New Roman"/>
          <w:i/>
          <w:iCs/>
          <w:lang w:eastAsia="en-GB"/>
        </w:rPr>
        <w:t>The effect of ownership structure on dividend policy: evidence from Turkey</w:t>
      </w:r>
      <w:r w:rsidRPr="008902EB">
        <w:rPr>
          <w:rFonts w:ascii="Times New Roman" w:hAnsi="Times New Roman" w:cs="Times New Roman"/>
          <w:lang w:eastAsia="en-GB"/>
        </w:rPr>
        <w:t>. Corporate Governance: The international journal of business in society, 16(1), pp. 135-161.</w:t>
      </w:r>
    </w:p>
    <w:p w14:paraId="11A3AC4C"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Alves, C. F. &amp; Meneses, L. L. (2024). </w:t>
      </w:r>
      <w:r w:rsidRPr="008902EB">
        <w:rPr>
          <w:rFonts w:ascii="Times New Roman" w:hAnsi="Times New Roman" w:cs="Times New Roman"/>
          <w:i/>
          <w:iCs/>
          <w:lang w:eastAsia="en-GB"/>
        </w:rPr>
        <w:t>ESG scores and debt costs: Exploring indebtedness, agency costs, and financial system impact</w:t>
      </w:r>
      <w:r w:rsidRPr="008902EB">
        <w:rPr>
          <w:rFonts w:ascii="Times New Roman" w:hAnsi="Times New Roman" w:cs="Times New Roman"/>
          <w:lang w:eastAsia="en-GB"/>
        </w:rPr>
        <w:t>. International Review of Financial Analysis, 94, pp. 103240.</w:t>
      </w:r>
    </w:p>
    <w:p w14:paraId="4F15A6CA" w14:textId="77777777" w:rsidR="008902EB" w:rsidRPr="008902EB" w:rsidRDefault="008902EB"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American Institute of Certified Public Accountants (AICPA). (2002). Consideration of Fraud in a Financial Statement Audit. AU Section 316. Available at: https://www.aicpa.org/content/dam/aicpa/research/standards/auditattest/downloadabledocuments/au-00316.pdf</w:t>
      </w:r>
    </w:p>
    <w:p w14:paraId="0CAC82A8"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Armstrong, C. S., </w:t>
      </w:r>
      <w:proofErr w:type="spellStart"/>
      <w:r w:rsidRPr="008902EB">
        <w:rPr>
          <w:rFonts w:ascii="Times New Roman" w:hAnsi="Times New Roman" w:cs="Times New Roman"/>
          <w:lang w:eastAsia="en-GB"/>
        </w:rPr>
        <w:t>Jagolinzer</w:t>
      </w:r>
      <w:proofErr w:type="spellEnd"/>
      <w:r w:rsidRPr="008902EB">
        <w:rPr>
          <w:rFonts w:ascii="Times New Roman" w:hAnsi="Times New Roman" w:cs="Times New Roman"/>
          <w:lang w:eastAsia="en-GB"/>
        </w:rPr>
        <w:t xml:space="preserve">, A. D. &amp; Larcker, D. F. (2010). </w:t>
      </w:r>
      <w:r w:rsidRPr="008902EB">
        <w:rPr>
          <w:rFonts w:ascii="Times New Roman" w:hAnsi="Times New Roman" w:cs="Times New Roman"/>
          <w:i/>
          <w:iCs/>
          <w:lang w:eastAsia="en-GB"/>
        </w:rPr>
        <w:t>Chief Executive Officer Equity Incentives and Accounting Irregularities</w:t>
      </w:r>
      <w:r w:rsidRPr="008902EB">
        <w:rPr>
          <w:rFonts w:ascii="Times New Roman" w:hAnsi="Times New Roman" w:cs="Times New Roman"/>
          <w:lang w:eastAsia="en-GB"/>
        </w:rPr>
        <w:t>. Journal of Accounting Research, 48(2), pp. 225-271.</w:t>
      </w:r>
    </w:p>
    <w:p w14:paraId="511D1064"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lastRenderedPageBreak/>
        <w:t xml:space="preserve">Bao, Y., Ke, B., Li, B., Yu, Y. J. &amp; Zhang, J. (2020). </w:t>
      </w:r>
      <w:r w:rsidRPr="008902EB">
        <w:rPr>
          <w:rFonts w:ascii="Times New Roman" w:hAnsi="Times New Roman" w:cs="Times New Roman"/>
          <w:i/>
          <w:iCs/>
          <w:lang w:eastAsia="en-GB"/>
        </w:rPr>
        <w:t>Detecting accounting fraud in publicly traded US firms using a machine learning approach</w:t>
      </w:r>
      <w:r w:rsidRPr="008902EB">
        <w:rPr>
          <w:rFonts w:ascii="Times New Roman" w:hAnsi="Times New Roman" w:cs="Times New Roman"/>
          <w:lang w:eastAsia="en-GB"/>
        </w:rPr>
        <w:t>. Journal of Accounting Research, 58(1), pp. 199-235.</w:t>
      </w:r>
    </w:p>
    <w:p w14:paraId="630AB05B"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Basu, S. (1997). </w:t>
      </w:r>
      <w:r w:rsidRPr="008902EB">
        <w:rPr>
          <w:rFonts w:ascii="Times New Roman" w:hAnsi="Times New Roman" w:cs="Times New Roman"/>
          <w:i/>
          <w:iCs/>
          <w:lang w:eastAsia="en-GB"/>
        </w:rPr>
        <w:t>The conservatism principle and the asymmetric timeliness of earnings1</w:t>
      </w:r>
      <w:r w:rsidRPr="008902EB">
        <w:rPr>
          <w:rFonts w:ascii="Times New Roman" w:hAnsi="Times New Roman" w:cs="Times New Roman"/>
          <w:lang w:eastAsia="en-GB"/>
        </w:rPr>
        <w:t>. Journal of Accounting and Economics, 24(1), pp. 3-37.</w:t>
      </w:r>
    </w:p>
    <w:p w14:paraId="2C1C7FB5"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Beasley, M. S. (1996). </w:t>
      </w:r>
      <w:r w:rsidRPr="008902EB">
        <w:rPr>
          <w:rFonts w:ascii="Times New Roman" w:hAnsi="Times New Roman" w:cs="Times New Roman"/>
          <w:i/>
          <w:iCs/>
          <w:lang w:eastAsia="en-GB"/>
        </w:rPr>
        <w:t>An Empirical Analysis of the Relation between the Board of Director Composition and Financial Statement Fraud</w:t>
      </w:r>
      <w:r w:rsidRPr="008902EB">
        <w:rPr>
          <w:rFonts w:ascii="Times New Roman" w:hAnsi="Times New Roman" w:cs="Times New Roman"/>
          <w:lang w:eastAsia="en-GB"/>
        </w:rPr>
        <w:t>. The Accounting Review, 71(4), pp. 443-465.</w:t>
      </w:r>
    </w:p>
    <w:p w14:paraId="5C5C04C4"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Beneish</w:t>
      </w:r>
      <w:proofErr w:type="spellEnd"/>
      <w:r w:rsidRPr="008902EB">
        <w:rPr>
          <w:rFonts w:ascii="Times New Roman" w:hAnsi="Times New Roman" w:cs="Times New Roman"/>
          <w:lang w:eastAsia="en-GB"/>
        </w:rPr>
        <w:t xml:space="preserve">, M. D. (1999). </w:t>
      </w:r>
      <w:r w:rsidRPr="008902EB">
        <w:rPr>
          <w:rFonts w:ascii="Times New Roman" w:hAnsi="Times New Roman" w:cs="Times New Roman"/>
          <w:i/>
          <w:iCs/>
          <w:lang w:eastAsia="en-GB"/>
        </w:rPr>
        <w:t>The detection of earnings manipulation</w:t>
      </w:r>
      <w:r w:rsidRPr="008902EB">
        <w:rPr>
          <w:rFonts w:ascii="Times New Roman" w:hAnsi="Times New Roman" w:cs="Times New Roman"/>
          <w:lang w:eastAsia="en-GB"/>
        </w:rPr>
        <w:t>. Financial Analysts Journal, 55(5), pp. 24-36.</w:t>
      </w:r>
    </w:p>
    <w:p w14:paraId="512FAE04"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Bhattacharya, S. (1979). </w:t>
      </w:r>
      <w:r w:rsidRPr="008902EB">
        <w:rPr>
          <w:rFonts w:ascii="Times New Roman" w:hAnsi="Times New Roman" w:cs="Times New Roman"/>
          <w:i/>
          <w:iCs/>
          <w:lang w:eastAsia="en-GB"/>
        </w:rPr>
        <w:t>Imperfect Information, Dividend Policy, and "The Bird in the Hand" Fallacy</w:t>
      </w:r>
      <w:r w:rsidRPr="008902EB">
        <w:rPr>
          <w:rFonts w:ascii="Times New Roman" w:hAnsi="Times New Roman" w:cs="Times New Roman"/>
          <w:lang w:eastAsia="en-GB"/>
        </w:rPr>
        <w:t>. The Bell Journal of Economics, 10(1), pp. 259-270.</w:t>
      </w:r>
    </w:p>
    <w:p w14:paraId="000DB6AC" w14:textId="3FC725E9" w:rsidR="000215AD" w:rsidRPr="000215AD"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Biddle, G. C., Ma, M. L. Z. &amp; Song, F. M. (2022). </w:t>
      </w:r>
      <w:r w:rsidRPr="008902EB">
        <w:rPr>
          <w:rFonts w:ascii="Times New Roman" w:hAnsi="Times New Roman" w:cs="Times New Roman"/>
          <w:i/>
          <w:iCs/>
          <w:lang w:eastAsia="en-GB"/>
        </w:rPr>
        <w:t>Accounting Conservatism and Bankruptcy Risk</w:t>
      </w:r>
      <w:r w:rsidRPr="008902EB">
        <w:rPr>
          <w:rFonts w:ascii="Times New Roman" w:hAnsi="Times New Roman" w:cs="Times New Roman"/>
          <w:lang w:eastAsia="en-GB"/>
        </w:rPr>
        <w:t>. Journal of Accounting, Auditing &amp; Finance, 37(2), pp. 295-323.</w:t>
      </w:r>
    </w:p>
    <w:p w14:paraId="0982D3B3" w14:textId="45673CEE" w:rsidR="000215AD" w:rsidRPr="008902EB" w:rsidRDefault="000215AD" w:rsidP="00CA7220">
      <w:pPr>
        <w:numPr>
          <w:ilvl w:val="0"/>
          <w:numId w:val="22"/>
        </w:numPr>
        <w:spacing w:line="480" w:lineRule="auto"/>
        <w:jc w:val="both"/>
        <w:rPr>
          <w:rFonts w:ascii="Times New Roman" w:hAnsi="Times New Roman" w:cs="Times New Roman"/>
          <w:lang w:eastAsia="en-GB"/>
        </w:rPr>
      </w:pPr>
      <w:proofErr w:type="spellStart"/>
      <w:r w:rsidRPr="000215AD">
        <w:rPr>
          <w:rFonts w:ascii="Times New Roman" w:hAnsi="Times New Roman" w:cs="Times New Roman"/>
          <w:lang w:eastAsia="en-GB"/>
        </w:rPr>
        <w:t>Brüderl</w:t>
      </w:r>
      <w:proofErr w:type="spellEnd"/>
      <w:r w:rsidRPr="000215AD">
        <w:rPr>
          <w:rFonts w:ascii="Times New Roman" w:hAnsi="Times New Roman" w:cs="Times New Roman"/>
          <w:lang w:eastAsia="en-GB"/>
        </w:rPr>
        <w:t xml:space="preserve">, J. &amp; Ludwig, V. (2015). </w:t>
      </w:r>
      <w:r w:rsidRPr="000215AD">
        <w:rPr>
          <w:rFonts w:ascii="Times New Roman" w:hAnsi="Times New Roman" w:cs="Times New Roman"/>
          <w:i/>
          <w:iCs/>
          <w:lang w:eastAsia="en-GB"/>
        </w:rPr>
        <w:t>Fixed-effects panel regression</w:t>
      </w:r>
      <w:r w:rsidRPr="000215AD">
        <w:rPr>
          <w:rFonts w:ascii="Times New Roman" w:hAnsi="Times New Roman" w:cs="Times New Roman"/>
          <w:lang w:eastAsia="en-GB"/>
        </w:rPr>
        <w:t>. The Sage handbook of regression analysis and causal inference, pp.327-357.</w:t>
      </w:r>
    </w:p>
    <w:p w14:paraId="32CCEA17"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Chen, Y., Ofosu, E., </w:t>
      </w:r>
      <w:proofErr w:type="spellStart"/>
      <w:r w:rsidRPr="008902EB">
        <w:rPr>
          <w:rFonts w:ascii="Times New Roman" w:hAnsi="Times New Roman" w:cs="Times New Roman"/>
          <w:lang w:eastAsia="en-GB"/>
        </w:rPr>
        <w:t>Veeraraghavan</w:t>
      </w:r>
      <w:proofErr w:type="spellEnd"/>
      <w:r w:rsidRPr="008902EB">
        <w:rPr>
          <w:rFonts w:ascii="Times New Roman" w:hAnsi="Times New Roman" w:cs="Times New Roman"/>
          <w:lang w:eastAsia="en-GB"/>
        </w:rPr>
        <w:t xml:space="preserve">, M., and </w:t>
      </w:r>
      <w:proofErr w:type="spellStart"/>
      <w:r w:rsidRPr="008902EB">
        <w:rPr>
          <w:rFonts w:ascii="Times New Roman" w:hAnsi="Times New Roman" w:cs="Times New Roman"/>
          <w:lang w:eastAsia="en-GB"/>
        </w:rPr>
        <w:t>Zolotoy</w:t>
      </w:r>
      <w:proofErr w:type="spellEnd"/>
      <w:r w:rsidRPr="008902EB">
        <w:rPr>
          <w:rFonts w:ascii="Times New Roman" w:hAnsi="Times New Roman" w:cs="Times New Roman"/>
          <w:lang w:eastAsia="en-GB"/>
        </w:rPr>
        <w:t xml:space="preserve">, L. (2023). </w:t>
      </w:r>
      <w:r w:rsidRPr="008902EB">
        <w:rPr>
          <w:rFonts w:ascii="Times New Roman" w:hAnsi="Times New Roman" w:cs="Times New Roman"/>
          <w:i/>
          <w:iCs/>
          <w:lang w:eastAsia="en-GB"/>
        </w:rPr>
        <w:t>Does CEO Overconfidence Affect Workplace Safety?</w:t>
      </w:r>
      <w:r w:rsidRPr="008902EB">
        <w:rPr>
          <w:rFonts w:ascii="Times New Roman" w:hAnsi="Times New Roman" w:cs="Times New Roman"/>
          <w:lang w:eastAsia="en-GB"/>
        </w:rPr>
        <w:t>. Journal of Corporate Finance, 82, pp. 102430.</w:t>
      </w:r>
    </w:p>
    <w:p w14:paraId="7A3D4773"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Chen, M., Xie, J. &amp; Li, Y. (2022). </w:t>
      </w:r>
      <w:r w:rsidRPr="008902EB">
        <w:rPr>
          <w:rFonts w:ascii="Times New Roman" w:hAnsi="Times New Roman" w:cs="Times New Roman"/>
          <w:i/>
          <w:iCs/>
          <w:lang w:eastAsia="en-GB"/>
        </w:rPr>
        <w:t>Heterogeneity of dividend smoothing: A strategic response to peer competition in China</w:t>
      </w:r>
      <w:r w:rsidRPr="008902EB">
        <w:rPr>
          <w:rFonts w:ascii="Times New Roman" w:hAnsi="Times New Roman" w:cs="Times New Roman"/>
          <w:lang w:eastAsia="en-GB"/>
        </w:rPr>
        <w:t>. Pacific-Basin Finance Journal, 76, pp. 101874.</w:t>
      </w:r>
    </w:p>
    <w:p w14:paraId="1BEAF17A"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Chi, W., Liu, C. &amp; Wang, T. (2009). </w:t>
      </w:r>
      <w:r w:rsidRPr="008902EB">
        <w:rPr>
          <w:rFonts w:ascii="Times New Roman" w:hAnsi="Times New Roman" w:cs="Times New Roman"/>
          <w:i/>
          <w:iCs/>
          <w:lang w:eastAsia="en-GB"/>
        </w:rPr>
        <w:t>What affects accounting conservatism: A corporate governance perspective</w:t>
      </w:r>
      <w:r w:rsidRPr="008902EB">
        <w:rPr>
          <w:rFonts w:ascii="Times New Roman" w:hAnsi="Times New Roman" w:cs="Times New Roman"/>
          <w:lang w:eastAsia="en-GB"/>
        </w:rPr>
        <w:t>. Journal of contemporary accounting &amp; economics, 5(1), pp. 47-59.</w:t>
      </w:r>
    </w:p>
    <w:p w14:paraId="1F3EA1F9"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Cressey, D. R. (1953). </w:t>
      </w:r>
      <w:r w:rsidRPr="008902EB">
        <w:rPr>
          <w:rFonts w:ascii="Times New Roman" w:hAnsi="Times New Roman" w:cs="Times New Roman"/>
          <w:i/>
          <w:iCs/>
          <w:lang w:eastAsia="en-GB"/>
        </w:rPr>
        <w:t>Other people’s money: A study in the social psychology of embezzlement</w:t>
      </w:r>
      <w:r w:rsidRPr="008902EB">
        <w:rPr>
          <w:rFonts w:ascii="Times New Roman" w:hAnsi="Times New Roman" w:cs="Times New Roman"/>
          <w:lang w:eastAsia="en-GB"/>
        </w:rPr>
        <w:t>. New York: Free Press. pp. 1–300.</w:t>
      </w:r>
    </w:p>
    <w:p w14:paraId="40D8A054"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lastRenderedPageBreak/>
        <w:t>Dangl</w:t>
      </w:r>
      <w:proofErr w:type="spellEnd"/>
      <w:r w:rsidRPr="008902EB">
        <w:rPr>
          <w:rFonts w:ascii="Times New Roman" w:hAnsi="Times New Roman" w:cs="Times New Roman"/>
          <w:lang w:eastAsia="en-GB"/>
        </w:rPr>
        <w:t xml:space="preserve">, T. &amp; Wu, Y. (2016). </w:t>
      </w:r>
      <w:r w:rsidRPr="008902EB">
        <w:rPr>
          <w:rFonts w:ascii="Times New Roman" w:hAnsi="Times New Roman" w:cs="Times New Roman"/>
          <w:i/>
          <w:iCs/>
          <w:lang w:eastAsia="en-GB"/>
        </w:rPr>
        <w:t>Corporate investment over the business cycle</w:t>
      </w:r>
      <w:r w:rsidRPr="008902EB">
        <w:rPr>
          <w:rFonts w:ascii="Times New Roman" w:hAnsi="Times New Roman" w:cs="Times New Roman"/>
          <w:lang w:eastAsia="en-GB"/>
        </w:rPr>
        <w:t>. Review of Finance, 20(1), pp. 337-371.</w:t>
      </w:r>
    </w:p>
    <w:p w14:paraId="518B8C4F" w14:textId="77777777" w:rsidR="00AE79E5"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Deangelo, H., Deangelo, L. &amp; </w:t>
      </w:r>
      <w:proofErr w:type="spellStart"/>
      <w:r w:rsidRPr="008902EB">
        <w:rPr>
          <w:rFonts w:ascii="Times New Roman" w:hAnsi="Times New Roman" w:cs="Times New Roman"/>
          <w:lang w:eastAsia="en-GB"/>
        </w:rPr>
        <w:t>Stulz</w:t>
      </w:r>
      <w:proofErr w:type="spellEnd"/>
      <w:r w:rsidRPr="008902EB">
        <w:rPr>
          <w:rFonts w:ascii="Times New Roman" w:hAnsi="Times New Roman" w:cs="Times New Roman"/>
          <w:lang w:eastAsia="en-GB"/>
        </w:rPr>
        <w:t xml:space="preserve">, R. M. (2006). </w:t>
      </w:r>
      <w:r w:rsidRPr="008902EB">
        <w:rPr>
          <w:rFonts w:ascii="Times New Roman" w:hAnsi="Times New Roman" w:cs="Times New Roman"/>
          <w:i/>
          <w:iCs/>
          <w:lang w:eastAsia="en-GB"/>
        </w:rPr>
        <w:t>Dividend policy and the earned/contributed capital mix: a test of the life-cycle theory</w:t>
      </w:r>
      <w:r w:rsidRPr="008902EB">
        <w:rPr>
          <w:rFonts w:ascii="Times New Roman" w:hAnsi="Times New Roman" w:cs="Times New Roman"/>
          <w:lang w:eastAsia="en-GB"/>
        </w:rPr>
        <w:t>. Journal of Financial economics, 81(2), pp. 227-254.</w:t>
      </w:r>
    </w:p>
    <w:p w14:paraId="3CDD60B1" w14:textId="25AA5FBE" w:rsidR="000215AD" w:rsidRPr="008902EB" w:rsidRDefault="000215AD" w:rsidP="00CA7220">
      <w:pPr>
        <w:numPr>
          <w:ilvl w:val="0"/>
          <w:numId w:val="22"/>
        </w:numPr>
        <w:spacing w:line="480" w:lineRule="auto"/>
        <w:jc w:val="both"/>
        <w:rPr>
          <w:rFonts w:ascii="Times New Roman" w:hAnsi="Times New Roman" w:cs="Times New Roman"/>
          <w:lang w:eastAsia="en-GB"/>
        </w:rPr>
      </w:pPr>
      <w:proofErr w:type="spellStart"/>
      <w:r w:rsidRPr="000215AD">
        <w:rPr>
          <w:rFonts w:ascii="Times New Roman" w:hAnsi="Times New Roman" w:cs="Times New Roman"/>
          <w:lang w:eastAsia="en-GB"/>
        </w:rPr>
        <w:t>Dehaan</w:t>
      </w:r>
      <w:proofErr w:type="spellEnd"/>
      <w:r w:rsidRPr="000215AD">
        <w:rPr>
          <w:rFonts w:ascii="Times New Roman" w:hAnsi="Times New Roman" w:cs="Times New Roman"/>
          <w:lang w:eastAsia="en-GB"/>
        </w:rPr>
        <w:t xml:space="preserve">, E. (2021). </w:t>
      </w:r>
      <w:r w:rsidRPr="000215AD">
        <w:rPr>
          <w:rFonts w:ascii="Times New Roman" w:hAnsi="Times New Roman" w:cs="Times New Roman"/>
          <w:i/>
          <w:iCs/>
          <w:lang w:eastAsia="en-GB"/>
        </w:rPr>
        <w:t>Using and interpreting fixed effects models</w:t>
      </w:r>
      <w:r w:rsidRPr="000215AD">
        <w:rPr>
          <w:rFonts w:ascii="Times New Roman" w:hAnsi="Times New Roman" w:cs="Times New Roman"/>
          <w:lang w:eastAsia="en-GB"/>
        </w:rPr>
        <w:t>. SSRN Working Paper. Available at: https://doi.org/10.2139/ssrn.3699777</w:t>
      </w:r>
    </w:p>
    <w:p w14:paraId="71928BB6"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Dyck, A., Morse, A. &amp; Zingales, L. (2010). </w:t>
      </w:r>
      <w:r w:rsidRPr="008902EB">
        <w:rPr>
          <w:rFonts w:ascii="Times New Roman" w:hAnsi="Times New Roman" w:cs="Times New Roman"/>
          <w:i/>
          <w:iCs/>
          <w:lang w:eastAsia="en-GB"/>
        </w:rPr>
        <w:t>Who blows the whistle on corporate fraud?</w:t>
      </w:r>
      <w:r w:rsidRPr="008902EB">
        <w:rPr>
          <w:rFonts w:ascii="Times New Roman" w:hAnsi="Times New Roman" w:cs="Times New Roman"/>
          <w:lang w:eastAsia="en-GB"/>
        </w:rPr>
        <w:t>. The journal of finance, 65(6), pp. 2213-2253.</w:t>
      </w:r>
    </w:p>
    <w:p w14:paraId="1E06BD3B"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Easterbrook, F. H. (1984). </w:t>
      </w:r>
      <w:r w:rsidRPr="008902EB">
        <w:rPr>
          <w:rFonts w:ascii="Times New Roman" w:hAnsi="Times New Roman" w:cs="Times New Roman"/>
          <w:i/>
          <w:iCs/>
          <w:lang w:eastAsia="en-GB"/>
        </w:rPr>
        <w:t>Two Agency-Cost Explanations of Dividends</w:t>
      </w:r>
      <w:r w:rsidRPr="008902EB">
        <w:rPr>
          <w:rFonts w:ascii="Times New Roman" w:hAnsi="Times New Roman" w:cs="Times New Roman"/>
          <w:lang w:eastAsia="en-GB"/>
        </w:rPr>
        <w:t>. The American Economic Review, 74(4), pp. 650-659.</w:t>
      </w:r>
    </w:p>
    <w:p w14:paraId="03963A82"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Fama, E. F. &amp; </w:t>
      </w:r>
      <w:proofErr w:type="spellStart"/>
      <w:r w:rsidRPr="008902EB">
        <w:rPr>
          <w:rFonts w:ascii="Times New Roman" w:hAnsi="Times New Roman" w:cs="Times New Roman"/>
          <w:lang w:eastAsia="en-GB"/>
        </w:rPr>
        <w:t>Babiak</w:t>
      </w:r>
      <w:proofErr w:type="spellEnd"/>
      <w:r w:rsidRPr="008902EB">
        <w:rPr>
          <w:rFonts w:ascii="Times New Roman" w:hAnsi="Times New Roman" w:cs="Times New Roman"/>
          <w:lang w:eastAsia="en-GB"/>
        </w:rPr>
        <w:t xml:space="preserve">, H. (1968). </w:t>
      </w:r>
      <w:r w:rsidRPr="008902EB">
        <w:rPr>
          <w:rFonts w:ascii="Times New Roman" w:hAnsi="Times New Roman" w:cs="Times New Roman"/>
          <w:i/>
          <w:iCs/>
          <w:lang w:eastAsia="en-GB"/>
        </w:rPr>
        <w:t>Dividend Policy: An Empirical Analysis</w:t>
      </w:r>
      <w:r w:rsidRPr="008902EB">
        <w:rPr>
          <w:rFonts w:ascii="Times New Roman" w:hAnsi="Times New Roman" w:cs="Times New Roman"/>
          <w:lang w:eastAsia="en-GB"/>
        </w:rPr>
        <w:t>. Journal of the American Statistical Association, 63(324), pp. 1132-1161.</w:t>
      </w:r>
    </w:p>
    <w:p w14:paraId="354F37F0"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Garcia-</w:t>
      </w:r>
      <w:proofErr w:type="spellStart"/>
      <w:r w:rsidRPr="008902EB">
        <w:rPr>
          <w:rFonts w:ascii="Times New Roman" w:hAnsi="Times New Roman" w:cs="Times New Roman"/>
          <w:lang w:eastAsia="en-GB"/>
        </w:rPr>
        <w:t>Feijoo</w:t>
      </w:r>
      <w:proofErr w:type="spellEnd"/>
      <w:r w:rsidRPr="008902EB">
        <w:rPr>
          <w:rFonts w:ascii="Times New Roman" w:hAnsi="Times New Roman" w:cs="Times New Roman"/>
          <w:lang w:eastAsia="en-GB"/>
        </w:rPr>
        <w:t xml:space="preserve">, L., Hossain, M. M. &amp; </w:t>
      </w:r>
      <w:proofErr w:type="spellStart"/>
      <w:r w:rsidRPr="008902EB">
        <w:rPr>
          <w:rFonts w:ascii="Times New Roman" w:hAnsi="Times New Roman" w:cs="Times New Roman"/>
          <w:lang w:eastAsia="en-GB"/>
        </w:rPr>
        <w:t>Javakhadze</w:t>
      </w:r>
      <w:proofErr w:type="spellEnd"/>
      <w:r w:rsidRPr="008902EB">
        <w:rPr>
          <w:rFonts w:ascii="Times New Roman" w:hAnsi="Times New Roman" w:cs="Times New Roman"/>
          <w:lang w:eastAsia="en-GB"/>
        </w:rPr>
        <w:t xml:space="preserve">, D. (2021). </w:t>
      </w:r>
      <w:r w:rsidRPr="008902EB">
        <w:rPr>
          <w:rFonts w:ascii="Times New Roman" w:hAnsi="Times New Roman" w:cs="Times New Roman"/>
          <w:i/>
          <w:iCs/>
          <w:lang w:eastAsia="en-GB"/>
        </w:rPr>
        <w:t>Managerial social capital and dividend smoothing</w:t>
      </w:r>
      <w:r w:rsidRPr="008902EB">
        <w:rPr>
          <w:rFonts w:ascii="Times New Roman" w:hAnsi="Times New Roman" w:cs="Times New Roman"/>
          <w:lang w:eastAsia="en-GB"/>
        </w:rPr>
        <w:t>. Journal of Corporate Finance, 66, pp. 101811.</w:t>
      </w:r>
    </w:p>
    <w:p w14:paraId="3B21BA32"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Garmaise</w:t>
      </w:r>
      <w:proofErr w:type="spellEnd"/>
      <w:r w:rsidRPr="008902EB">
        <w:rPr>
          <w:rFonts w:ascii="Times New Roman" w:hAnsi="Times New Roman" w:cs="Times New Roman"/>
          <w:lang w:eastAsia="en-GB"/>
        </w:rPr>
        <w:t xml:space="preserve">, M. J. &amp; Natividad, G. (2021). </w:t>
      </w:r>
      <w:r w:rsidRPr="008902EB">
        <w:rPr>
          <w:rFonts w:ascii="Times New Roman" w:hAnsi="Times New Roman" w:cs="Times New Roman"/>
          <w:i/>
          <w:iCs/>
          <w:lang w:eastAsia="en-GB"/>
        </w:rPr>
        <w:t>Financial flexibility: At what cost?</w:t>
      </w:r>
      <w:r w:rsidRPr="008902EB">
        <w:rPr>
          <w:rFonts w:ascii="Times New Roman" w:hAnsi="Times New Roman" w:cs="Times New Roman"/>
          <w:lang w:eastAsia="en-GB"/>
        </w:rPr>
        <w:t>. Journal of financial and quantitative analysis, 56(1), pp. 249-282.</w:t>
      </w:r>
    </w:p>
    <w:p w14:paraId="17F0D8FF"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Gerety</w:t>
      </w:r>
      <w:proofErr w:type="spellEnd"/>
      <w:r w:rsidRPr="008902EB">
        <w:rPr>
          <w:rFonts w:ascii="Times New Roman" w:hAnsi="Times New Roman" w:cs="Times New Roman"/>
          <w:lang w:eastAsia="en-GB"/>
        </w:rPr>
        <w:t xml:space="preserve">, M. &amp; Lehn, K. (1997). </w:t>
      </w:r>
      <w:r w:rsidRPr="008902EB">
        <w:rPr>
          <w:rFonts w:ascii="Times New Roman" w:hAnsi="Times New Roman" w:cs="Times New Roman"/>
          <w:i/>
          <w:iCs/>
          <w:lang w:eastAsia="en-GB"/>
        </w:rPr>
        <w:t>The causes and consequences of accounting fraud</w:t>
      </w:r>
      <w:r w:rsidRPr="008902EB">
        <w:rPr>
          <w:rFonts w:ascii="Times New Roman" w:hAnsi="Times New Roman" w:cs="Times New Roman"/>
          <w:lang w:eastAsia="en-GB"/>
        </w:rPr>
        <w:t>. Managerial and Decision Economics, 18(7-8), pp. 587-599.</w:t>
      </w:r>
    </w:p>
    <w:p w14:paraId="0DC17765"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Giroux, G. (2008). </w:t>
      </w:r>
      <w:r w:rsidRPr="008902EB">
        <w:rPr>
          <w:rFonts w:ascii="Times New Roman" w:hAnsi="Times New Roman" w:cs="Times New Roman"/>
          <w:i/>
          <w:iCs/>
          <w:lang w:eastAsia="en-GB"/>
        </w:rPr>
        <w:t>What Went Wrong? Accounting Fraud and Lessons from the Recent Scandals</w:t>
      </w:r>
      <w:r w:rsidRPr="008902EB">
        <w:rPr>
          <w:rFonts w:ascii="Times New Roman" w:hAnsi="Times New Roman" w:cs="Times New Roman"/>
          <w:lang w:eastAsia="en-GB"/>
        </w:rPr>
        <w:t>. Social Research, 75(4), pp. 1205-1238.</w:t>
      </w:r>
    </w:p>
    <w:p w14:paraId="520E1F7A" w14:textId="6706F579" w:rsidR="008902EB"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Guttman, I., </w:t>
      </w:r>
      <w:proofErr w:type="spellStart"/>
      <w:r w:rsidRPr="008902EB">
        <w:rPr>
          <w:rFonts w:ascii="Times New Roman" w:hAnsi="Times New Roman" w:cs="Times New Roman"/>
          <w:lang w:eastAsia="en-GB"/>
        </w:rPr>
        <w:t>Kadan</w:t>
      </w:r>
      <w:proofErr w:type="spellEnd"/>
      <w:r w:rsidRPr="008902EB">
        <w:rPr>
          <w:rFonts w:ascii="Times New Roman" w:hAnsi="Times New Roman" w:cs="Times New Roman"/>
          <w:lang w:eastAsia="en-GB"/>
        </w:rPr>
        <w:t xml:space="preserve">, O., Kandel, E. (2007). </w:t>
      </w:r>
      <w:r w:rsidRPr="008902EB">
        <w:rPr>
          <w:rFonts w:ascii="Times New Roman" w:hAnsi="Times New Roman" w:cs="Times New Roman"/>
          <w:i/>
          <w:iCs/>
          <w:lang w:eastAsia="en-GB"/>
        </w:rPr>
        <w:t>A theory of dividend smoothing</w:t>
      </w:r>
      <w:r w:rsidRPr="008902EB">
        <w:rPr>
          <w:rFonts w:ascii="Times New Roman" w:hAnsi="Times New Roman" w:cs="Times New Roman"/>
          <w:lang w:eastAsia="en-GB"/>
        </w:rPr>
        <w:t>. SSRN Working Paper</w:t>
      </w:r>
      <w:r w:rsidR="000215AD">
        <w:rPr>
          <w:rFonts w:ascii="Times New Roman" w:hAnsi="Times New Roman" w:cs="Times New Roman"/>
          <w:lang w:eastAsia="en-GB"/>
        </w:rPr>
        <w:t>.</w:t>
      </w:r>
    </w:p>
    <w:p w14:paraId="02DA7799"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Guttman, I., </w:t>
      </w:r>
      <w:proofErr w:type="spellStart"/>
      <w:r w:rsidRPr="008902EB">
        <w:rPr>
          <w:rFonts w:ascii="Times New Roman" w:hAnsi="Times New Roman" w:cs="Times New Roman"/>
          <w:lang w:eastAsia="en-GB"/>
        </w:rPr>
        <w:t>Kadan</w:t>
      </w:r>
      <w:proofErr w:type="spellEnd"/>
      <w:r w:rsidRPr="008902EB">
        <w:rPr>
          <w:rFonts w:ascii="Times New Roman" w:hAnsi="Times New Roman" w:cs="Times New Roman"/>
          <w:lang w:eastAsia="en-GB"/>
        </w:rPr>
        <w:t xml:space="preserve">, O. &amp; Kandel, E. (2010). </w:t>
      </w:r>
      <w:r w:rsidRPr="008902EB">
        <w:rPr>
          <w:rFonts w:ascii="Times New Roman" w:hAnsi="Times New Roman" w:cs="Times New Roman"/>
          <w:i/>
          <w:iCs/>
          <w:lang w:eastAsia="en-GB"/>
        </w:rPr>
        <w:t>Dividend stickiness and strategic pooling</w:t>
      </w:r>
      <w:r w:rsidRPr="008902EB">
        <w:rPr>
          <w:rFonts w:ascii="Times New Roman" w:hAnsi="Times New Roman" w:cs="Times New Roman"/>
          <w:lang w:eastAsia="en-GB"/>
        </w:rPr>
        <w:t>. The Review of Financial Studies, 23(12), pp. 4455-4495.</w:t>
      </w:r>
    </w:p>
    <w:p w14:paraId="122AC7C1"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lastRenderedPageBreak/>
        <w:t xml:space="preserve">Hainmueller, J. (2012). </w:t>
      </w:r>
      <w:r w:rsidRPr="008902EB">
        <w:rPr>
          <w:rFonts w:ascii="Times New Roman" w:hAnsi="Times New Roman" w:cs="Times New Roman"/>
          <w:i/>
          <w:iCs/>
          <w:lang w:eastAsia="en-GB"/>
        </w:rPr>
        <w:t>Entropy balancing for causal effects: A multivariate reweighting method to produce balanced samples in observational studies</w:t>
      </w:r>
      <w:r w:rsidRPr="008902EB">
        <w:rPr>
          <w:rFonts w:ascii="Times New Roman" w:hAnsi="Times New Roman" w:cs="Times New Roman"/>
          <w:lang w:eastAsia="en-GB"/>
        </w:rPr>
        <w:t>. Political analysis, 20(1), pp. 25-46.</w:t>
      </w:r>
    </w:p>
    <w:p w14:paraId="0E3E002D"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Harakeh</w:t>
      </w:r>
      <w:proofErr w:type="spellEnd"/>
      <w:r w:rsidRPr="008902EB">
        <w:rPr>
          <w:rFonts w:ascii="Times New Roman" w:hAnsi="Times New Roman" w:cs="Times New Roman"/>
          <w:lang w:eastAsia="en-GB"/>
        </w:rPr>
        <w:t xml:space="preserve">, M. (2017). </w:t>
      </w:r>
      <w:r w:rsidRPr="008902EB">
        <w:rPr>
          <w:rFonts w:ascii="Times New Roman" w:hAnsi="Times New Roman" w:cs="Times New Roman"/>
          <w:i/>
          <w:iCs/>
          <w:lang w:eastAsia="en-GB"/>
        </w:rPr>
        <w:t xml:space="preserve">Information Asymmetry , Accounting Standards , and Accounting Conservatism. </w:t>
      </w:r>
      <w:r w:rsidRPr="008902EB">
        <w:rPr>
          <w:rFonts w:ascii="Times New Roman" w:hAnsi="Times New Roman" w:cs="Times New Roman"/>
          <w:lang w:eastAsia="en-GB"/>
        </w:rPr>
        <w:t xml:space="preserve">Ph.D. Thesis in Accounting, The University of Manchester, United Kingdom. </w:t>
      </w:r>
    </w:p>
    <w:p w14:paraId="7B996648"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Huu Cuong, N. (2011). </w:t>
      </w:r>
      <w:r w:rsidRPr="008902EB">
        <w:rPr>
          <w:rFonts w:ascii="Times New Roman" w:hAnsi="Times New Roman" w:cs="Times New Roman"/>
          <w:i/>
          <w:iCs/>
          <w:lang w:eastAsia="en-GB"/>
        </w:rPr>
        <w:t>Enron Fiasco: Business Difficulty and the Role of Enron Directors</w:t>
      </w:r>
      <w:r w:rsidRPr="008902EB">
        <w:rPr>
          <w:rFonts w:ascii="Times New Roman" w:hAnsi="Times New Roman" w:cs="Times New Roman"/>
          <w:lang w:eastAsia="en-GB"/>
        </w:rPr>
        <w:t>. Corporate Ownership &amp; Control Journal, 8(4).</w:t>
      </w:r>
    </w:p>
    <w:p w14:paraId="46F5D13E" w14:textId="77777777" w:rsidR="008902EB"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Javakhadze</w:t>
      </w:r>
      <w:proofErr w:type="spellEnd"/>
      <w:r w:rsidRPr="008902EB">
        <w:rPr>
          <w:rFonts w:ascii="Times New Roman" w:hAnsi="Times New Roman" w:cs="Times New Roman"/>
          <w:lang w:eastAsia="en-GB"/>
        </w:rPr>
        <w:t xml:space="preserve">, D., Ferris, S. P. &amp; Sen, N. (2014). </w:t>
      </w:r>
      <w:r w:rsidRPr="008902EB">
        <w:rPr>
          <w:rFonts w:ascii="Times New Roman" w:hAnsi="Times New Roman" w:cs="Times New Roman"/>
          <w:i/>
          <w:iCs/>
          <w:lang w:eastAsia="en-GB"/>
        </w:rPr>
        <w:t>An international analysis of dividend smoothing</w:t>
      </w:r>
      <w:r w:rsidRPr="008902EB">
        <w:rPr>
          <w:rFonts w:ascii="Times New Roman" w:hAnsi="Times New Roman" w:cs="Times New Roman"/>
          <w:lang w:eastAsia="en-GB"/>
        </w:rPr>
        <w:t>. Journal of Corporate Finance, 29, pp. 200-220.</w:t>
      </w:r>
    </w:p>
    <w:p w14:paraId="5F68FF61"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Jensen, M. C. &amp; </w:t>
      </w:r>
      <w:proofErr w:type="spellStart"/>
      <w:r w:rsidRPr="008902EB">
        <w:rPr>
          <w:rFonts w:ascii="Times New Roman" w:hAnsi="Times New Roman" w:cs="Times New Roman"/>
          <w:lang w:eastAsia="en-GB"/>
        </w:rPr>
        <w:t>Meckling</w:t>
      </w:r>
      <w:proofErr w:type="spellEnd"/>
      <w:r w:rsidRPr="008902EB">
        <w:rPr>
          <w:rFonts w:ascii="Times New Roman" w:hAnsi="Times New Roman" w:cs="Times New Roman"/>
          <w:lang w:eastAsia="en-GB"/>
        </w:rPr>
        <w:t xml:space="preserve">, W. H. (1976). </w:t>
      </w:r>
      <w:r w:rsidRPr="008902EB">
        <w:rPr>
          <w:rFonts w:ascii="Times New Roman" w:hAnsi="Times New Roman" w:cs="Times New Roman"/>
          <w:i/>
          <w:iCs/>
          <w:lang w:eastAsia="en-GB"/>
        </w:rPr>
        <w:t xml:space="preserve">Theory of the firm: Managerial </w:t>
      </w:r>
      <w:proofErr w:type="spellStart"/>
      <w:r w:rsidRPr="008902EB">
        <w:rPr>
          <w:rFonts w:ascii="Times New Roman" w:hAnsi="Times New Roman" w:cs="Times New Roman"/>
          <w:i/>
          <w:iCs/>
          <w:lang w:eastAsia="en-GB"/>
        </w:rPr>
        <w:t>behavior</w:t>
      </w:r>
      <w:proofErr w:type="spellEnd"/>
      <w:r w:rsidRPr="008902EB">
        <w:rPr>
          <w:rFonts w:ascii="Times New Roman" w:hAnsi="Times New Roman" w:cs="Times New Roman"/>
          <w:i/>
          <w:iCs/>
          <w:lang w:eastAsia="en-GB"/>
        </w:rPr>
        <w:t>, agency costs and ownership structure</w:t>
      </w:r>
      <w:r w:rsidRPr="008902EB">
        <w:rPr>
          <w:rFonts w:ascii="Times New Roman" w:hAnsi="Times New Roman" w:cs="Times New Roman"/>
          <w:lang w:eastAsia="en-GB"/>
        </w:rPr>
        <w:t>. Journal of Financial Economics, 3(4), pp. 305-360.</w:t>
      </w:r>
    </w:p>
    <w:p w14:paraId="5A1A0D7E"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Knyazeva, A., &amp; Knyazeva, D. (2014). </w:t>
      </w:r>
      <w:r w:rsidRPr="008902EB">
        <w:rPr>
          <w:rFonts w:ascii="Times New Roman" w:hAnsi="Times New Roman" w:cs="Times New Roman"/>
          <w:i/>
          <w:iCs/>
          <w:lang w:eastAsia="en-GB"/>
        </w:rPr>
        <w:t>Dividend smoothing: An agency explanation and new evidence</w:t>
      </w:r>
      <w:r w:rsidRPr="008902EB">
        <w:rPr>
          <w:rFonts w:ascii="Times New Roman" w:hAnsi="Times New Roman" w:cs="Times New Roman"/>
          <w:lang w:eastAsia="en-GB"/>
        </w:rPr>
        <w:t> (Working Paper). SSRN: https://ssrn.com/abstract=2504715</w:t>
      </w:r>
    </w:p>
    <w:p w14:paraId="34849223"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Lafond, R. &amp; </w:t>
      </w:r>
      <w:proofErr w:type="spellStart"/>
      <w:r w:rsidRPr="008902EB">
        <w:rPr>
          <w:rFonts w:ascii="Times New Roman" w:hAnsi="Times New Roman" w:cs="Times New Roman"/>
          <w:lang w:eastAsia="en-GB"/>
        </w:rPr>
        <w:t>Roychowdhury</w:t>
      </w:r>
      <w:proofErr w:type="spellEnd"/>
      <w:r w:rsidRPr="008902EB">
        <w:rPr>
          <w:rFonts w:ascii="Times New Roman" w:hAnsi="Times New Roman" w:cs="Times New Roman"/>
          <w:lang w:eastAsia="en-GB"/>
        </w:rPr>
        <w:t xml:space="preserve">, S. (2008). </w:t>
      </w:r>
      <w:r w:rsidRPr="008902EB">
        <w:rPr>
          <w:rFonts w:ascii="Times New Roman" w:hAnsi="Times New Roman" w:cs="Times New Roman"/>
          <w:i/>
          <w:iCs/>
          <w:lang w:eastAsia="en-GB"/>
        </w:rPr>
        <w:t>Managerial ownership and accounting conservatism</w:t>
      </w:r>
      <w:r w:rsidRPr="008902EB">
        <w:rPr>
          <w:rFonts w:ascii="Times New Roman" w:hAnsi="Times New Roman" w:cs="Times New Roman"/>
          <w:lang w:eastAsia="en-GB"/>
        </w:rPr>
        <w:t>. Journal of accounting research, 46(1), pp. 101-135.</w:t>
      </w:r>
    </w:p>
    <w:p w14:paraId="5CE709C0"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Leary, M. T. &amp; Michaely, R. (2011). </w:t>
      </w:r>
      <w:r w:rsidRPr="008902EB">
        <w:rPr>
          <w:rFonts w:ascii="Times New Roman" w:hAnsi="Times New Roman" w:cs="Times New Roman"/>
          <w:i/>
          <w:iCs/>
          <w:lang w:eastAsia="en-GB"/>
        </w:rPr>
        <w:t>Determinants of dividend smoothing: Empirical evidence</w:t>
      </w:r>
      <w:r w:rsidRPr="008902EB">
        <w:rPr>
          <w:rFonts w:ascii="Times New Roman" w:hAnsi="Times New Roman" w:cs="Times New Roman"/>
          <w:lang w:eastAsia="en-GB"/>
        </w:rPr>
        <w:t>. The Review of Financial Studies, 24(10), pp. 3197-3249.</w:t>
      </w:r>
    </w:p>
    <w:p w14:paraId="266DFE11"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Li, K. &amp; Zhao, X. (2008). </w:t>
      </w:r>
      <w:r w:rsidRPr="008902EB">
        <w:rPr>
          <w:rFonts w:ascii="Times New Roman" w:hAnsi="Times New Roman" w:cs="Times New Roman"/>
          <w:i/>
          <w:iCs/>
          <w:lang w:eastAsia="en-GB"/>
        </w:rPr>
        <w:t>Asymmetric information and dividend policy</w:t>
      </w:r>
      <w:r w:rsidRPr="008902EB">
        <w:rPr>
          <w:rFonts w:ascii="Times New Roman" w:hAnsi="Times New Roman" w:cs="Times New Roman"/>
          <w:lang w:eastAsia="en-GB"/>
        </w:rPr>
        <w:t>. Financial management, 37(4), pp. 673-694.</w:t>
      </w:r>
    </w:p>
    <w:p w14:paraId="64B89A8E"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Lintner, J. (1956). </w:t>
      </w:r>
      <w:r w:rsidRPr="008902EB">
        <w:rPr>
          <w:rFonts w:ascii="Times New Roman" w:hAnsi="Times New Roman" w:cs="Times New Roman"/>
          <w:i/>
          <w:iCs/>
          <w:lang w:eastAsia="en-GB"/>
        </w:rPr>
        <w:t>Distribution of incomes of corporations among dividends, retained earnings, and taxes</w:t>
      </w:r>
      <w:r w:rsidRPr="008902EB">
        <w:rPr>
          <w:rFonts w:ascii="Times New Roman" w:hAnsi="Times New Roman" w:cs="Times New Roman"/>
          <w:lang w:eastAsia="en-GB"/>
        </w:rPr>
        <w:t>. The American economic review, 46(2), pp. 97-113.</w:t>
      </w:r>
    </w:p>
    <w:p w14:paraId="190E2543"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Liu, B., </w:t>
      </w:r>
      <w:proofErr w:type="spellStart"/>
      <w:r w:rsidRPr="008902EB">
        <w:rPr>
          <w:rFonts w:ascii="Times New Roman" w:hAnsi="Times New Roman" w:cs="Times New Roman"/>
          <w:lang w:eastAsia="en-GB"/>
        </w:rPr>
        <w:t>Johl</w:t>
      </w:r>
      <w:proofErr w:type="spellEnd"/>
      <w:r w:rsidRPr="008902EB">
        <w:rPr>
          <w:rFonts w:ascii="Times New Roman" w:hAnsi="Times New Roman" w:cs="Times New Roman"/>
          <w:lang w:eastAsia="en-GB"/>
        </w:rPr>
        <w:t xml:space="preserve">, S. &amp; Lasantha, R. (2023). </w:t>
      </w:r>
      <w:r w:rsidRPr="008902EB">
        <w:rPr>
          <w:rFonts w:ascii="Times New Roman" w:hAnsi="Times New Roman" w:cs="Times New Roman"/>
          <w:i/>
          <w:iCs/>
          <w:lang w:eastAsia="en-GB"/>
        </w:rPr>
        <w:t>ESG scores and cash holdings: The role of disciplinary trading</w:t>
      </w:r>
      <w:r w:rsidRPr="008902EB">
        <w:rPr>
          <w:rFonts w:ascii="Times New Roman" w:hAnsi="Times New Roman" w:cs="Times New Roman"/>
          <w:lang w:eastAsia="en-GB"/>
        </w:rPr>
        <w:t>. Finance Research Letters, 55(pp. 103854.</w:t>
      </w:r>
    </w:p>
    <w:p w14:paraId="4EB82F7D"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lastRenderedPageBreak/>
        <w:t xml:space="preserve">Lou, Y.-I. &amp; Wang, M.-L. (2009). </w:t>
      </w:r>
      <w:r w:rsidRPr="008902EB">
        <w:rPr>
          <w:rFonts w:ascii="Times New Roman" w:hAnsi="Times New Roman" w:cs="Times New Roman"/>
          <w:i/>
          <w:iCs/>
          <w:lang w:eastAsia="en-GB"/>
        </w:rPr>
        <w:t>Fraud risk factor of the fraud triangle assessing the likelihood of fraudulent financial reporting</w:t>
      </w:r>
      <w:r w:rsidRPr="008902EB">
        <w:rPr>
          <w:rFonts w:ascii="Times New Roman" w:hAnsi="Times New Roman" w:cs="Times New Roman"/>
          <w:lang w:eastAsia="en-GB"/>
        </w:rPr>
        <w:t>. Journal of Business &amp; Economics Research (JBER), 7(2), pp.61-78</w:t>
      </w:r>
    </w:p>
    <w:p w14:paraId="0B02B870"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Mellado</w:t>
      </w:r>
      <w:proofErr w:type="spellEnd"/>
      <w:r w:rsidRPr="008902EB">
        <w:rPr>
          <w:rFonts w:ascii="Times New Roman" w:hAnsi="Times New Roman" w:cs="Times New Roman"/>
          <w:lang w:eastAsia="en-GB"/>
        </w:rPr>
        <w:t xml:space="preserve">-Cid, C., Jory, S. R. &amp; Ngo, T. N. (2018). </w:t>
      </w:r>
      <w:r w:rsidRPr="008902EB">
        <w:rPr>
          <w:rFonts w:ascii="Times New Roman" w:hAnsi="Times New Roman" w:cs="Times New Roman"/>
          <w:i/>
          <w:iCs/>
          <w:lang w:eastAsia="en-GB"/>
        </w:rPr>
        <w:t>Real activities manipulation and firm valuation</w:t>
      </w:r>
      <w:r w:rsidRPr="008902EB">
        <w:rPr>
          <w:rFonts w:ascii="Times New Roman" w:hAnsi="Times New Roman" w:cs="Times New Roman"/>
          <w:lang w:eastAsia="en-GB"/>
        </w:rPr>
        <w:t>. Review of Quantitative Finance and Accounting, 50(4), pp. 1201-1226.</w:t>
      </w:r>
    </w:p>
    <w:p w14:paraId="026A54FE"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Miller, M. H. &amp; Modigliani, F. (1961). </w:t>
      </w:r>
      <w:r w:rsidRPr="008902EB">
        <w:rPr>
          <w:rFonts w:ascii="Times New Roman" w:hAnsi="Times New Roman" w:cs="Times New Roman"/>
          <w:i/>
          <w:iCs/>
          <w:lang w:eastAsia="en-GB"/>
        </w:rPr>
        <w:t>Dividend policy, growth, and the valuation of shares</w:t>
      </w:r>
      <w:r w:rsidRPr="008902EB">
        <w:rPr>
          <w:rFonts w:ascii="Times New Roman" w:hAnsi="Times New Roman" w:cs="Times New Roman"/>
          <w:lang w:eastAsia="en-GB"/>
        </w:rPr>
        <w:t>. the Journal of Business, 34(4), pp. 411-433.</w:t>
      </w:r>
    </w:p>
    <w:p w14:paraId="444B3F82"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Miller, M. H. &amp; Rock, K. (1985). </w:t>
      </w:r>
      <w:r w:rsidRPr="008902EB">
        <w:rPr>
          <w:rFonts w:ascii="Times New Roman" w:hAnsi="Times New Roman" w:cs="Times New Roman"/>
          <w:i/>
          <w:iCs/>
          <w:lang w:eastAsia="en-GB"/>
        </w:rPr>
        <w:t>Dividend policy under asymmetric information</w:t>
      </w:r>
      <w:r w:rsidRPr="008902EB">
        <w:rPr>
          <w:rFonts w:ascii="Times New Roman" w:hAnsi="Times New Roman" w:cs="Times New Roman"/>
          <w:lang w:eastAsia="en-GB"/>
        </w:rPr>
        <w:t>. The Journal of finance, 40(4), pp. 1031-1051.</w:t>
      </w:r>
    </w:p>
    <w:p w14:paraId="15D030A7"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Quyang</w:t>
      </w:r>
      <w:proofErr w:type="spellEnd"/>
      <w:r w:rsidRPr="008902EB">
        <w:rPr>
          <w:rFonts w:ascii="Times New Roman" w:hAnsi="Times New Roman" w:cs="Times New Roman"/>
          <w:lang w:eastAsia="en-GB"/>
        </w:rPr>
        <w:t xml:space="preserve">, C., Xiong, J., Liu, L., and Yao, J. (2024). </w:t>
      </w:r>
      <w:r w:rsidRPr="008902EB">
        <w:rPr>
          <w:rFonts w:ascii="Times New Roman" w:hAnsi="Times New Roman" w:cs="Times New Roman"/>
          <w:i/>
          <w:iCs/>
          <w:lang w:eastAsia="en-GB"/>
        </w:rPr>
        <w:t>Geographic Proximity and Trade Credit: Evidence from a Quasi-Natural Experiment</w:t>
      </w:r>
      <w:r w:rsidRPr="008902EB">
        <w:rPr>
          <w:rFonts w:ascii="Times New Roman" w:hAnsi="Times New Roman" w:cs="Times New Roman"/>
          <w:lang w:eastAsia="en-GB"/>
        </w:rPr>
        <w:t>. Journal of Corporate Finance, 84, pp. 102535.</w:t>
      </w:r>
    </w:p>
    <w:p w14:paraId="6EE739A7" w14:textId="77777777" w:rsidR="008902EB"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Rangvid</w:t>
      </w:r>
      <w:proofErr w:type="spellEnd"/>
      <w:r w:rsidRPr="008902EB">
        <w:rPr>
          <w:rFonts w:ascii="Times New Roman" w:hAnsi="Times New Roman" w:cs="Times New Roman"/>
          <w:lang w:eastAsia="en-GB"/>
        </w:rPr>
        <w:t xml:space="preserve">, J., Schmeling, M. &amp; </w:t>
      </w:r>
      <w:proofErr w:type="spellStart"/>
      <w:r w:rsidRPr="008902EB">
        <w:rPr>
          <w:rFonts w:ascii="Times New Roman" w:hAnsi="Times New Roman" w:cs="Times New Roman"/>
          <w:lang w:eastAsia="en-GB"/>
        </w:rPr>
        <w:t>Schrimpf</w:t>
      </w:r>
      <w:proofErr w:type="spellEnd"/>
      <w:r w:rsidRPr="008902EB">
        <w:rPr>
          <w:rFonts w:ascii="Times New Roman" w:hAnsi="Times New Roman" w:cs="Times New Roman"/>
          <w:lang w:eastAsia="en-GB"/>
        </w:rPr>
        <w:t xml:space="preserve">, A. (2014). </w:t>
      </w:r>
      <w:r w:rsidRPr="008902EB">
        <w:rPr>
          <w:rFonts w:ascii="Times New Roman" w:hAnsi="Times New Roman" w:cs="Times New Roman"/>
          <w:i/>
          <w:iCs/>
          <w:lang w:eastAsia="en-GB"/>
        </w:rPr>
        <w:t>Dividend predictability around the world</w:t>
      </w:r>
      <w:r w:rsidRPr="008902EB">
        <w:rPr>
          <w:rFonts w:ascii="Times New Roman" w:hAnsi="Times New Roman" w:cs="Times New Roman"/>
          <w:lang w:eastAsia="en-GB"/>
        </w:rPr>
        <w:t>. Journal of Financial and Quantitative Analysis, 49(5-6), pp. 1255-1277.</w:t>
      </w:r>
    </w:p>
    <w:p w14:paraId="379BA458" w14:textId="77777777" w:rsidR="00AE79E5"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Rezaee</w:t>
      </w:r>
      <w:proofErr w:type="spellEnd"/>
      <w:r w:rsidRPr="008902EB">
        <w:rPr>
          <w:rFonts w:ascii="Times New Roman" w:hAnsi="Times New Roman" w:cs="Times New Roman"/>
          <w:lang w:eastAsia="en-GB"/>
        </w:rPr>
        <w:t xml:space="preserve">, Z. (2005). </w:t>
      </w:r>
      <w:r w:rsidRPr="008902EB">
        <w:rPr>
          <w:rFonts w:ascii="Times New Roman" w:hAnsi="Times New Roman" w:cs="Times New Roman"/>
          <w:i/>
          <w:iCs/>
          <w:lang w:eastAsia="en-GB"/>
        </w:rPr>
        <w:t>Causes, consequences, and deterrence of financial statement fraud</w:t>
      </w:r>
      <w:r w:rsidRPr="008902EB">
        <w:rPr>
          <w:rFonts w:ascii="Times New Roman" w:hAnsi="Times New Roman" w:cs="Times New Roman"/>
          <w:lang w:eastAsia="en-GB"/>
        </w:rPr>
        <w:t>. Critical perspectives on Accounting, 16(3), pp. 277-298.</w:t>
      </w:r>
    </w:p>
    <w:p w14:paraId="2C87BCF9" w14:textId="72FBAEB0" w:rsidR="000215AD" w:rsidRPr="008902EB" w:rsidRDefault="000215AD" w:rsidP="00CA7220">
      <w:pPr>
        <w:numPr>
          <w:ilvl w:val="0"/>
          <w:numId w:val="22"/>
        </w:numPr>
        <w:spacing w:line="480" w:lineRule="auto"/>
        <w:jc w:val="both"/>
        <w:rPr>
          <w:rFonts w:ascii="Times New Roman" w:hAnsi="Times New Roman" w:cs="Times New Roman"/>
          <w:lang w:eastAsia="en-GB"/>
        </w:rPr>
      </w:pPr>
      <w:r w:rsidRPr="000215AD">
        <w:rPr>
          <w:rFonts w:ascii="Times New Roman" w:hAnsi="Times New Roman" w:cs="Times New Roman"/>
          <w:lang w:eastAsia="en-GB"/>
        </w:rPr>
        <w:t xml:space="preserve">Roberts, M. R. &amp; Whited, T. M. (2013). </w:t>
      </w:r>
      <w:r w:rsidRPr="000215AD">
        <w:rPr>
          <w:rFonts w:ascii="Times New Roman" w:hAnsi="Times New Roman" w:cs="Times New Roman"/>
          <w:i/>
          <w:iCs/>
          <w:lang w:eastAsia="en-GB"/>
        </w:rPr>
        <w:t>Endogeneity in empirical corporate finance</w:t>
      </w:r>
      <w:r w:rsidRPr="000215AD">
        <w:rPr>
          <w:rFonts w:ascii="Times New Roman" w:hAnsi="Times New Roman" w:cs="Times New Roman"/>
          <w:lang w:eastAsia="en-GB"/>
        </w:rPr>
        <w:t>. Handbook of the Economics of Finance. Elsevier, 2, pp. 493–572.</w:t>
      </w:r>
    </w:p>
    <w:p w14:paraId="68FC945D"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Skousen, C. J., Smith, K. R. &amp; Wright, C. J. (2009). </w:t>
      </w:r>
      <w:r w:rsidRPr="008902EB">
        <w:rPr>
          <w:rFonts w:ascii="Times New Roman" w:hAnsi="Times New Roman" w:cs="Times New Roman"/>
          <w:i/>
          <w:iCs/>
          <w:lang w:eastAsia="en-GB"/>
        </w:rPr>
        <w:t>Detecting and predicting financial statement fraud: The effectiveness of the fraud triangle and SAS No. 99</w:t>
      </w:r>
      <w:r w:rsidRPr="008902EB">
        <w:rPr>
          <w:rFonts w:ascii="Times New Roman" w:hAnsi="Times New Roman" w:cs="Times New Roman"/>
          <w:lang w:eastAsia="en-GB"/>
        </w:rPr>
        <w:t>. Corporate governance and firm performance. Emerald Group Publishing Limited, pp. 53-81.</w:t>
      </w:r>
    </w:p>
    <w:p w14:paraId="3CD4B02B"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Sorensen, D. P. &amp; Miller, S. E. (2017). </w:t>
      </w:r>
      <w:r w:rsidRPr="008902EB">
        <w:rPr>
          <w:rFonts w:ascii="Times New Roman" w:hAnsi="Times New Roman" w:cs="Times New Roman"/>
          <w:i/>
          <w:iCs/>
          <w:lang w:eastAsia="en-GB"/>
        </w:rPr>
        <w:t>Financial accounting scandals and the reform of corporate governance in the United States and in Italy</w:t>
      </w:r>
      <w:r w:rsidRPr="008902EB">
        <w:rPr>
          <w:rFonts w:ascii="Times New Roman" w:hAnsi="Times New Roman" w:cs="Times New Roman"/>
          <w:lang w:eastAsia="en-GB"/>
        </w:rPr>
        <w:t>. Corporate Governance: The International Journal of Business in Society, 17(1), pp. 77-88.</w:t>
      </w:r>
    </w:p>
    <w:p w14:paraId="4677292D"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Tang, H. (2022). </w:t>
      </w:r>
      <w:r w:rsidRPr="008902EB">
        <w:rPr>
          <w:rFonts w:ascii="Times New Roman" w:hAnsi="Times New Roman" w:cs="Times New Roman"/>
          <w:i/>
          <w:iCs/>
          <w:lang w:eastAsia="en-GB"/>
        </w:rPr>
        <w:t>The effect of ESG performance on corporate innovation in China: The mediating role of financial constraints and agency cost</w:t>
      </w:r>
      <w:r w:rsidRPr="008902EB">
        <w:rPr>
          <w:rFonts w:ascii="Times New Roman" w:hAnsi="Times New Roman" w:cs="Times New Roman"/>
          <w:lang w:eastAsia="en-GB"/>
        </w:rPr>
        <w:t>. Sustainability, 14(7), pp. 3769.</w:t>
      </w:r>
    </w:p>
    <w:p w14:paraId="64738F18"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lastRenderedPageBreak/>
        <w:t>Tutino</w:t>
      </w:r>
      <w:proofErr w:type="spellEnd"/>
      <w:r w:rsidRPr="008902EB">
        <w:rPr>
          <w:rFonts w:ascii="Times New Roman" w:hAnsi="Times New Roman" w:cs="Times New Roman"/>
          <w:lang w:eastAsia="en-GB"/>
        </w:rPr>
        <w:t>, M. &amp; Merlo, M. (2019). ‘</w:t>
      </w:r>
      <w:r w:rsidRPr="008902EB">
        <w:rPr>
          <w:rFonts w:ascii="Times New Roman" w:hAnsi="Times New Roman" w:cs="Times New Roman"/>
          <w:i/>
          <w:iCs/>
          <w:lang w:eastAsia="en-GB"/>
        </w:rPr>
        <w:t>Accounting Fraud: A literature review’</w:t>
      </w:r>
      <w:r w:rsidRPr="008902EB">
        <w:rPr>
          <w:rFonts w:ascii="Times New Roman" w:hAnsi="Times New Roman" w:cs="Times New Roman"/>
          <w:lang w:eastAsia="en-GB"/>
        </w:rPr>
        <w:t>. Risk Governance &amp; Control: Financial Markets &amp; Institutions, 9(1), pp. 8-25.</w:t>
      </w:r>
    </w:p>
    <w:p w14:paraId="40456D33"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Widiatmoko</w:t>
      </w:r>
      <w:proofErr w:type="spellEnd"/>
      <w:r w:rsidRPr="008902EB">
        <w:rPr>
          <w:rFonts w:ascii="Times New Roman" w:hAnsi="Times New Roman" w:cs="Times New Roman"/>
          <w:lang w:eastAsia="en-GB"/>
        </w:rPr>
        <w:t xml:space="preserve">, J., </w:t>
      </w:r>
      <w:proofErr w:type="spellStart"/>
      <w:r w:rsidRPr="008902EB">
        <w:rPr>
          <w:rFonts w:ascii="Times New Roman" w:hAnsi="Times New Roman" w:cs="Times New Roman"/>
          <w:lang w:eastAsia="en-GB"/>
        </w:rPr>
        <w:t>Indarti</w:t>
      </w:r>
      <w:proofErr w:type="spellEnd"/>
      <w:r w:rsidRPr="008902EB">
        <w:rPr>
          <w:rFonts w:ascii="Times New Roman" w:hAnsi="Times New Roman" w:cs="Times New Roman"/>
          <w:lang w:eastAsia="en-GB"/>
        </w:rPr>
        <w:t xml:space="preserve">, M. G. K. &amp; </w:t>
      </w:r>
      <w:proofErr w:type="spellStart"/>
      <w:r w:rsidRPr="008902EB">
        <w:rPr>
          <w:rFonts w:ascii="Times New Roman" w:hAnsi="Times New Roman" w:cs="Times New Roman"/>
          <w:lang w:eastAsia="en-GB"/>
        </w:rPr>
        <w:t>Nuswandari</w:t>
      </w:r>
      <w:proofErr w:type="spellEnd"/>
      <w:r w:rsidRPr="008902EB">
        <w:rPr>
          <w:rFonts w:ascii="Times New Roman" w:hAnsi="Times New Roman" w:cs="Times New Roman"/>
          <w:lang w:eastAsia="en-GB"/>
        </w:rPr>
        <w:t xml:space="preserve">, C. (2023). </w:t>
      </w:r>
      <w:r w:rsidRPr="008902EB">
        <w:rPr>
          <w:rFonts w:ascii="Times New Roman" w:hAnsi="Times New Roman" w:cs="Times New Roman"/>
          <w:i/>
          <w:iCs/>
          <w:lang w:eastAsia="en-GB"/>
        </w:rPr>
        <w:t>Accounting Conservatism: Antecedents and Consequence in Indonesia Manufacturing Companies</w:t>
      </w:r>
      <w:r w:rsidRPr="008902EB">
        <w:rPr>
          <w:rFonts w:ascii="Times New Roman" w:hAnsi="Times New Roman" w:cs="Times New Roman"/>
          <w:lang w:eastAsia="en-GB"/>
        </w:rPr>
        <w:t>. WSEAS Transactions on Business and Economics, 20, pp. 2315-2325.</w:t>
      </w:r>
    </w:p>
    <w:p w14:paraId="427B236E" w14:textId="77777777" w:rsidR="00AE79E5" w:rsidRPr="008902EB" w:rsidRDefault="00AE79E5" w:rsidP="00CA7220">
      <w:pPr>
        <w:numPr>
          <w:ilvl w:val="0"/>
          <w:numId w:val="22"/>
        </w:numPr>
        <w:spacing w:line="480" w:lineRule="auto"/>
        <w:jc w:val="both"/>
        <w:rPr>
          <w:rFonts w:ascii="Times New Roman" w:hAnsi="Times New Roman" w:cs="Times New Roman"/>
          <w:lang w:eastAsia="en-GB"/>
        </w:rPr>
      </w:pPr>
      <w:proofErr w:type="spellStart"/>
      <w:r w:rsidRPr="008902EB">
        <w:rPr>
          <w:rFonts w:ascii="Times New Roman" w:hAnsi="Times New Roman" w:cs="Times New Roman"/>
          <w:lang w:eastAsia="en-GB"/>
        </w:rPr>
        <w:t>Wuerges</w:t>
      </w:r>
      <w:proofErr w:type="spellEnd"/>
      <w:r w:rsidRPr="008902EB">
        <w:rPr>
          <w:rFonts w:ascii="Times New Roman" w:hAnsi="Times New Roman" w:cs="Times New Roman"/>
          <w:lang w:eastAsia="en-GB"/>
        </w:rPr>
        <w:t xml:space="preserve">, A. F. E. &amp; </w:t>
      </w:r>
      <w:proofErr w:type="spellStart"/>
      <w:r w:rsidRPr="008902EB">
        <w:rPr>
          <w:rFonts w:ascii="Times New Roman" w:hAnsi="Times New Roman" w:cs="Times New Roman"/>
          <w:lang w:eastAsia="en-GB"/>
        </w:rPr>
        <w:t>Borba</w:t>
      </w:r>
      <w:proofErr w:type="spellEnd"/>
      <w:r w:rsidRPr="008902EB">
        <w:rPr>
          <w:rFonts w:ascii="Times New Roman" w:hAnsi="Times New Roman" w:cs="Times New Roman"/>
          <w:lang w:eastAsia="en-GB"/>
        </w:rPr>
        <w:t xml:space="preserve">, J. A. (2014). </w:t>
      </w:r>
      <w:r w:rsidRPr="008902EB">
        <w:rPr>
          <w:rFonts w:ascii="Times New Roman" w:hAnsi="Times New Roman" w:cs="Times New Roman"/>
          <w:i/>
          <w:iCs/>
          <w:lang w:eastAsia="en-GB"/>
        </w:rPr>
        <w:t>Accounting Fraud: an estimation of detection probability</w:t>
      </w:r>
      <w:r w:rsidRPr="008902EB">
        <w:rPr>
          <w:rFonts w:ascii="Times New Roman" w:hAnsi="Times New Roman" w:cs="Times New Roman"/>
          <w:lang w:eastAsia="en-GB"/>
        </w:rPr>
        <w:t xml:space="preserve">. </w:t>
      </w:r>
      <w:proofErr w:type="spellStart"/>
      <w:r w:rsidRPr="008902EB">
        <w:rPr>
          <w:rFonts w:ascii="Times New Roman" w:hAnsi="Times New Roman" w:cs="Times New Roman"/>
          <w:lang w:eastAsia="en-GB"/>
        </w:rPr>
        <w:t>Revista</w:t>
      </w:r>
      <w:proofErr w:type="spellEnd"/>
      <w:r w:rsidRPr="008902EB">
        <w:rPr>
          <w:rFonts w:ascii="Times New Roman" w:hAnsi="Times New Roman" w:cs="Times New Roman"/>
          <w:lang w:eastAsia="en-GB"/>
        </w:rPr>
        <w:t xml:space="preserve"> </w:t>
      </w:r>
      <w:proofErr w:type="spellStart"/>
      <w:r w:rsidRPr="008902EB">
        <w:rPr>
          <w:rFonts w:ascii="Times New Roman" w:hAnsi="Times New Roman" w:cs="Times New Roman"/>
          <w:lang w:eastAsia="en-GB"/>
        </w:rPr>
        <w:t>Brasileira</w:t>
      </w:r>
      <w:proofErr w:type="spellEnd"/>
      <w:r w:rsidRPr="008902EB">
        <w:rPr>
          <w:rFonts w:ascii="Times New Roman" w:hAnsi="Times New Roman" w:cs="Times New Roman"/>
          <w:lang w:eastAsia="en-GB"/>
        </w:rPr>
        <w:t xml:space="preserve"> De </w:t>
      </w:r>
      <w:proofErr w:type="spellStart"/>
      <w:r w:rsidRPr="008902EB">
        <w:rPr>
          <w:rFonts w:ascii="Times New Roman" w:hAnsi="Times New Roman" w:cs="Times New Roman"/>
          <w:lang w:eastAsia="en-GB"/>
        </w:rPr>
        <w:t>Gestão</w:t>
      </w:r>
      <w:proofErr w:type="spellEnd"/>
      <w:r w:rsidRPr="008902EB">
        <w:rPr>
          <w:rFonts w:ascii="Times New Roman" w:hAnsi="Times New Roman" w:cs="Times New Roman"/>
          <w:lang w:eastAsia="en-GB"/>
        </w:rPr>
        <w:t xml:space="preserve"> De </w:t>
      </w:r>
      <w:proofErr w:type="spellStart"/>
      <w:r w:rsidRPr="008902EB">
        <w:rPr>
          <w:rFonts w:ascii="Times New Roman" w:hAnsi="Times New Roman" w:cs="Times New Roman"/>
          <w:lang w:eastAsia="en-GB"/>
        </w:rPr>
        <w:t>Negócios</w:t>
      </w:r>
      <w:proofErr w:type="spellEnd"/>
      <w:r w:rsidRPr="008902EB">
        <w:rPr>
          <w:rFonts w:ascii="Times New Roman" w:hAnsi="Times New Roman" w:cs="Times New Roman"/>
          <w:lang w:eastAsia="en-GB"/>
        </w:rPr>
        <w:t>, 16, pp. 466-483.</w:t>
      </w:r>
    </w:p>
    <w:p w14:paraId="090B0E01" w14:textId="77777777" w:rsidR="008902EB" w:rsidRPr="008902EB" w:rsidRDefault="00AE79E5" w:rsidP="00CA7220">
      <w:pPr>
        <w:numPr>
          <w:ilvl w:val="0"/>
          <w:numId w:val="22"/>
        </w:numPr>
        <w:spacing w:line="480" w:lineRule="auto"/>
        <w:jc w:val="both"/>
        <w:rPr>
          <w:rFonts w:ascii="Times New Roman" w:hAnsi="Times New Roman" w:cs="Times New Roman"/>
          <w:lang w:eastAsia="en-GB"/>
        </w:rPr>
      </w:pPr>
      <w:r w:rsidRPr="008902EB">
        <w:rPr>
          <w:rFonts w:ascii="Times New Roman" w:hAnsi="Times New Roman" w:cs="Times New Roman"/>
          <w:lang w:eastAsia="en-GB"/>
        </w:rPr>
        <w:t xml:space="preserve">Xu, X., Wang, X. &amp; Han, N. (2012). </w:t>
      </w:r>
      <w:r w:rsidRPr="008902EB">
        <w:rPr>
          <w:rFonts w:ascii="Times New Roman" w:hAnsi="Times New Roman" w:cs="Times New Roman"/>
          <w:i/>
          <w:iCs/>
          <w:lang w:eastAsia="en-GB"/>
        </w:rPr>
        <w:t>Accounting conservatism, ultimate ownership and investment efficiency</w:t>
      </w:r>
      <w:r w:rsidRPr="008902EB">
        <w:rPr>
          <w:rFonts w:ascii="Times New Roman" w:hAnsi="Times New Roman" w:cs="Times New Roman"/>
          <w:lang w:eastAsia="en-GB"/>
        </w:rPr>
        <w:t>. China Finance Review International, 2(1), pp. 53-77.</w:t>
      </w:r>
    </w:p>
    <w:p w14:paraId="0824E414" w14:textId="77777777" w:rsidR="00AE79E5" w:rsidRPr="00785BF3" w:rsidRDefault="00AE79E5" w:rsidP="00CA7220">
      <w:pPr>
        <w:spacing w:line="480" w:lineRule="auto"/>
        <w:jc w:val="both"/>
        <w:rPr>
          <w:rFonts w:ascii="Times New Roman" w:hAnsi="Times New Roman" w:cs="Times New Roman"/>
          <w:lang w:eastAsia="en-GB"/>
        </w:rPr>
      </w:pPr>
    </w:p>
    <w:p w14:paraId="0A4E9116" w14:textId="77777777" w:rsidR="00AE79E5" w:rsidRPr="00785BF3" w:rsidRDefault="00AE79E5" w:rsidP="00CA7220">
      <w:pPr>
        <w:spacing w:line="480" w:lineRule="auto"/>
        <w:rPr>
          <w:rFonts w:ascii="Times New Roman" w:hAnsi="Times New Roman" w:cs="Times New Roman"/>
          <w:lang w:eastAsia="en-GB"/>
        </w:rPr>
      </w:pPr>
    </w:p>
    <w:p w14:paraId="0320A6DA" w14:textId="77777777" w:rsidR="00AE79E5" w:rsidRPr="00785BF3" w:rsidRDefault="00AE79E5" w:rsidP="00CA7220">
      <w:pPr>
        <w:spacing w:line="480" w:lineRule="auto"/>
        <w:rPr>
          <w:rFonts w:ascii="Times New Roman" w:hAnsi="Times New Roman" w:cs="Times New Roman"/>
          <w:lang w:eastAsia="en-GB"/>
        </w:rPr>
      </w:pPr>
    </w:p>
    <w:p w14:paraId="16ADB2F8" w14:textId="77777777" w:rsidR="00AE79E5" w:rsidRPr="00785BF3" w:rsidRDefault="00AE79E5" w:rsidP="00AE79E5">
      <w:pPr>
        <w:rPr>
          <w:rFonts w:ascii="Times New Roman" w:hAnsi="Times New Roman" w:cs="Times New Roman"/>
          <w:lang w:eastAsia="en-GB"/>
        </w:rPr>
      </w:pPr>
    </w:p>
    <w:p w14:paraId="20B7894C" w14:textId="77777777" w:rsidR="00AE79E5" w:rsidRDefault="00AE79E5" w:rsidP="00AE79E5">
      <w:pPr>
        <w:rPr>
          <w:rFonts w:ascii="Times New Roman" w:hAnsi="Times New Roman" w:cs="Times New Roman"/>
          <w:lang w:eastAsia="en-GB"/>
        </w:rPr>
      </w:pPr>
    </w:p>
    <w:p w14:paraId="3C1AF1BD" w14:textId="77777777" w:rsidR="00AE79E5" w:rsidRPr="00785BF3" w:rsidRDefault="00AE79E5" w:rsidP="00AE79E5">
      <w:pPr>
        <w:rPr>
          <w:rFonts w:ascii="Times New Roman" w:hAnsi="Times New Roman" w:cs="Times New Roman"/>
          <w:lang w:eastAsia="en-GB"/>
        </w:rPr>
      </w:pPr>
    </w:p>
    <w:p w14:paraId="7B4F228C" w14:textId="77777777" w:rsidR="00AE79E5" w:rsidRDefault="00AE79E5" w:rsidP="00AE79E5">
      <w:pPr>
        <w:rPr>
          <w:rFonts w:ascii="Times New Roman" w:hAnsi="Times New Roman" w:cs="Times New Roman"/>
          <w:lang w:eastAsia="en-GB"/>
        </w:rPr>
      </w:pPr>
    </w:p>
    <w:p w14:paraId="66CDED05" w14:textId="77777777" w:rsidR="000215AD" w:rsidRDefault="000215AD" w:rsidP="00AE79E5">
      <w:pPr>
        <w:rPr>
          <w:rFonts w:ascii="Times New Roman" w:hAnsi="Times New Roman" w:cs="Times New Roman"/>
          <w:lang w:eastAsia="en-GB"/>
        </w:rPr>
      </w:pPr>
    </w:p>
    <w:p w14:paraId="08E18CC6" w14:textId="77777777" w:rsidR="000215AD" w:rsidRDefault="000215AD" w:rsidP="00AE79E5">
      <w:pPr>
        <w:rPr>
          <w:rFonts w:ascii="Times New Roman" w:hAnsi="Times New Roman" w:cs="Times New Roman"/>
          <w:lang w:eastAsia="en-GB"/>
        </w:rPr>
      </w:pPr>
    </w:p>
    <w:p w14:paraId="33D1A4AE" w14:textId="77777777" w:rsidR="000215AD" w:rsidRDefault="000215AD" w:rsidP="00AE79E5">
      <w:pPr>
        <w:rPr>
          <w:rFonts w:ascii="Times New Roman" w:hAnsi="Times New Roman" w:cs="Times New Roman"/>
          <w:lang w:eastAsia="en-GB"/>
        </w:rPr>
      </w:pPr>
    </w:p>
    <w:p w14:paraId="0FEF2E55" w14:textId="77777777" w:rsidR="000215AD" w:rsidRDefault="000215AD" w:rsidP="00AE79E5">
      <w:pPr>
        <w:rPr>
          <w:rFonts w:ascii="Times New Roman" w:hAnsi="Times New Roman" w:cs="Times New Roman"/>
          <w:lang w:eastAsia="en-GB"/>
        </w:rPr>
      </w:pPr>
    </w:p>
    <w:p w14:paraId="222C9494" w14:textId="77777777" w:rsidR="000215AD" w:rsidRDefault="000215AD" w:rsidP="00AE79E5">
      <w:pPr>
        <w:rPr>
          <w:rFonts w:ascii="Times New Roman" w:hAnsi="Times New Roman" w:cs="Times New Roman"/>
          <w:lang w:eastAsia="en-GB"/>
        </w:rPr>
      </w:pPr>
    </w:p>
    <w:p w14:paraId="5317D765" w14:textId="77777777" w:rsidR="000215AD" w:rsidRDefault="000215AD" w:rsidP="00AE79E5">
      <w:pPr>
        <w:rPr>
          <w:rFonts w:ascii="Times New Roman" w:hAnsi="Times New Roman" w:cs="Times New Roman"/>
          <w:lang w:eastAsia="en-GB"/>
        </w:rPr>
      </w:pPr>
    </w:p>
    <w:p w14:paraId="5DE13A29" w14:textId="77777777" w:rsidR="000215AD" w:rsidRDefault="000215AD" w:rsidP="00AE79E5">
      <w:pPr>
        <w:rPr>
          <w:rFonts w:ascii="Times New Roman" w:hAnsi="Times New Roman" w:cs="Times New Roman"/>
          <w:lang w:eastAsia="en-GB"/>
        </w:rPr>
      </w:pPr>
    </w:p>
    <w:p w14:paraId="08FB307C" w14:textId="77777777" w:rsidR="000215AD" w:rsidRDefault="000215AD" w:rsidP="00AE79E5">
      <w:pPr>
        <w:rPr>
          <w:rFonts w:ascii="Times New Roman" w:hAnsi="Times New Roman" w:cs="Times New Roman"/>
          <w:lang w:eastAsia="en-GB"/>
        </w:rPr>
      </w:pPr>
    </w:p>
    <w:p w14:paraId="6CB0DD80" w14:textId="77777777" w:rsidR="000215AD" w:rsidRDefault="000215AD" w:rsidP="00AE79E5">
      <w:pPr>
        <w:rPr>
          <w:rFonts w:ascii="Times New Roman" w:hAnsi="Times New Roman" w:cs="Times New Roman"/>
          <w:lang w:eastAsia="en-GB"/>
        </w:rPr>
      </w:pPr>
    </w:p>
    <w:p w14:paraId="07FE19CC" w14:textId="77777777" w:rsidR="000215AD" w:rsidRDefault="000215AD" w:rsidP="00AE79E5">
      <w:pPr>
        <w:rPr>
          <w:rFonts w:ascii="Times New Roman" w:hAnsi="Times New Roman" w:cs="Times New Roman"/>
          <w:lang w:eastAsia="en-GB"/>
        </w:rPr>
      </w:pPr>
    </w:p>
    <w:p w14:paraId="6EECFD2F" w14:textId="77777777" w:rsidR="000215AD" w:rsidRDefault="000215AD" w:rsidP="00AE79E5">
      <w:pPr>
        <w:rPr>
          <w:rFonts w:ascii="Times New Roman" w:hAnsi="Times New Roman" w:cs="Times New Roman"/>
          <w:lang w:eastAsia="en-GB"/>
        </w:rPr>
      </w:pPr>
    </w:p>
    <w:p w14:paraId="3A8A143C" w14:textId="77777777" w:rsidR="000215AD" w:rsidRDefault="000215AD" w:rsidP="00AE79E5">
      <w:pPr>
        <w:rPr>
          <w:rFonts w:ascii="Times New Roman" w:hAnsi="Times New Roman" w:cs="Times New Roman"/>
          <w:lang w:eastAsia="en-GB"/>
        </w:rPr>
      </w:pPr>
    </w:p>
    <w:p w14:paraId="04769F05" w14:textId="77777777" w:rsidR="000215AD" w:rsidRDefault="000215AD" w:rsidP="00AE79E5">
      <w:pPr>
        <w:rPr>
          <w:rFonts w:ascii="Times New Roman" w:hAnsi="Times New Roman" w:cs="Times New Roman"/>
          <w:lang w:eastAsia="en-GB"/>
        </w:rPr>
      </w:pPr>
    </w:p>
    <w:p w14:paraId="2179251B" w14:textId="77777777" w:rsidR="000215AD" w:rsidRDefault="000215AD" w:rsidP="00AE79E5">
      <w:pPr>
        <w:rPr>
          <w:rFonts w:ascii="Times New Roman" w:hAnsi="Times New Roman" w:cs="Times New Roman"/>
          <w:lang w:eastAsia="en-GB"/>
        </w:rPr>
      </w:pPr>
    </w:p>
    <w:p w14:paraId="40664D26" w14:textId="77777777" w:rsidR="000215AD" w:rsidRDefault="000215AD" w:rsidP="00AE79E5">
      <w:pPr>
        <w:rPr>
          <w:rFonts w:ascii="Times New Roman" w:hAnsi="Times New Roman" w:cs="Times New Roman"/>
          <w:lang w:eastAsia="en-GB"/>
        </w:rPr>
      </w:pPr>
    </w:p>
    <w:p w14:paraId="3A876CEF" w14:textId="77777777" w:rsidR="000215AD" w:rsidRDefault="000215AD" w:rsidP="00AE79E5">
      <w:pPr>
        <w:rPr>
          <w:rFonts w:ascii="Times New Roman" w:hAnsi="Times New Roman" w:cs="Times New Roman"/>
          <w:lang w:eastAsia="en-GB"/>
        </w:rPr>
      </w:pPr>
    </w:p>
    <w:p w14:paraId="386D75F0" w14:textId="77777777" w:rsidR="000215AD" w:rsidRDefault="000215AD" w:rsidP="00AE79E5">
      <w:pPr>
        <w:rPr>
          <w:rFonts w:ascii="Times New Roman" w:hAnsi="Times New Roman" w:cs="Times New Roman"/>
          <w:lang w:eastAsia="en-GB"/>
        </w:rPr>
      </w:pPr>
    </w:p>
    <w:p w14:paraId="23A5E245" w14:textId="77777777" w:rsidR="000215AD" w:rsidRDefault="000215AD" w:rsidP="00AE79E5">
      <w:pPr>
        <w:rPr>
          <w:rFonts w:ascii="Times New Roman" w:hAnsi="Times New Roman" w:cs="Times New Roman"/>
          <w:lang w:eastAsia="en-GB"/>
        </w:rPr>
      </w:pPr>
    </w:p>
    <w:p w14:paraId="7159B710" w14:textId="77777777" w:rsidR="000215AD" w:rsidRDefault="000215AD" w:rsidP="00AE79E5">
      <w:pPr>
        <w:rPr>
          <w:rFonts w:ascii="Times New Roman" w:hAnsi="Times New Roman" w:cs="Times New Roman"/>
          <w:lang w:eastAsia="en-GB"/>
        </w:rPr>
      </w:pPr>
    </w:p>
    <w:p w14:paraId="79F10F41" w14:textId="77777777" w:rsidR="000215AD" w:rsidRDefault="000215AD" w:rsidP="00AE79E5">
      <w:pPr>
        <w:rPr>
          <w:rFonts w:ascii="Times New Roman" w:hAnsi="Times New Roman" w:cs="Times New Roman"/>
          <w:lang w:eastAsia="en-GB"/>
        </w:rPr>
      </w:pPr>
    </w:p>
    <w:p w14:paraId="13226E0C" w14:textId="77777777" w:rsidR="00AE79E5" w:rsidRPr="00785BF3" w:rsidRDefault="00AE79E5" w:rsidP="00106CFF">
      <w:pPr>
        <w:spacing w:line="360" w:lineRule="auto"/>
        <w:jc w:val="both"/>
        <w:rPr>
          <w:rFonts w:ascii="Times New Roman" w:hAnsi="Times New Roman" w:cs="Times New Roman"/>
        </w:rPr>
      </w:pPr>
    </w:p>
    <w:p w14:paraId="4B11A515" w14:textId="213071F1" w:rsidR="00083D72" w:rsidRPr="00AE79E5" w:rsidRDefault="00E24325" w:rsidP="008F44BA">
      <w:pPr>
        <w:pStyle w:val="Heading1"/>
        <w:numPr>
          <w:ilvl w:val="0"/>
          <w:numId w:val="26"/>
        </w:numPr>
        <w:spacing w:line="360" w:lineRule="auto"/>
        <w:jc w:val="both"/>
        <w:rPr>
          <w:rFonts w:ascii="Times New Roman" w:eastAsia="Times New Roman" w:hAnsi="Times New Roman" w:cs="Times New Roman"/>
          <w:b/>
          <w:bCs/>
          <w:color w:val="auto"/>
          <w:sz w:val="24"/>
          <w:szCs w:val="24"/>
          <w:lang w:eastAsia="en-GB"/>
        </w:rPr>
      </w:pPr>
      <w:bookmarkStart w:id="28" w:name="_Toc167763057"/>
      <w:r w:rsidRPr="00AE79E5">
        <w:rPr>
          <w:rFonts w:ascii="Times New Roman" w:eastAsia="Times New Roman" w:hAnsi="Times New Roman" w:cs="Times New Roman"/>
          <w:b/>
          <w:bCs/>
          <w:color w:val="auto"/>
          <w:sz w:val="24"/>
          <w:szCs w:val="24"/>
          <w:lang w:eastAsia="en-GB"/>
        </w:rPr>
        <w:lastRenderedPageBreak/>
        <w:t>Tables</w:t>
      </w:r>
      <w:bookmarkEnd w:id="28"/>
    </w:p>
    <w:tbl>
      <w:tblPr>
        <w:tblStyle w:val="TableGrid"/>
        <w:tblW w:w="5029" w:type="pct"/>
        <w:jc w:val="center"/>
        <w:tblLook w:val="04A0" w:firstRow="1" w:lastRow="0" w:firstColumn="1" w:lastColumn="0" w:noHBand="0" w:noVBand="1"/>
      </w:tblPr>
      <w:tblGrid>
        <w:gridCol w:w="9072"/>
      </w:tblGrid>
      <w:tr w:rsidR="00083D72" w:rsidRPr="00785BF3" w14:paraId="644B680E" w14:textId="77777777" w:rsidTr="00106CFF">
        <w:trPr>
          <w:trHeight w:val="86"/>
          <w:jc w:val="center"/>
        </w:trPr>
        <w:tc>
          <w:tcPr>
            <w:tcW w:w="5000" w:type="pct"/>
            <w:tcBorders>
              <w:left w:val="nil"/>
              <w:right w:val="nil"/>
            </w:tcBorders>
          </w:tcPr>
          <w:p w14:paraId="7EF6FCC1" w14:textId="25E9E885" w:rsidR="00083D72" w:rsidRPr="00537A5B" w:rsidRDefault="00537A5B" w:rsidP="00537A5B">
            <w:pPr>
              <w:jc w:val="center"/>
              <w:rPr>
                <w:rFonts w:ascii="Times New Roman" w:hAnsi="Times New Roman" w:cs="Times New Roman"/>
                <w:sz w:val="19"/>
                <w:szCs w:val="19"/>
              </w:rPr>
            </w:pPr>
            <w:bookmarkStart w:id="29" w:name="_Toc167763058"/>
            <w:r>
              <w:rPr>
                <w:rStyle w:val="Heading2Char"/>
                <w:rFonts w:ascii="Times New Roman" w:hAnsi="Times New Roman" w:cs="Times New Roman"/>
                <w:b/>
                <w:bCs/>
                <w:color w:val="auto"/>
                <w:sz w:val="19"/>
                <w:szCs w:val="19"/>
              </w:rPr>
              <w:t>T</w:t>
            </w:r>
            <w:r w:rsidR="00083D72" w:rsidRPr="00537A5B">
              <w:rPr>
                <w:rStyle w:val="Heading2Char"/>
                <w:rFonts w:ascii="Times New Roman" w:hAnsi="Times New Roman" w:cs="Times New Roman"/>
                <w:b/>
                <w:bCs/>
                <w:color w:val="auto"/>
                <w:sz w:val="19"/>
                <w:szCs w:val="19"/>
              </w:rPr>
              <w:t>able 1</w:t>
            </w:r>
            <w:bookmarkEnd w:id="29"/>
            <w:r w:rsidR="00083D72" w:rsidRPr="00537A5B">
              <w:rPr>
                <w:rFonts w:ascii="Times New Roman" w:hAnsi="Times New Roman" w:cs="Times New Roman"/>
                <w:sz w:val="19"/>
                <w:szCs w:val="19"/>
              </w:rPr>
              <w:t>: Industry and Yearly Distribution</w:t>
            </w:r>
          </w:p>
        </w:tc>
      </w:tr>
      <w:tr w:rsidR="00083D72" w:rsidRPr="00785BF3" w14:paraId="2CAECEF1" w14:textId="77777777" w:rsidTr="00744119">
        <w:trPr>
          <w:trHeight w:val="675"/>
          <w:jc w:val="center"/>
        </w:trPr>
        <w:tc>
          <w:tcPr>
            <w:tcW w:w="5000" w:type="pct"/>
            <w:tcBorders>
              <w:left w:val="nil"/>
              <w:bottom w:val="single" w:sz="4" w:space="0" w:color="auto"/>
              <w:right w:val="nil"/>
            </w:tcBorders>
          </w:tcPr>
          <w:p w14:paraId="3BE3C950" w14:textId="73201588" w:rsidR="00083D72" w:rsidRPr="00785BF3" w:rsidRDefault="00083D72" w:rsidP="00744119">
            <w:pPr>
              <w:rPr>
                <w:rFonts w:ascii="Times New Roman" w:hAnsi="Times New Roman" w:cs="Times New Roman"/>
                <w:sz w:val="19"/>
                <w:szCs w:val="19"/>
                <w:lang w:val="el-GR"/>
              </w:rPr>
            </w:pPr>
            <w:proofErr w:type="spellStart"/>
            <w:r w:rsidRPr="00785BF3">
              <w:rPr>
                <w:rFonts w:ascii="Times New Roman" w:hAnsi="Times New Roman" w:cs="Times New Roman"/>
                <w:sz w:val="19"/>
                <w:szCs w:val="19"/>
                <w:lang w:val="el-GR"/>
              </w:rPr>
              <w:t>This</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table</w:t>
            </w:r>
            <w:proofErr w:type="spellEnd"/>
            <w:r w:rsidRPr="00785BF3">
              <w:rPr>
                <w:rFonts w:ascii="Times New Roman" w:hAnsi="Times New Roman" w:cs="Times New Roman"/>
                <w:sz w:val="19"/>
                <w:szCs w:val="19"/>
                <w:lang w:val="el-GR"/>
              </w:rPr>
              <w:t xml:space="preserve"> </w:t>
            </w:r>
            <w:r w:rsidR="00313BEA">
              <w:rPr>
                <w:rFonts w:ascii="Times New Roman" w:hAnsi="Times New Roman" w:cs="Times New Roman"/>
                <w:sz w:val="19"/>
                <w:szCs w:val="19"/>
              </w:rPr>
              <w:t xml:space="preserve">illustrates </w:t>
            </w:r>
            <w:r w:rsidRPr="00785BF3">
              <w:rPr>
                <w:rFonts w:ascii="Times New Roman" w:hAnsi="Times New Roman" w:cs="Times New Roman"/>
                <w:sz w:val="19"/>
                <w:szCs w:val="19"/>
                <w:lang w:val="el-GR"/>
              </w:rPr>
              <w:t xml:space="preserve">the </w:t>
            </w:r>
            <w:proofErr w:type="spellStart"/>
            <w:r w:rsidRPr="00785BF3">
              <w:rPr>
                <w:rFonts w:ascii="Times New Roman" w:hAnsi="Times New Roman" w:cs="Times New Roman"/>
                <w:sz w:val="19"/>
                <w:szCs w:val="19"/>
                <w:lang w:val="el-GR"/>
              </w:rPr>
              <w:t>distribution</w:t>
            </w:r>
            <w:proofErr w:type="spellEnd"/>
            <w:r w:rsidRPr="00785BF3">
              <w:rPr>
                <w:rFonts w:ascii="Times New Roman" w:hAnsi="Times New Roman" w:cs="Times New Roman"/>
                <w:sz w:val="19"/>
                <w:szCs w:val="19"/>
                <w:lang w:val="el-GR"/>
              </w:rPr>
              <w:t xml:space="preserve"> of </w:t>
            </w:r>
            <w:proofErr w:type="spellStart"/>
            <w:r w:rsidRPr="00785BF3">
              <w:rPr>
                <w:rFonts w:ascii="Times New Roman" w:hAnsi="Times New Roman" w:cs="Times New Roman"/>
                <w:sz w:val="19"/>
                <w:szCs w:val="19"/>
                <w:lang w:val="el-GR"/>
              </w:rPr>
              <w:t>firm-year</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observations</w:t>
            </w:r>
            <w:proofErr w:type="spellEnd"/>
            <w:r w:rsidRPr="00785BF3">
              <w:rPr>
                <w:rFonts w:ascii="Times New Roman" w:hAnsi="Times New Roman" w:cs="Times New Roman"/>
                <w:sz w:val="19"/>
                <w:szCs w:val="19"/>
                <w:lang w:val="el-GR"/>
              </w:rPr>
              <w:t xml:space="preserve"> in </w:t>
            </w:r>
            <w:r w:rsidR="0009399F">
              <w:rPr>
                <w:rFonts w:ascii="Times New Roman" w:hAnsi="Times New Roman" w:cs="Times New Roman"/>
                <w:sz w:val="19"/>
                <w:szCs w:val="19"/>
              </w:rPr>
              <w:t>my</w:t>
            </w:r>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sample</w:t>
            </w:r>
            <w:proofErr w:type="spellEnd"/>
            <w:r w:rsidRPr="00785BF3">
              <w:rPr>
                <w:rFonts w:ascii="Times New Roman" w:hAnsi="Times New Roman" w:cs="Times New Roman"/>
                <w:sz w:val="19"/>
                <w:szCs w:val="19"/>
                <w:lang w:val="el-GR"/>
              </w:rPr>
              <w:t xml:space="preserve"> </w:t>
            </w:r>
            <w:r w:rsidR="00313BEA">
              <w:rPr>
                <w:rFonts w:ascii="Times New Roman" w:hAnsi="Times New Roman" w:cs="Times New Roman"/>
                <w:sz w:val="19"/>
                <w:szCs w:val="19"/>
              </w:rPr>
              <w:t>along with</w:t>
            </w:r>
            <w:r w:rsidRPr="00785BF3">
              <w:rPr>
                <w:rFonts w:ascii="Times New Roman" w:hAnsi="Times New Roman" w:cs="Times New Roman"/>
                <w:sz w:val="19"/>
                <w:szCs w:val="19"/>
                <w:lang w:val="el-GR"/>
              </w:rPr>
              <w:t xml:space="preserve"> the </w:t>
            </w:r>
            <w:proofErr w:type="spellStart"/>
            <w:r w:rsidRPr="00785BF3">
              <w:rPr>
                <w:rFonts w:ascii="Times New Roman" w:hAnsi="Times New Roman" w:cs="Times New Roman"/>
                <w:sz w:val="19"/>
                <w:szCs w:val="19"/>
                <w:lang w:val="el-GR"/>
              </w:rPr>
              <w:t>average</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values</w:t>
            </w:r>
            <w:proofErr w:type="spellEnd"/>
            <w:r w:rsidRPr="00785BF3">
              <w:rPr>
                <w:rFonts w:ascii="Times New Roman" w:hAnsi="Times New Roman" w:cs="Times New Roman"/>
                <w:sz w:val="19"/>
                <w:szCs w:val="19"/>
                <w:lang w:val="el-GR"/>
              </w:rPr>
              <w:t xml:space="preserve"> of </w:t>
            </w:r>
            <w:r w:rsidRPr="00785BF3">
              <w:rPr>
                <w:rFonts w:ascii="Times New Roman" w:hAnsi="Times New Roman" w:cs="Times New Roman"/>
                <w:sz w:val="19"/>
                <w:szCs w:val="19"/>
              </w:rPr>
              <w:t>SOA</w:t>
            </w:r>
            <w:r w:rsidRPr="00785BF3">
              <w:rPr>
                <w:rFonts w:ascii="Times New Roman" w:hAnsi="Times New Roman" w:cs="Times New Roman"/>
                <w:sz w:val="19"/>
                <w:szCs w:val="19"/>
                <w:lang w:val="el-GR"/>
              </w:rPr>
              <w:t xml:space="preserve"> and </w:t>
            </w:r>
            <w:r w:rsidRPr="00785BF3">
              <w:rPr>
                <w:rFonts w:ascii="Times New Roman" w:hAnsi="Times New Roman" w:cs="Times New Roman"/>
                <w:sz w:val="19"/>
                <w:szCs w:val="19"/>
              </w:rPr>
              <w:t>fraud</w:t>
            </w:r>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across</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industries</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Panel</w:t>
            </w:r>
            <w:proofErr w:type="spellEnd"/>
            <w:r w:rsidRPr="00785BF3">
              <w:rPr>
                <w:rFonts w:ascii="Times New Roman" w:hAnsi="Times New Roman" w:cs="Times New Roman"/>
                <w:sz w:val="19"/>
                <w:szCs w:val="19"/>
                <w:lang w:val="el-GR"/>
              </w:rPr>
              <w:t xml:space="preserve"> A </w:t>
            </w:r>
            <w:proofErr w:type="spellStart"/>
            <w:r w:rsidRPr="00785BF3">
              <w:rPr>
                <w:rFonts w:ascii="Times New Roman" w:hAnsi="Times New Roman" w:cs="Times New Roman"/>
                <w:sz w:val="19"/>
                <w:szCs w:val="19"/>
                <w:lang w:val="el-GR"/>
              </w:rPr>
              <w:t>reports</w:t>
            </w:r>
            <w:proofErr w:type="spellEnd"/>
            <w:r w:rsidRPr="00785BF3">
              <w:rPr>
                <w:rFonts w:ascii="Times New Roman" w:hAnsi="Times New Roman" w:cs="Times New Roman"/>
                <w:sz w:val="19"/>
                <w:szCs w:val="19"/>
                <w:lang w:val="el-GR"/>
              </w:rPr>
              <w:t xml:space="preserve"> the </w:t>
            </w:r>
            <w:r w:rsidR="00313BEA">
              <w:rPr>
                <w:rFonts w:ascii="Times New Roman" w:hAnsi="Times New Roman" w:cs="Times New Roman"/>
                <w:sz w:val="19"/>
                <w:szCs w:val="19"/>
              </w:rPr>
              <w:t xml:space="preserve">yearly </w:t>
            </w:r>
            <w:proofErr w:type="spellStart"/>
            <w:r w:rsidRPr="00785BF3">
              <w:rPr>
                <w:rFonts w:ascii="Times New Roman" w:hAnsi="Times New Roman" w:cs="Times New Roman"/>
                <w:sz w:val="19"/>
                <w:szCs w:val="19"/>
                <w:lang w:val="el-GR"/>
              </w:rPr>
              <w:t>distribution</w:t>
            </w:r>
            <w:proofErr w:type="spellEnd"/>
            <w:r w:rsidRPr="00785BF3">
              <w:rPr>
                <w:rFonts w:ascii="Times New Roman" w:hAnsi="Times New Roman" w:cs="Times New Roman"/>
                <w:sz w:val="19"/>
                <w:szCs w:val="19"/>
              </w:rPr>
              <w:t>.</w:t>
            </w:r>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Panel</w:t>
            </w:r>
            <w:proofErr w:type="spellEnd"/>
            <w:r w:rsidRPr="00785BF3">
              <w:rPr>
                <w:rFonts w:ascii="Times New Roman" w:hAnsi="Times New Roman" w:cs="Times New Roman"/>
                <w:sz w:val="19"/>
                <w:szCs w:val="19"/>
                <w:lang w:val="el-GR"/>
              </w:rPr>
              <w:t xml:space="preserve"> B </w:t>
            </w:r>
            <w:proofErr w:type="spellStart"/>
            <w:r w:rsidRPr="00785BF3">
              <w:rPr>
                <w:rFonts w:ascii="Times New Roman" w:hAnsi="Times New Roman" w:cs="Times New Roman"/>
                <w:sz w:val="19"/>
                <w:szCs w:val="19"/>
                <w:lang w:val="el-GR"/>
              </w:rPr>
              <w:t>displays</w:t>
            </w:r>
            <w:proofErr w:type="spellEnd"/>
            <w:r w:rsidRPr="00785BF3">
              <w:rPr>
                <w:rFonts w:ascii="Times New Roman" w:hAnsi="Times New Roman" w:cs="Times New Roman"/>
                <w:sz w:val="19"/>
                <w:szCs w:val="19"/>
                <w:lang w:val="el-GR"/>
              </w:rPr>
              <w:t xml:space="preserve"> the </w:t>
            </w:r>
            <w:proofErr w:type="spellStart"/>
            <w:r w:rsidRPr="00785BF3">
              <w:rPr>
                <w:rFonts w:ascii="Times New Roman" w:hAnsi="Times New Roman" w:cs="Times New Roman"/>
                <w:sz w:val="19"/>
                <w:szCs w:val="19"/>
                <w:lang w:val="el-GR"/>
              </w:rPr>
              <w:t>distribution</w:t>
            </w:r>
            <w:proofErr w:type="spellEnd"/>
            <w:r w:rsidRPr="00785BF3">
              <w:rPr>
                <w:rFonts w:ascii="Times New Roman" w:hAnsi="Times New Roman" w:cs="Times New Roman"/>
                <w:sz w:val="19"/>
                <w:szCs w:val="19"/>
                <w:lang w:val="el-GR"/>
              </w:rPr>
              <w:t xml:space="preserve"> of </w:t>
            </w:r>
            <w:r w:rsidRPr="00785BF3">
              <w:rPr>
                <w:rFonts w:ascii="Times New Roman" w:hAnsi="Times New Roman" w:cs="Times New Roman"/>
                <w:sz w:val="19"/>
                <w:szCs w:val="19"/>
              </w:rPr>
              <w:t>the</w:t>
            </w:r>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sample</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across</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industries</w:t>
            </w:r>
            <w:proofErr w:type="spellEnd"/>
            <w:r w:rsidRPr="00785BF3">
              <w:rPr>
                <w:rFonts w:ascii="Times New Roman" w:hAnsi="Times New Roman" w:cs="Times New Roman"/>
                <w:sz w:val="19"/>
                <w:szCs w:val="19"/>
              </w:rPr>
              <w:t>. All variables are identified and defined in Appendix A.</w:t>
            </w:r>
          </w:p>
        </w:tc>
      </w:tr>
    </w:tbl>
    <w:p w14:paraId="4945B4F7" w14:textId="77777777" w:rsidR="00083D72" w:rsidRPr="00785BF3" w:rsidRDefault="00083D72" w:rsidP="00083D72">
      <w:pPr>
        <w:rPr>
          <w:rFonts w:ascii="Times New Roman" w:hAnsi="Times New Roman" w:cs="Times New Roman"/>
          <w:sz w:val="19"/>
          <w:szCs w:val="19"/>
        </w:rPr>
      </w:pPr>
    </w:p>
    <w:tbl>
      <w:tblPr>
        <w:tblStyle w:val="TableGrid"/>
        <w:tblpPr w:leftFromText="180" w:rightFromText="180" w:vertAnchor="text" w:horzAnchor="margin" w:tblpY="-67"/>
        <w:tblW w:w="5029" w:type="pct"/>
        <w:tblLook w:val="04A0" w:firstRow="1" w:lastRow="0" w:firstColumn="1" w:lastColumn="0" w:noHBand="0" w:noVBand="1"/>
      </w:tblPr>
      <w:tblGrid>
        <w:gridCol w:w="1835"/>
        <w:gridCol w:w="1834"/>
        <w:gridCol w:w="1834"/>
        <w:gridCol w:w="1834"/>
        <w:gridCol w:w="1735"/>
      </w:tblGrid>
      <w:tr w:rsidR="00083D72" w:rsidRPr="00785BF3" w14:paraId="36730705" w14:textId="77777777" w:rsidTr="00106CFF">
        <w:trPr>
          <w:trHeight w:val="130"/>
        </w:trPr>
        <w:tc>
          <w:tcPr>
            <w:tcW w:w="5000" w:type="pct"/>
            <w:gridSpan w:val="5"/>
            <w:tcBorders>
              <w:left w:val="nil"/>
              <w:bottom w:val="single" w:sz="4" w:space="0" w:color="auto"/>
              <w:right w:val="nil"/>
            </w:tcBorders>
          </w:tcPr>
          <w:p w14:paraId="4E1FD67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b/>
                <w:bCs/>
                <w:sz w:val="19"/>
                <w:szCs w:val="19"/>
                <w:lang w:val="en-US"/>
              </w:rPr>
              <w:t>Panel A</w:t>
            </w:r>
            <w:r w:rsidRPr="00785BF3">
              <w:rPr>
                <w:rFonts w:ascii="Times New Roman" w:hAnsi="Times New Roman" w:cs="Times New Roman"/>
                <w:sz w:val="19"/>
                <w:szCs w:val="19"/>
                <w:lang w:val="en-US"/>
              </w:rPr>
              <w:t>: Yearly Distribution</w:t>
            </w:r>
          </w:p>
        </w:tc>
      </w:tr>
      <w:tr w:rsidR="00083D72" w:rsidRPr="00785BF3" w14:paraId="76F74CD5" w14:textId="77777777" w:rsidTr="00083D72">
        <w:trPr>
          <w:trHeight w:val="309"/>
        </w:trPr>
        <w:tc>
          <w:tcPr>
            <w:tcW w:w="1011" w:type="pct"/>
            <w:tcBorders>
              <w:left w:val="nil"/>
              <w:bottom w:val="single" w:sz="4" w:space="0" w:color="auto"/>
              <w:right w:val="nil"/>
            </w:tcBorders>
          </w:tcPr>
          <w:p w14:paraId="75E10D5A"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Year</w:t>
            </w:r>
          </w:p>
        </w:tc>
        <w:tc>
          <w:tcPr>
            <w:tcW w:w="1011" w:type="pct"/>
            <w:tcBorders>
              <w:left w:val="nil"/>
              <w:bottom w:val="single" w:sz="4" w:space="0" w:color="auto"/>
              <w:right w:val="nil"/>
            </w:tcBorders>
          </w:tcPr>
          <w:p w14:paraId="55CA1AE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Obs.</w:t>
            </w:r>
          </w:p>
        </w:tc>
        <w:tc>
          <w:tcPr>
            <w:tcW w:w="1011" w:type="pct"/>
            <w:tcBorders>
              <w:left w:val="nil"/>
              <w:bottom w:val="single" w:sz="4" w:space="0" w:color="auto"/>
              <w:right w:val="nil"/>
            </w:tcBorders>
          </w:tcPr>
          <w:p w14:paraId="4577B8D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w:t>
            </w:r>
          </w:p>
        </w:tc>
        <w:tc>
          <w:tcPr>
            <w:tcW w:w="1011" w:type="pct"/>
            <w:tcBorders>
              <w:left w:val="nil"/>
              <w:bottom w:val="single" w:sz="4" w:space="0" w:color="auto"/>
              <w:right w:val="nil"/>
            </w:tcBorders>
          </w:tcPr>
          <w:p w14:paraId="1CFBA3B2"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SOA</w:t>
            </w:r>
          </w:p>
        </w:tc>
        <w:tc>
          <w:tcPr>
            <w:tcW w:w="956" w:type="pct"/>
            <w:tcBorders>
              <w:left w:val="nil"/>
              <w:bottom w:val="single" w:sz="4" w:space="0" w:color="auto"/>
              <w:right w:val="nil"/>
            </w:tcBorders>
          </w:tcPr>
          <w:p w14:paraId="7CC399F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Misstate</w:t>
            </w:r>
          </w:p>
        </w:tc>
      </w:tr>
      <w:tr w:rsidR="00083D72" w:rsidRPr="00785BF3" w14:paraId="7294402C" w14:textId="77777777" w:rsidTr="00083D72">
        <w:trPr>
          <w:trHeight w:val="129"/>
        </w:trPr>
        <w:tc>
          <w:tcPr>
            <w:tcW w:w="1011" w:type="pct"/>
            <w:tcBorders>
              <w:top w:val="single" w:sz="4" w:space="0" w:color="auto"/>
              <w:left w:val="nil"/>
              <w:bottom w:val="nil"/>
              <w:right w:val="nil"/>
            </w:tcBorders>
          </w:tcPr>
          <w:p w14:paraId="084B83F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1998</w:t>
            </w:r>
          </w:p>
        </w:tc>
        <w:tc>
          <w:tcPr>
            <w:tcW w:w="1011" w:type="pct"/>
            <w:tcBorders>
              <w:top w:val="single" w:sz="4" w:space="0" w:color="auto"/>
              <w:left w:val="nil"/>
              <w:bottom w:val="nil"/>
              <w:right w:val="nil"/>
            </w:tcBorders>
          </w:tcPr>
          <w:p w14:paraId="54133715"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231</w:t>
            </w:r>
          </w:p>
        </w:tc>
        <w:tc>
          <w:tcPr>
            <w:tcW w:w="1011" w:type="pct"/>
            <w:tcBorders>
              <w:top w:val="single" w:sz="4" w:space="0" w:color="auto"/>
              <w:left w:val="nil"/>
              <w:bottom w:val="nil"/>
              <w:right w:val="nil"/>
            </w:tcBorders>
          </w:tcPr>
          <w:p w14:paraId="003506F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7.82</w:t>
            </w:r>
          </w:p>
        </w:tc>
        <w:tc>
          <w:tcPr>
            <w:tcW w:w="1011" w:type="pct"/>
            <w:tcBorders>
              <w:top w:val="single" w:sz="4" w:space="0" w:color="auto"/>
              <w:left w:val="nil"/>
              <w:bottom w:val="nil"/>
              <w:right w:val="nil"/>
            </w:tcBorders>
          </w:tcPr>
          <w:p w14:paraId="0D59A9A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0.55</w:t>
            </w:r>
          </w:p>
        </w:tc>
        <w:tc>
          <w:tcPr>
            <w:tcW w:w="956" w:type="pct"/>
            <w:tcBorders>
              <w:top w:val="single" w:sz="4" w:space="0" w:color="auto"/>
              <w:left w:val="nil"/>
              <w:bottom w:val="nil"/>
              <w:right w:val="nil"/>
            </w:tcBorders>
          </w:tcPr>
          <w:p w14:paraId="43CEE0D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0.05</w:t>
            </w:r>
          </w:p>
        </w:tc>
      </w:tr>
      <w:tr w:rsidR="00083D72" w:rsidRPr="00785BF3" w14:paraId="5C506E28" w14:textId="77777777" w:rsidTr="00083D72">
        <w:trPr>
          <w:trHeight w:val="129"/>
        </w:trPr>
        <w:tc>
          <w:tcPr>
            <w:tcW w:w="1011" w:type="pct"/>
            <w:tcBorders>
              <w:top w:val="nil"/>
              <w:left w:val="nil"/>
              <w:bottom w:val="nil"/>
              <w:right w:val="nil"/>
            </w:tcBorders>
          </w:tcPr>
          <w:p w14:paraId="3C6EC08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1999</w:t>
            </w:r>
          </w:p>
        </w:tc>
        <w:tc>
          <w:tcPr>
            <w:tcW w:w="1011" w:type="pct"/>
            <w:tcBorders>
              <w:top w:val="nil"/>
              <w:left w:val="nil"/>
              <w:bottom w:val="nil"/>
              <w:right w:val="nil"/>
            </w:tcBorders>
          </w:tcPr>
          <w:p w14:paraId="7FDC240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223</w:t>
            </w:r>
          </w:p>
        </w:tc>
        <w:tc>
          <w:tcPr>
            <w:tcW w:w="1011" w:type="pct"/>
            <w:tcBorders>
              <w:top w:val="nil"/>
              <w:left w:val="nil"/>
              <w:bottom w:val="nil"/>
              <w:right w:val="nil"/>
            </w:tcBorders>
          </w:tcPr>
          <w:p w14:paraId="3B5FE4F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7.55</w:t>
            </w:r>
          </w:p>
        </w:tc>
        <w:tc>
          <w:tcPr>
            <w:tcW w:w="1011" w:type="pct"/>
            <w:tcBorders>
              <w:top w:val="nil"/>
              <w:left w:val="nil"/>
              <w:bottom w:val="nil"/>
              <w:right w:val="nil"/>
            </w:tcBorders>
          </w:tcPr>
          <w:p w14:paraId="68E05E80"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0.57</w:t>
            </w:r>
          </w:p>
        </w:tc>
        <w:tc>
          <w:tcPr>
            <w:tcW w:w="956" w:type="pct"/>
            <w:tcBorders>
              <w:top w:val="nil"/>
              <w:left w:val="nil"/>
              <w:bottom w:val="nil"/>
              <w:right w:val="nil"/>
            </w:tcBorders>
          </w:tcPr>
          <w:p w14:paraId="0296553B"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0.04</w:t>
            </w:r>
          </w:p>
        </w:tc>
      </w:tr>
      <w:tr w:rsidR="00083D72" w:rsidRPr="00785BF3" w14:paraId="22B8ACEB" w14:textId="77777777" w:rsidTr="00083D72">
        <w:trPr>
          <w:trHeight w:val="119"/>
        </w:trPr>
        <w:tc>
          <w:tcPr>
            <w:tcW w:w="1011" w:type="pct"/>
            <w:tcBorders>
              <w:top w:val="nil"/>
              <w:left w:val="nil"/>
              <w:bottom w:val="nil"/>
              <w:right w:val="nil"/>
            </w:tcBorders>
          </w:tcPr>
          <w:p w14:paraId="149ED77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2000</w:t>
            </w:r>
          </w:p>
        </w:tc>
        <w:tc>
          <w:tcPr>
            <w:tcW w:w="1011" w:type="pct"/>
            <w:tcBorders>
              <w:top w:val="nil"/>
              <w:left w:val="nil"/>
              <w:bottom w:val="nil"/>
              <w:right w:val="nil"/>
            </w:tcBorders>
          </w:tcPr>
          <w:p w14:paraId="2CBBCB8A"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215</w:t>
            </w:r>
          </w:p>
        </w:tc>
        <w:tc>
          <w:tcPr>
            <w:tcW w:w="1011" w:type="pct"/>
            <w:tcBorders>
              <w:top w:val="nil"/>
              <w:left w:val="nil"/>
              <w:bottom w:val="nil"/>
              <w:right w:val="nil"/>
            </w:tcBorders>
          </w:tcPr>
          <w:p w14:paraId="3B7C3D8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7.28</w:t>
            </w:r>
          </w:p>
        </w:tc>
        <w:tc>
          <w:tcPr>
            <w:tcW w:w="1011" w:type="pct"/>
            <w:tcBorders>
              <w:top w:val="nil"/>
              <w:left w:val="nil"/>
              <w:bottom w:val="nil"/>
              <w:right w:val="nil"/>
            </w:tcBorders>
          </w:tcPr>
          <w:p w14:paraId="2851606D"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0.59</w:t>
            </w:r>
          </w:p>
        </w:tc>
        <w:tc>
          <w:tcPr>
            <w:tcW w:w="956" w:type="pct"/>
            <w:tcBorders>
              <w:top w:val="nil"/>
              <w:left w:val="nil"/>
              <w:bottom w:val="nil"/>
              <w:right w:val="nil"/>
            </w:tcBorders>
          </w:tcPr>
          <w:p w14:paraId="54ECFD27"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0.04</w:t>
            </w:r>
          </w:p>
        </w:tc>
      </w:tr>
      <w:tr w:rsidR="00083D72" w:rsidRPr="00785BF3" w14:paraId="1635305C" w14:textId="77777777" w:rsidTr="00083D72">
        <w:trPr>
          <w:trHeight w:val="50"/>
        </w:trPr>
        <w:tc>
          <w:tcPr>
            <w:tcW w:w="1011" w:type="pct"/>
            <w:tcBorders>
              <w:top w:val="nil"/>
              <w:left w:val="nil"/>
              <w:bottom w:val="nil"/>
              <w:right w:val="nil"/>
            </w:tcBorders>
          </w:tcPr>
          <w:p w14:paraId="21CE6E7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2001</w:t>
            </w:r>
          </w:p>
        </w:tc>
        <w:tc>
          <w:tcPr>
            <w:tcW w:w="1011" w:type="pct"/>
            <w:tcBorders>
              <w:top w:val="nil"/>
              <w:left w:val="nil"/>
              <w:bottom w:val="nil"/>
              <w:right w:val="nil"/>
            </w:tcBorders>
          </w:tcPr>
          <w:p w14:paraId="07719751"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227</w:t>
            </w:r>
          </w:p>
        </w:tc>
        <w:tc>
          <w:tcPr>
            <w:tcW w:w="1011" w:type="pct"/>
            <w:tcBorders>
              <w:top w:val="nil"/>
              <w:left w:val="nil"/>
              <w:bottom w:val="nil"/>
              <w:right w:val="nil"/>
            </w:tcBorders>
          </w:tcPr>
          <w:p w14:paraId="2BC6B31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7.69</w:t>
            </w:r>
          </w:p>
        </w:tc>
        <w:tc>
          <w:tcPr>
            <w:tcW w:w="1011" w:type="pct"/>
            <w:tcBorders>
              <w:top w:val="nil"/>
              <w:left w:val="nil"/>
              <w:bottom w:val="nil"/>
              <w:right w:val="nil"/>
            </w:tcBorders>
          </w:tcPr>
          <w:p w14:paraId="00D1BA86"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0.61</w:t>
            </w:r>
          </w:p>
        </w:tc>
        <w:tc>
          <w:tcPr>
            <w:tcW w:w="956" w:type="pct"/>
            <w:tcBorders>
              <w:top w:val="nil"/>
              <w:left w:val="nil"/>
              <w:bottom w:val="nil"/>
              <w:right w:val="nil"/>
            </w:tcBorders>
          </w:tcPr>
          <w:p w14:paraId="08ED6480"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0.04</w:t>
            </w:r>
          </w:p>
        </w:tc>
      </w:tr>
      <w:tr w:rsidR="00083D72" w:rsidRPr="00785BF3" w14:paraId="67227528" w14:textId="77777777" w:rsidTr="00083D72">
        <w:trPr>
          <w:trHeight w:val="99"/>
        </w:trPr>
        <w:tc>
          <w:tcPr>
            <w:tcW w:w="1011" w:type="pct"/>
            <w:tcBorders>
              <w:top w:val="nil"/>
              <w:left w:val="nil"/>
              <w:bottom w:val="nil"/>
              <w:right w:val="nil"/>
            </w:tcBorders>
          </w:tcPr>
          <w:p w14:paraId="118CFEB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2002</w:t>
            </w:r>
          </w:p>
        </w:tc>
        <w:tc>
          <w:tcPr>
            <w:tcW w:w="1011" w:type="pct"/>
            <w:tcBorders>
              <w:top w:val="nil"/>
              <w:left w:val="nil"/>
              <w:bottom w:val="nil"/>
              <w:right w:val="nil"/>
            </w:tcBorders>
          </w:tcPr>
          <w:p w14:paraId="6913B68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236</w:t>
            </w:r>
          </w:p>
        </w:tc>
        <w:tc>
          <w:tcPr>
            <w:tcW w:w="1011" w:type="pct"/>
            <w:tcBorders>
              <w:top w:val="nil"/>
              <w:left w:val="nil"/>
              <w:bottom w:val="nil"/>
              <w:right w:val="nil"/>
            </w:tcBorders>
          </w:tcPr>
          <w:p w14:paraId="344D987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7.99</w:t>
            </w:r>
          </w:p>
        </w:tc>
        <w:tc>
          <w:tcPr>
            <w:tcW w:w="1011" w:type="pct"/>
            <w:tcBorders>
              <w:top w:val="nil"/>
              <w:left w:val="nil"/>
              <w:bottom w:val="nil"/>
              <w:right w:val="nil"/>
            </w:tcBorders>
          </w:tcPr>
          <w:p w14:paraId="1FDFF44A"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0.61</w:t>
            </w:r>
          </w:p>
        </w:tc>
        <w:tc>
          <w:tcPr>
            <w:tcW w:w="956" w:type="pct"/>
            <w:tcBorders>
              <w:top w:val="nil"/>
              <w:left w:val="nil"/>
              <w:bottom w:val="nil"/>
              <w:right w:val="nil"/>
            </w:tcBorders>
          </w:tcPr>
          <w:p w14:paraId="6DAB7E8A"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0.02</w:t>
            </w:r>
          </w:p>
        </w:tc>
      </w:tr>
      <w:tr w:rsidR="00083D72" w:rsidRPr="00785BF3" w14:paraId="7E5B760B" w14:textId="77777777" w:rsidTr="00083D72">
        <w:trPr>
          <w:trHeight w:val="219"/>
        </w:trPr>
        <w:tc>
          <w:tcPr>
            <w:tcW w:w="1011" w:type="pct"/>
            <w:tcBorders>
              <w:top w:val="nil"/>
              <w:left w:val="nil"/>
              <w:bottom w:val="nil"/>
              <w:right w:val="nil"/>
            </w:tcBorders>
          </w:tcPr>
          <w:p w14:paraId="2FF577A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2003</w:t>
            </w:r>
          </w:p>
        </w:tc>
        <w:tc>
          <w:tcPr>
            <w:tcW w:w="1011" w:type="pct"/>
            <w:tcBorders>
              <w:top w:val="nil"/>
              <w:left w:val="nil"/>
              <w:bottom w:val="nil"/>
              <w:right w:val="nil"/>
            </w:tcBorders>
          </w:tcPr>
          <w:p w14:paraId="76FBAEE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245</w:t>
            </w:r>
          </w:p>
        </w:tc>
        <w:tc>
          <w:tcPr>
            <w:tcW w:w="1011" w:type="pct"/>
            <w:tcBorders>
              <w:top w:val="nil"/>
              <w:left w:val="nil"/>
              <w:bottom w:val="nil"/>
              <w:right w:val="nil"/>
            </w:tcBorders>
          </w:tcPr>
          <w:p w14:paraId="3072F74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8.30</w:t>
            </w:r>
          </w:p>
        </w:tc>
        <w:tc>
          <w:tcPr>
            <w:tcW w:w="1011" w:type="pct"/>
            <w:tcBorders>
              <w:top w:val="nil"/>
              <w:left w:val="nil"/>
              <w:bottom w:val="nil"/>
              <w:right w:val="nil"/>
            </w:tcBorders>
          </w:tcPr>
          <w:p w14:paraId="4585C473"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0.61</w:t>
            </w:r>
          </w:p>
        </w:tc>
        <w:tc>
          <w:tcPr>
            <w:tcW w:w="956" w:type="pct"/>
            <w:tcBorders>
              <w:top w:val="nil"/>
              <w:left w:val="nil"/>
              <w:bottom w:val="nil"/>
              <w:right w:val="nil"/>
            </w:tcBorders>
          </w:tcPr>
          <w:p w14:paraId="37CE3F34"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0.02</w:t>
            </w:r>
          </w:p>
        </w:tc>
      </w:tr>
      <w:tr w:rsidR="00083D72" w:rsidRPr="00785BF3" w14:paraId="7F52C3CA" w14:textId="77777777" w:rsidTr="00083D72">
        <w:trPr>
          <w:trHeight w:val="209"/>
        </w:trPr>
        <w:tc>
          <w:tcPr>
            <w:tcW w:w="1011" w:type="pct"/>
            <w:tcBorders>
              <w:top w:val="nil"/>
              <w:left w:val="nil"/>
              <w:bottom w:val="nil"/>
              <w:right w:val="nil"/>
            </w:tcBorders>
          </w:tcPr>
          <w:p w14:paraId="15CC812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2004</w:t>
            </w:r>
          </w:p>
        </w:tc>
        <w:tc>
          <w:tcPr>
            <w:tcW w:w="1011" w:type="pct"/>
            <w:tcBorders>
              <w:top w:val="nil"/>
              <w:left w:val="nil"/>
              <w:bottom w:val="nil"/>
              <w:right w:val="nil"/>
            </w:tcBorders>
          </w:tcPr>
          <w:p w14:paraId="61828FA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249</w:t>
            </w:r>
          </w:p>
        </w:tc>
        <w:tc>
          <w:tcPr>
            <w:tcW w:w="1011" w:type="pct"/>
            <w:tcBorders>
              <w:top w:val="nil"/>
              <w:left w:val="nil"/>
              <w:bottom w:val="nil"/>
              <w:right w:val="nil"/>
            </w:tcBorders>
          </w:tcPr>
          <w:p w14:paraId="68CDCA2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8.43</w:t>
            </w:r>
          </w:p>
        </w:tc>
        <w:tc>
          <w:tcPr>
            <w:tcW w:w="1011" w:type="pct"/>
            <w:tcBorders>
              <w:top w:val="nil"/>
              <w:left w:val="nil"/>
              <w:bottom w:val="nil"/>
              <w:right w:val="nil"/>
            </w:tcBorders>
          </w:tcPr>
          <w:p w14:paraId="39D0A411"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0.59</w:t>
            </w:r>
          </w:p>
        </w:tc>
        <w:tc>
          <w:tcPr>
            <w:tcW w:w="956" w:type="pct"/>
            <w:tcBorders>
              <w:top w:val="nil"/>
              <w:left w:val="nil"/>
              <w:bottom w:val="nil"/>
              <w:right w:val="nil"/>
            </w:tcBorders>
          </w:tcPr>
          <w:p w14:paraId="1432E39D"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0.02</w:t>
            </w:r>
          </w:p>
        </w:tc>
      </w:tr>
      <w:tr w:rsidR="00083D72" w:rsidRPr="00785BF3" w14:paraId="21C5763F" w14:textId="77777777" w:rsidTr="00083D72">
        <w:trPr>
          <w:trHeight w:val="99"/>
        </w:trPr>
        <w:tc>
          <w:tcPr>
            <w:tcW w:w="1011" w:type="pct"/>
            <w:tcBorders>
              <w:top w:val="nil"/>
              <w:left w:val="nil"/>
              <w:bottom w:val="nil"/>
              <w:right w:val="nil"/>
            </w:tcBorders>
          </w:tcPr>
          <w:p w14:paraId="252E20B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2005</w:t>
            </w:r>
          </w:p>
        </w:tc>
        <w:tc>
          <w:tcPr>
            <w:tcW w:w="1011" w:type="pct"/>
            <w:tcBorders>
              <w:top w:val="nil"/>
              <w:left w:val="nil"/>
              <w:bottom w:val="nil"/>
              <w:right w:val="nil"/>
            </w:tcBorders>
          </w:tcPr>
          <w:p w14:paraId="75A9913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253</w:t>
            </w:r>
          </w:p>
        </w:tc>
        <w:tc>
          <w:tcPr>
            <w:tcW w:w="1011" w:type="pct"/>
            <w:tcBorders>
              <w:top w:val="nil"/>
              <w:left w:val="nil"/>
              <w:bottom w:val="nil"/>
              <w:right w:val="nil"/>
            </w:tcBorders>
          </w:tcPr>
          <w:p w14:paraId="05343C6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8.57</w:t>
            </w:r>
          </w:p>
        </w:tc>
        <w:tc>
          <w:tcPr>
            <w:tcW w:w="1011" w:type="pct"/>
            <w:tcBorders>
              <w:top w:val="nil"/>
              <w:left w:val="nil"/>
              <w:bottom w:val="nil"/>
              <w:right w:val="nil"/>
            </w:tcBorders>
          </w:tcPr>
          <w:p w14:paraId="3FFD099D"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0.55</w:t>
            </w:r>
          </w:p>
        </w:tc>
        <w:tc>
          <w:tcPr>
            <w:tcW w:w="956" w:type="pct"/>
            <w:tcBorders>
              <w:top w:val="nil"/>
              <w:left w:val="nil"/>
              <w:bottom w:val="nil"/>
              <w:right w:val="nil"/>
            </w:tcBorders>
          </w:tcPr>
          <w:p w14:paraId="6966A499"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0.02</w:t>
            </w:r>
          </w:p>
        </w:tc>
      </w:tr>
      <w:tr w:rsidR="00083D72" w:rsidRPr="00785BF3" w14:paraId="00816D18" w14:textId="77777777" w:rsidTr="00083D72">
        <w:trPr>
          <w:trHeight w:val="99"/>
        </w:trPr>
        <w:tc>
          <w:tcPr>
            <w:tcW w:w="1011" w:type="pct"/>
            <w:tcBorders>
              <w:top w:val="nil"/>
              <w:left w:val="nil"/>
              <w:bottom w:val="nil"/>
              <w:right w:val="nil"/>
            </w:tcBorders>
          </w:tcPr>
          <w:p w14:paraId="2F56219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2006</w:t>
            </w:r>
          </w:p>
        </w:tc>
        <w:tc>
          <w:tcPr>
            <w:tcW w:w="1011" w:type="pct"/>
            <w:tcBorders>
              <w:top w:val="nil"/>
              <w:left w:val="nil"/>
              <w:bottom w:val="nil"/>
              <w:right w:val="nil"/>
            </w:tcBorders>
          </w:tcPr>
          <w:p w14:paraId="1654258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270</w:t>
            </w:r>
          </w:p>
        </w:tc>
        <w:tc>
          <w:tcPr>
            <w:tcW w:w="1011" w:type="pct"/>
            <w:tcBorders>
              <w:top w:val="nil"/>
              <w:left w:val="nil"/>
              <w:bottom w:val="nil"/>
              <w:right w:val="nil"/>
            </w:tcBorders>
          </w:tcPr>
          <w:p w14:paraId="35308D4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9.14</w:t>
            </w:r>
          </w:p>
        </w:tc>
        <w:tc>
          <w:tcPr>
            <w:tcW w:w="1011" w:type="pct"/>
            <w:tcBorders>
              <w:top w:val="nil"/>
              <w:left w:val="nil"/>
              <w:bottom w:val="nil"/>
              <w:right w:val="nil"/>
            </w:tcBorders>
          </w:tcPr>
          <w:p w14:paraId="22A993F9"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0.51</w:t>
            </w:r>
          </w:p>
        </w:tc>
        <w:tc>
          <w:tcPr>
            <w:tcW w:w="956" w:type="pct"/>
            <w:tcBorders>
              <w:top w:val="nil"/>
              <w:left w:val="nil"/>
              <w:bottom w:val="nil"/>
              <w:right w:val="nil"/>
            </w:tcBorders>
          </w:tcPr>
          <w:p w14:paraId="5E9E787E"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0.02</w:t>
            </w:r>
          </w:p>
        </w:tc>
      </w:tr>
      <w:tr w:rsidR="00083D72" w:rsidRPr="00785BF3" w14:paraId="61EBFE93" w14:textId="77777777" w:rsidTr="00083D72">
        <w:trPr>
          <w:trHeight w:val="99"/>
        </w:trPr>
        <w:tc>
          <w:tcPr>
            <w:tcW w:w="1011" w:type="pct"/>
            <w:tcBorders>
              <w:top w:val="nil"/>
              <w:left w:val="nil"/>
              <w:bottom w:val="nil"/>
              <w:right w:val="nil"/>
            </w:tcBorders>
          </w:tcPr>
          <w:p w14:paraId="0042D3B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2007</w:t>
            </w:r>
          </w:p>
        </w:tc>
        <w:tc>
          <w:tcPr>
            <w:tcW w:w="1011" w:type="pct"/>
            <w:tcBorders>
              <w:top w:val="nil"/>
              <w:left w:val="nil"/>
              <w:bottom w:val="nil"/>
              <w:right w:val="nil"/>
            </w:tcBorders>
          </w:tcPr>
          <w:p w14:paraId="1EC1BEF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274</w:t>
            </w:r>
          </w:p>
        </w:tc>
        <w:tc>
          <w:tcPr>
            <w:tcW w:w="1011" w:type="pct"/>
            <w:tcBorders>
              <w:top w:val="nil"/>
              <w:left w:val="nil"/>
              <w:bottom w:val="nil"/>
              <w:right w:val="nil"/>
            </w:tcBorders>
          </w:tcPr>
          <w:p w14:paraId="09C8161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9.28</w:t>
            </w:r>
          </w:p>
        </w:tc>
        <w:tc>
          <w:tcPr>
            <w:tcW w:w="1011" w:type="pct"/>
            <w:tcBorders>
              <w:top w:val="nil"/>
              <w:left w:val="nil"/>
              <w:bottom w:val="nil"/>
              <w:right w:val="nil"/>
            </w:tcBorders>
          </w:tcPr>
          <w:p w14:paraId="5C04EE5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0.49</w:t>
            </w:r>
          </w:p>
        </w:tc>
        <w:tc>
          <w:tcPr>
            <w:tcW w:w="956" w:type="pct"/>
            <w:tcBorders>
              <w:top w:val="nil"/>
              <w:left w:val="nil"/>
              <w:bottom w:val="nil"/>
              <w:right w:val="nil"/>
            </w:tcBorders>
          </w:tcPr>
          <w:p w14:paraId="4439367C"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0.01</w:t>
            </w:r>
          </w:p>
        </w:tc>
      </w:tr>
      <w:tr w:rsidR="00083D72" w:rsidRPr="00785BF3" w14:paraId="47CC5CFD" w14:textId="77777777" w:rsidTr="00083D72">
        <w:trPr>
          <w:trHeight w:val="99"/>
        </w:trPr>
        <w:tc>
          <w:tcPr>
            <w:tcW w:w="1011" w:type="pct"/>
            <w:tcBorders>
              <w:top w:val="nil"/>
              <w:left w:val="nil"/>
              <w:bottom w:val="nil"/>
              <w:right w:val="nil"/>
            </w:tcBorders>
          </w:tcPr>
          <w:p w14:paraId="35922AD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2008</w:t>
            </w:r>
          </w:p>
        </w:tc>
        <w:tc>
          <w:tcPr>
            <w:tcW w:w="1011" w:type="pct"/>
            <w:tcBorders>
              <w:top w:val="nil"/>
              <w:left w:val="nil"/>
              <w:bottom w:val="nil"/>
              <w:right w:val="nil"/>
            </w:tcBorders>
          </w:tcPr>
          <w:p w14:paraId="438240F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283</w:t>
            </w:r>
          </w:p>
        </w:tc>
        <w:tc>
          <w:tcPr>
            <w:tcW w:w="1011" w:type="pct"/>
            <w:tcBorders>
              <w:top w:val="nil"/>
              <w:left w:val="nil"/>
              <w:bottom w:val="nil"/>
              <w:right w:val="nil"/>
            </w:tcBorders>
          </w:tcPr>
          <w:p w14:paraId="7703FD4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9.58</w:t>
            </w:r>
          </w:p>
        </w:tc>
        <w:tc>
          <w:tcPr>
            <w:tcW w:w="1011" w:type="pct"/>
            <w:tcBorders>
              <w:top w:val="nil"/>
              <w:left w:val="nil"/>
              <w:bottom w:val="nil"/>
              <w:right w:val="nil"/>
            </w:tcBorders>
          </w:tcPr>
          <w:p w14:paraId="6F19798B"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0.46</w:t>
            </w:r>
          </w:p>
        </w:tc>
        <w:tc>
          <w:tcPr>
            <w:tcW w:w="956" w:type="pct"/>
            <w:tcBorders>
              <w:top w:val="nil"/>
              <w:left w:val="nil"/>
              <w:bottom w:val="nil"/>
              <w:right w:val="nil"/>
            </w:tcBorders>
          </w:tcPr>
          <w:p w14:paraId="3F58AC07"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0.00</w:t>
            </w:r>
          </w:p>
        </w:tc>
      </w:tr>
      <w:tr w:rsidR="00083D72" w:rsidRPr="00785BF3" w14:paraId="55CC38B2" w14:textId="77777777" w:rsidTr="00083D72">
        <w:trPr>
          <w:trHeight w:val="177"/>
        </w:trPr>
        <w:tc>
          <w:tcPr>
            <w:tcW w:w="1011" w:type="pct"/>
            <w:tcBorders>
              <w:top w:val="nil"/>
              <w:left w:val="nil"/>
              <w:bottom w:val="single" w:sz="4" w:space="0" w:color="auto"/>
              <w:right w:val="nil"/>
            </w:tcBorders>
          </w:tcPr>
          <w:p w14:paraId="0618249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2009</w:t>
            </w:r>
          </w:p>
        </w:tc>
        <w:tc>
          <w:tcPr>
            <w:tcW w:w="1011" w:type="pct"/>
            <w:tcBorders>
              <w:top w:val="nil"/>
              <w:left w:val="nil"/>
              <w:bottom w:val="single" w:sz="4" w:space="0" w:color="auto"/>
              <w:right w:val="nil"/>
            </w:tcBorders>
          </w:tcPr>
          <w:p w14:paraId="67405DB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247</w:t>
            </w:r>
          </w:p>
        </w:tc>
        <w:tc>
          <w:tcPr>
            <w:tcW w:w="1011" w:type="pct"/>
            <w:tcBorders>
              <w:top w:val="nil"/>
              <w:left w:val="nil"/>
              <w:bottom w:val="single" w:sz="4" w:space="0" w:color="auto"/>
              <w:right w:val="nil"/>
            </w:tcBorders>
          </w:tcPr>
          <w:p w14:paraId="2B5728E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8.36</w:t>
            </w:r>
          </w:p>
        </w:tc>
        <w:tc>
          <w:tcPr>
            <w:tcW w:w="1011" w:type="pct"/>
            <w:tcBorders>
              <w:top w:val="nil"/>
              <w:left w:val="nil"/>
              <w:bottom w:val="single" w:sz="4" w:space="0" w:color="auto"/>
              <w:right w:val="nil"/>
            </w:tcBorders>
          </w:tcPr>
          <w:p w14:paraId="49C97C23"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0.48</w:t>
            </w:r>
          </w:p>
        </w:tc>
        <w:tc>
          <w:tcPr>
            <w:tcW w:w="956" w:type="pct"/>
            <w:tcBorders>
              <w:top w:val="nil"/>
              <w:left w:val="nil"/>
              <w:bottom w:val="single" w:sz="4" w:space="0" w:color="auto"/>
              <w:right w:val="nil"/>
            </w:tcBorders>
          </w:tcPr>
          <w:p w14:paraId="51AC3077"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sz w:val="19"/>
                <w:szCs w:val="19"/>
                <w:lang w:val="en-US"/>
              </w:rPr>
              <w:t>0.00</w:t>
            </w:r>
          </w:p>
        </w:tc>
      </w:tr>
    </w:tbl>
    <w:tbl>
      <w:tblPr>
        <w:tblStyle w:val="TableGrid"/>
        <w:tblpPr w:leftFromText="180" w:rightFromText="180" w:vertAnchor="text" w:horzAnchor="margin" w:tblpY="8"/>
        <w:tblW w:w="5029" w:type="pct"/>
        <w:tblBorders>
          <w:left w:val="none" w:sz="0" w:space="0" w:color="auto"/>
          <w:right w:val="none" w:sz="0" w:space="0" w:color="auto"/>
        </w:tblBorders>
        <w:tblLayout w:type="fixed"/>
        <w:tblLook w:val="04A0" w:firstRow="1" w:lastRow="0" w:firstColumn="1" w:lastColumn="0" w:noHBand="0" w:noVBand="1"/>
      </w:tblPr>
      <w:tblGrid>
        <w:gridCol w:w="1561"/>
        <w:gridCol w:w="708"/>
        <w:gridCol w:w="709"/>
        <w:gridCol w:w="709"/>
        <w:gridCol w:w="992"/>
        <w:gridCol w:w="1419"/>
        <w:gridCol w:w="708"/>
        <w:gridCol w:w="568"/>
        <w:gridCol w:w="709"/>
        <w:gridCol w:w="989"/>
      </w:tblGrid>
      <w:tr w:rsidR="00083D72" w:rsidRPr="00785BF3" w14:paraId="3C8C658C" w14:textId="77777777" w:rsidTr="00106CFF">
        <w:trPr>
          <w:trHeight w:val="91"/>
        </w:trPr>
        <w:tc>
          <w:tcPr>
            <w:tcW w:w="5000" w:type="pct"/>
            <w:gridSpan w:val="10"/>
            <w:tcBorders>
              <w:bottom w:val="single" w:sz="4" w:space="0" w:color="auto"/>
            </w:tcBorders>
          </w:tcPr>
          <w:p w14:paraId="5A59A7EF"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Panel B</w:t>
            </w:r>
            <w:r w:rsidRPr="00785BF3">
              <w:rPr>
                <w:rFonts w:ascii="Times New Roman" w:hAnsi="Times New Roman" w:cs="Times New Roman"/>
                <w:sz w:val="19"/>
                <w:szCs w:val="19"/>
                <w:lang w:val="en-US"/>
              </w:rPr>
              <w:t>: Industry Distribution</w:t>
            </w:r>
          </w:p>
        </w:tc>
      </w:tr>
      <w:tr w:rsidR="00083D72" w:rsidRPr="00785BF3" w14:paraId="7937B2E2" w14:textId="77777777" w:rsidTr="00083D72">
        <w:trPr>
          <w:trHeight w:val="187"/>
        </w:trPr>
        <w:tc>
          <w:tcPr>
            <w:tcW w:w="860" w:type="pct"/>
            <w:tcBorders>
              <w:top w:val="single" w:sz="4" w:space="0" w:color="auto"/>
              <w:bottom w:val="single" w:sz="4" w:space="0" w:color="auto"/>
              <w:right w:val="nil"/>
            </w:tcBorders>
          </w:tcPr>
          <w:p w14:paraId="71209103" w14:textId="77777777" w:rsidR="00083D72" w:rsidRPr="00785BF3" w:rsidRDefault="00083D72" w:rsidP="00083D72">
            <w:pP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Industry</w:t>
            </w:r>
          </w:p>
        </w:tc>
        <w:tc>
          <w:tcPr>
            <w:tcW w:w="390" w:type="pct"/>
            <w:tcBorders>
              <w:top w:val="single" w:sz="4" w:space="0" w:color="auto"/>
              <w:left w:val="nil"/>
              <w:bottom w:val="single" w:sz="4" w:space="0" w:color="auto"/>
              <w:right w:val="nil"/>
            </w:tcBorders>
          </w:tcPr>
          <w:p w14:paraId="0968022D"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Obs.</w:t>
            </w:r>
          </w:p>
        </w:tc>
        <w:tc>
          <w:tcPr>
            <w:tcW w:w="391" w:type="pct"/>
            <w:tcBorders>
              <w:top w:val="single" w:sz="4" w:space="0" w:color="auto"/>
              <w:left w:val="nil"/>
              <w:bottom w:val="single" w:sz="4" w:space="0" w:color="auto"/>
              <w:right w:val="nil"/>
            </w:tcBorders>
          </w:tcPr>
          <w:p w14:paraId="762822FB"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w:t>
            </w:r>
          </w:p>
        </w:tc>
        <w:tc>
          <w:tcPr>
            <w:tcW w:w="391" w:type="pct"/>
            <w:tcBorders>
              <w:top w:val="single" w:sz="4" w:space="0" w:color="auto"/>
              <w:left w:val="nil"/>
              <w:bottom w:val="single" w:sz="4" w:space="0" w:color="auto"/>
              <w:right w:val="nil"/>
            </w:tcBorders>
          </w:tcPr>
          <w:p w14:paraId="7CD2DE95"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SOA</w:t>
            </w:r>
          </w:p>
        </w:tc>
        <w:tc>
          <w:tcPr>
            <w:tcW w:w="547" w:type="pct"/>
            <w:tcBorders>
              <w:top w:val="single" w:sz="4" w:space="0" w:color="auto"/>
              <w:left w:val="nil"/>
              <w:bottom w:val="single" w:sz="4" w:space="0" w:color="auto"/>
              <w:right w:val="nil"/>
            </w:tcBorders>
          </w:tcPr>
          <w:p w14:paraId="40B1ED72"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Misstate</w:t>
            </w:r>
          </w:p>
        </w:tc>
        <w:tc>
          <w:tcPr>
            <w:tcW w:w="782" w:type="pct"/>
            <w:tcBorders>
              <w:top w:val="single" w:sz="4" w:space="0" w:color="auto"/>
              <w:left w:val="nil"/>
              <w:bottom w:val="single" w:sz="4" w:space="0" w:color="auto"/>
              <w:right w:val="nil"/>
            </w:tcBorders>
          </w:tcPr>
          <w:p w14:paraId="04EEF6E0" w14:textId="77777777" w:rsidR="00083D72" w:rsidRPr="00785BF3" w:rsidRDefault="00083D72" w:rsidP="00083D72">
            <w:pP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Industry</w:t>
            </w:r>
          </w:p>
        </w:tc>
        <w:tc>
          <w:tcPr>
            <w:tcW w:w="390" w:type="pct"/>
            <w:tcBorders>
              <w:top w:val="single" w:sz="4" w:space="0" w:color="auto"/>
              <w:left w:val="nil"/>
              <w:bottom w:val="single" w:sz="4" w:space="0" w:color="auto"/>
              <w:right w:val="nil"/>
            </w:tcBorders>
          </w:tcPr>
          <w:p w14:paraId="5E81954A"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Obs.</w:t>
            </w:r>
          </w:p>
        </w:tc>
        <w:tc>
          <w:tcPr>
            <w:tcW w:w="313" w:type="pct"/>
            <w:tcBorders>
              <w:top w:val="single" w:sz="4" w:space="0" w:color="auto"/>
              <w:left w:val="nil"/>
              <w:bottom w:val="single" w:sz="4" w:space="0" w:color="auto"/>
              <w:right w:val="nil"/>
            </w:tcBorders>
          </w:tcPr>
          <w:p w14:paraId="2C490E47"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w:t>
            </w:r>
          </w:p>
        </w:tc>
        <w:tc>
          <w:tcPr>
            <w:tcW w:w="391" w:type="pct"/>
            <w:tcBorders>
              <w:top w:val="single" w:sz="4" w:space="0" w:color="auto"/>
              <w:left w:val="nil"/>
              <w:bottom w:val="single" w:sz="4" w:space="0" w:color="auto"/>
              <w:right w:val="nil"/>
            </w:tcBorders>
          </w:tcPr>
          <w:p w14:paraId="09B57DD5"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SOA</w:t>
            </w:r>
          </w:p>
        </w:tc>
        <w:tc>
          <w:tcPr>
            <w:tcW w:w="545" w:type="pct"/>
            <w:tcBorders>
              <w:top w:val="single" w:sz="4" w:space="0" w:color="auto"/>
              <w:left w:val="nil"/>
              <w:bottom w:val="single" w:sz="4" w:space="0" w:color="auto"/>
            </w:tcBorders>
          </w:tcPr>
          <w:p w14:paraId="12A90529" w14:textId="77777777" w:rsidR="00083D72" w:rsidRPr="00785BF3" w:rsidRDefault="00083D72" w:rsidP="00083D72">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Misstate</w:t>
            </w:r>
          </w:p>
        </w:tc>
      </w:tr>
      <w:tr w:rsidR="00083D72" w:rsidRPr="00785BF3" w14:paraId="1023D4BE" w14:textId="77777777" w:rsidTr="00F96D3F">
        <w:trPr>
          <w:trHeight w:val="121"/>
        </w:trPr>
        <w:tc>
          <w:tcPr>
            <w:tcW w:w="860" w:type="pct"/>
            <w:tcBorders>
              <w:bottom w:val="nil"/>
              <w:right w:val="nil"/>
            </w:tcBorders>
          </w:tcPr>
          <w:p w14:paraId="68D682C2"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Agriculture</w:t>
            </w:r>
          </w:p>
        </w:tc>
        <w:tc>
          <w:tcPr>
            <w:tcW w:w="390" w:type="pct"/>
            <w:tcBorders>
              <w:left w:val="nil"/>
              <w:bottom w:val="nil"/>
              <w:right w:val="nil"/>
            </w:tcBorders>
          </w:tcPr>
          <w:p w14:paraId="086333A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w:t>
            </w:r>
          </w:p>
        </w:tc>
        <w:tc>
          <w:tcPr>
            <w:tcW w:w="391" w:type="pct"/>
            <w:tcBorders>
              <w:left w:val="nil"/>
              <w:bottom w:val="nil"/>
              <w:right w:val="nil"/>
            </w:tcBorders>
          </w:tcPr>
          <w:p w14:paraId="60C16C1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0.34</w:t>
            </w:r>
          </w:p>
        </w:tc>
        <w:tc>
          <w:tcPr>
            <w:tcW w:w="391" w:type="pct"/>
            <w:tcBorders>
              <w:left w:val="nil"/>
              <w:bottom w:val="nil"/>
              <w:right w:val="nil"/>
            </w:tcBorders>
          </w:tcPr>
          <w:p w14:paraId="775C100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-0.23</w:t>
            </w:r>
          </w:p>
        </w:tc>
        <w:tc>
          <w:tcPr>
            <w:tcW w:w="547" w:type="pct"/>
            <w:tcBorders>
              <w:left w:val="nil"/>
              <w:bottom w:val="nil"/>
              <w:right w:val="nil"/>
            </w:tcBorders>
          </w:tcPr>
          <w:p w14:paraId="21DF074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left w:val="nil"/>
              <w:bottom w:val="nil"/>
              <w:right w:val="nil"/>
            </w:tcBorders>
          </w:tcPr>
          <w:p w14:paraId="0426EDA9" w14:textId="77777777" w:rsidR="00083D72" w:rsidRPr="00785BF3" w:rsidRDefault="00083D72" w:rsidP="00083D72">
            <w:pPr>
              <w:rPr>
                <w:rFonts w:ascii="Times New Roman" w:hAnsi="Times New Roman" w:cs="Times New Roman"/>
                <w:b/>
                <w:bCs/>
                <w:sz w:val="19"/>
                <w:szCs w:val="19"/>
                <w:lang w:val="en-US"/>
              </w:rPr>
            </w:pPr>
            <w:r w:rsidRPr="00785BF3">
              <w:rPr>
                <w:rFonts w:ascii="Times New Roman" w:hAnsi="Times New Roman" w:cs="Times New Roman"/>
                <w:color w:val="000000"/>
                <w:sz w:val="19"/>
                <w:szCs w:val="19"/>
              </w:rPr>
              <w:t>Fabricated Products</w:t>
            </w:r>
          </w:p>
        </w:tc>
        <w:tc>
          <w:tcPr>
            <w:tcW w:w="390" w:type="pct"/>
            <w:tcBorders>
              <w:left w:val="nil"/>
              <w:bottom w:val="nil"/>
              <w:right w:val="nil"/>
            </w:tcBorders>
          </w:tcPr>
          <w:p w14:paraId="64782F1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29</w:t>
            </w:r>
          </w:p>
        </w:tc>
        <w:tc>
          <w:tcPr>
            <w:tcW w:w="313" w:type="pct"/>
            <w:tcBorders>
              <w:left w:val="nil"/>
              <w:bottom w:val="nil"/>
              <w:right w:val="nil"/>
            </w:tcBorders>
          </w:tcPr>
          <w:p w14:paraId="71B3056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0.98</w:t>
            </w:r>
          </w:p>
        </w:tc>
        <w:tc>
          <w:tcPr>
            <w:tcW w:w="391" w:type="pct"/>
            <w:tcBorders>
              <w:left w:val="nil"/>
              <w:bottom w:val="nil"/>
              <w:right w:val="nil"/>
            </w:tcBorders>
          </w:tcPr>
          <w:p w14:paraId="7BE42DC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0.24</w:t>
            </w:r>
          </w:p>
        </w:tc>
        <w:tc>
          <w:tcPr>
            <w:tcW w:w="545" w:type="pct"/>
            <w:tcBorders>
              <w:left w:val="nil"/>
              <w:bottom w:val="nil"/>
            </w:tcBorders>
          </w:tcPr>
          <w:p w14:paraId="7BBCAC1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20C7028C" w14:textId="77777777" w:rsidTr="00106CFF">
        <w:trPr>
          <w:trHeight w:val="93"/>
        </w:trPr>
        <w:tc>
          <w:tcPr>
            <w:tcW w:w="860" w:type="pct"/>
            <w:tcBorders>
              <w:top w:val="nil"/>
              <w:bottom w:val="nil"/>
              <w:right w:val="nil"/>
            </w:tcBorders>
          </w:tcPr>
          <w:p w14:paraId="49A52868"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Aircraft</w:t>
            </w:r>
          </w:p>
        </w:tc>
        <w:tc>
          <w:tcPr>
            <w:tcW w:w="390" w:type="pct"/>
            <w:tcBorders>
              <w:top w:val="nil"/>
              <w:left w:val="nil"/>
              <w:bottom w:val="nil"/>
              <w:right w:val="nil"/>
            </w:tcBorders>
          </w:tcPr>
          <w:p w14:paraId="600BFE2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63</w:t>
            </w:r>
          </w:p>
        </w:tc>
        <w:tc>
          <w:tcPr>
            <w:tcW w:w="391" w:type="pct"/>
            <w:tcBorders>
              <w:top w:val="nil"/>
              <w:left w:val="nil"/>
              <w:bottom w:val="nil"/>
              <w:right w:val="nil"/>
            </w:tcBorders>
          </w:tcPr>
          <w:p w14:paraId="4721752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2.13</w:t>
            </w:r>
          </w:p>
        </w:tc>
        <w:tc>
          <w:tcPr>
            <w:tcW w:w="391" w:type="pct"/>
            <w:tcBorders>
              <w:top w:val="nil"/>
              <w:left w:val="nil"/>
              <w:bottom w:val="nil"/>
              <w:right w:val="nil"/>
            </w:tcBorders>
          </w:tcPr>
          <w:p w14:paraId="6999583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0.52</w:t>
            </w:r>
          </w:p>
        </w:tc>
        <w:tc>
          <w:tcPr>
            <w:tcW w:w="547" w:type="pct"/>
            <w:tcBorders>
              <w:top w:val="nil"/>
              <w:left w:val="nil"/>
              <w:bottom w:val="nil"/>
              <w:right w:val="nil"/>
            </w:tcBorders>
          </w:tcPr>
          <w:p w14:paraId="3AD98B5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46C3A19C"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Food Products</w:t>
            </w:r>
          </w:p>
        </w:tc>
        <w:tc>
          <w:tcPr>
            <w:tcW w:w="390" w:type="pct"/>
            <w:tcBorders>
              <w:top w:val="nil"/>
              <w:left w:val="nil"/>
              <w:bottom w:val="nil"/>
              <w:right w:val="nil"/>
            </w:tcBorders>
          </w:tcPr>
          <w:p w14:paraId="5A1BB41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160</w:t>
            </w:r>
          </w:p>
        </w:tc>
        <w:tc>
          <w:tcPr>
            <w:tcW w:w="313" w:type="pct"/>
            <w:tcBorders>
              <w:top w:val="nil"/>
              <w:left w:val="nil"/>
              <w:bottom w:val="nil"/>
              <w:right w:val="nil"/>
            </w:tcBorders>
          </w:tcPr>
          <w:p w14:paraId="73D7B43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5.42</w:t>
            </w:r>
          </w:p>
        </w:tc>
        <w:tc>
          <w:tcPr>
            <w:tcW w:w="391" w:type="pct"/>
            <w:tcBorders>
              <w:top w:val="nil"/>
              <w:left w:val="nil"/>
              <w:bottom w:val="nil"/>
              <w:right w:val="nil"/>
            </w:tcBorders>
          </w:tcPr>
          <w:p w14:paraId="352952C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0.63</w:t>
            </w:r>
          </w:p>
        </w:tc>
        <w:tc>
          <w:tcPr>
            <w:tcW w:w="545" w:type="pct"/>
            <w:tcBorders>
              <w:top w:val="nil"/>
              <w:left w:val="nil"/>
              <w:bottom w:val="nil"/>
            </w:tcBorders>
          </w:tcPr>
          <w:p w14:paraId="0D58BFE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r>
      <w:tr w:rsidR="00083D72" w:rsidRPr="00785BF3" w14:paraId="1A8D7311" w14:textId="77777777" w:rsidTr="00083D72">
        <w:trPr>
          <w:trHeight w:val="59"/>
        </w:trPr>
        <w:tc>
          <w:tcPr>
            <w:tcW w:w="860" w:type="pct"/>
            <w:tcBorders>
              <w:top w:val="nil"/>
              <w:bottom w:val="nil"/>
              <w:right w:val="nil"/>
            </w:tcBorders>
          </w:tcPr>
          <w:p w14:paraId="0DB9717B"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Almost Nothing</w:t>
            </w:r>
          </w:p>
        </w:tc>
        <w:tc>
          <w:tcPr>
            <w:tcW w:w="390" w:type="pct"/>
            <w:tcBorders>
              <w:top w:val="nil"/>
              <w:left w:val="nil"/>
              <w:bottom w:val="nil"/>
              <w:right w:val="nil"/>
            </w:tcBorders>
          </w:tcPr>
          <w:p w14:paraId="1E432D2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36</w:t>
            </w:r>
          </w:p>
        </w:tc>
        <w:tc>
          <w:tcPr>
            <w:tcW w:w="391" w:type="pct"/>
            <w:tcBorders>
              <w:top w:val="nil"/>
              <w:left w:val="nil"/>
              <w:bottom w:val="nil"/>
              <w:right w:val="nil"/>
            </w:tcBorders>
          </w:tcPr>
          <w:p w14:paraId="12276D1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1.22</w:t>
            </w:r>
          </w:p>
        </w:tc>
        <w:tc>
          <w:tcPr>
            <w:tcW w:w="391" w:type="pct"/>
            <w:tcBorders>
              <w:top w:val="nil"/>
              <w:left w:val="nil"/>
              <w:bottom w:val="nil"/>
              <w:right w:val="nil"/>
            </w:tcBorders>
          </w:tcPr>
          <w:p w14:paraId="0D8FAE0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0.39</w:t>
            </w:r>
          </w:p>
        </w:tc>
        <w:tc>
          <w:tcPr>
            <w:tcW w:w="547" w:type="pct"/>
            <w:tcBorders>
              <w:top w:val="nil"/>
              <w:left w:val="nil"/>
              <w:bottom w:val="nil"/>
              <w:right w:val="nil"/>
            </w:tcBorders>
          </w:tcPr>
          <w:p w14:paraId="5C13B9E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0.06</w:t>
            </w:r>
          </w:p>
        </w:tc>
        <w:tc>
          <w:tcPr>
            <w:tcW w:w="782" w:type="pct"/>
            <w:tcBorders>
              <w:top w:val="nil"/>
              <w:left w:val="nil"/>
              <w:bottom w:val="nil"/>
              <w:right w:val="nil"/>
            </w:tcBorders>
          </w:tcPr>
          <w:p w14:paraId="7BD09734"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Healthcare</w:t>
            </w:r>
          </w:p>
        </w:tc>
        <w:tc>
          <w:tcPr>
            <w:tcW w:w="390" w:type="pct"/>
            <w:tcBorders>
              <w:top w:val="nil"/>
              <w:left w:val="nil"/>
              <w:bottom w:val="nil"/>
              <w:right w:val="nil"/>
            </w:tcBorders>
          </w:tcPr>
          <w:p w14:paraId="0C45AB7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14</w:t>
            </w:r>
          </w:p>
        </w:tc>
        <w:tc>
          <w:tcPr>
            <w:tcW w:w="313" w:type="pct"/>
            <w:tcBorders>
              <w:top w:val="nil"/>
              <w:left w:val="nil"/>
              <w:bottom w:val="nil"/>
              <w:right w:val="nil"/>
            </w:tcBorders>
          </w:tcPr>
          <w:p w14:paraId="67D0AF2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0.47</w:t>
            </w:r>
          </w:p>
        </w:tc>
        <w:tc>
          <w:tcPr>
            <w:tcW w:w="391" w:type="pct"/>
            <w:tcBorders>
              <w:top w:val="nil"/>
              <w:left w:val="nil"/>
              <w:bottom w:val="nil"/>
              <w:right w:val="nil"/>
            </w:tcBorders>
          </w:tcPr>
          <w:p w14:paraId="4BDC55B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0.42</w:t>
            </w:r>
          </w:p>
        </w:tc>
        <w:tc>
          <w:tcPr>
            <w:tcW w:w="545" w:type="pct"/>
            <w:tcBorders>
              <w:top w:val="nil"/>
              <w:left w:val="nil"/>
              <w:bottom w:val="nil"/>
            </w:tcBorders>
          </w:tcPr>
          <w:p w14:paraId="5ED1328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46B89A24" w14:textId="77777777" w:rsidTr="00083D72">
        <w:trPr>
          <w:trHeight w:val="87"/>
        </w:trPr>
        <w:tc>
          <w:tcPr>
            <w:tcW w:w="860" w:type="pct"/>
            <w:tcBorders>
              <w:top w:val="nil"/>
              <w:bottom w:val="nil"/>
              <w:right w:val="nil"/>
            </w:tcBorders>
          </w:tcPr>
          <w:p w14:paraId="3F8401DB"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Apparel</w:t>
            </w:r>
          </w:p>
        </w:tc>
        <w:tc>
          <w:tcPr>
            <w:tcW w:w="390" w:type="pct"/>
            <w:tcBorders>
              <w:top w:val="nil"/>
              <w:left w:val="nil"/>
              <w:bottom w:val="nil"/>
              <w:right w:val="nil"/>
            </w:tcBorders>
          </w:tcPr>
          <w:p w14:paraId="46480E9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34</w:t>
            </w:r>
          </w:p>
        </w:tc>
        <w:tc>
          <w:tcPr>
            <w:tcW w:w="391" w:type="pct"/>
            <w:tcBorders>
              <w:top w:val="nil"/>
              <w:left w:val="nil"/>
              <w:bottom w:val="nil"/>
              <w:right w:val="nil"/>
            </w:tcBorders>
          </w:tcPr>
          <w:p w14:paraId="556597F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1.15</w:t>
            </w:r>
          </w:p>
        </w:tc>
        <w:tc>
          <w:tcPr>
            <w:tcW w:w="391" w:type="pct"/>
            <w:tcBorders>
              <w:top w:val="nil"/>
              <w:left w:val="nil"/>
              <w:bottom w:val="nil"/>
              <w:right w:val="nil"/>
            </w:tcBorders>
          </w:tcPr>
          <w:p w14:paraId="3584C7E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0.60</w:t>
            </w:r>
          </w:p>
        </w:tc>
        <w:tc>
          <w:tcPr>
            <w:tcW w:w="547" w:type="pct"/>
            <w:tcBorders>
              <w:top w:val="nil"/>
              <w:left w:val="nil"/>
              <w:bottom w:val="nil"/>
              <w:right w:val="nil"/>
            </w:tcBorders>
          </w:tcPr>
          <w:p w14:paraId="41F5166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726A0798"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Machinery</w:t>
            </w:r>
          </w:p>
        </w:tc>
        <w:tc>
          <w:tcPr>
            <w:tcW w:w="390" w:type="pct"/>
            <w:tcBorders>
              <w:top w:val="nil"/>
              <w:left w:val="nil"/>
              <w:bottom w:val="nil"/>
              <w:right w:val="nil"/>
            </w:tcBorders>
          </w:tcPr>
          <w:p w14:paraId="68B254A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331</w:t>
            </w:r>
          </w:p>
        </w:tc>
        <w:tc>
          <w:tcPr>
            <w:tcW w:w="313" w:type="pct"/>
            <w:tcBorders>
              <w:top w:val="nil"/>
              <w:left w:val="nil"/>
              <w:bottom w:val="nil"/>
              <w:right w:val="nil"/>
            </w:tcBorders>
          </w:tcPr>
          <w:p w14:paraId="1C67071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11.21</w:t>
            </w:r>
          </w:p>
        </w:tc>
        <w:tc>
          <w:tcPr>
            <w:tcW w:w="391" w:type="pct"/>
            <w:tcBorders>
              <w:top w:val="nil"/>
              <w:left w:val="nil"/>
              <w:bottom w:val="nil"/>
              <w:right w:val="nil"/>
            </w:tcBorders>
          </w:tcPr>
          <w:p w14:paraId="3788484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0.57</w:t>
            </w:r>
          </w:p>
        </w:tc>
        <w:tc>
          <w:tcPr>
            <w:tcW w:w="545" w:type="pct"/>
            <w:tcBorders>
              <w:top w:val="nil"/>
              <w:left w:val="nil"/>
              <w:bottom w:val="nil"/>
            </w:tcBorders>
          </w:tcPr>
          <w:p w14:paraId="024907B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r>
      <w:tr w:rsidR="00083D72" w:rsidRPr="00785BF3" w14:paraId="05403B6F" w14:textId="77777777" w:rsidTr="00106CFF">
        <w:trPr>
          <w:trHeight w:val="93"/>
        </w:trPr>
        <w:tc>
          <w:tcPr>
            <w:tcW w:w="860" w:type="pct"/>
            <w:tcBorders>
              <w:top w:val="nil"/>
              <w:bottom w:val="nil"/>
              <w:right w:val="nil"/>
            </w:tcBorders>
          </w:tcPr>
          <w:p w14:paraId="32FE418E"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Automobiles</w:t>
            </w:r>
          </w:p>
        </w:tc>
        <w:tc>
          <w:tcPr>
            <w:tcW w:w="390" w:type="pct"/>
            <w:tcBorders>
              <w:top w:val="nil"/>
              <w:left w:val="nil"/>
              <w:bottom w:val="nil"/>
              <w:right w:val="nil"/>
            </w:tcBorders>
          </w:tcPr>
          <w:p w14:paraId="5F25B35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99</w:t>
            </w:r>
          </w:p>
        </w:tc>
        <w:tc>
          <w:tcPr>
            <w:tcW w:w="391" w:type="pct"/>
            <w:tcBorders>
              <w:top w:val="nil"/>
              <w:left w:val="nil"/>
              <w:bottom w:val="nil"/>
              <w:right w:val="nil"/>
            </w:tcBorders>
          </w:tcPr>
          <w:p w14:paraId="445DC06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3.35</w:t>
            </w:r>
          </w:p>
        </w:tc>
        <w:tc>
          <w:tcPr>
            <w:tcW w:w="391" w:type="pct"/>
            <w:tcBorders>
              <w:top w:val="nil"/>
              <w:left w:val="nil"/>
              <w:bottom w:val="nil"/>
              <w:right w:val="nil"/>
            </w:tcBorders>
          </w:tcPr>
          <w:p w14:paraId="5BAB51A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0.51</w:t>
            </w:r>
          </w:p>
        </w:tc>
        <w:tc>
          <w:tcPr>
            <w:tcW w:w="547" w:type="pct"/>
            <w:tcBorders>
              <w:top w:val="nil"/>
              <w:left w:val="nil"/>
              <w:bottom w:val="nil"/>
              <w:right w:val="nil"/>
            </w:tcBorders>
          </w:tcPr>
          <w:p w14:paraId="5667BDB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782" w:type="pct"/>
            <w:tcBorders>
              <w:top w:val="nil"/>
              <w:left w:val="nil"/>
              <w:bottom w:val="nil"/>
              <w:right w:val="nil"/>
            </w:tcBorders>
          </w:tcPr>
          <w:p w14:paraId="64E61E13"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Measuring and Co</w:t>
            </w:r>
          </w:p>
        </w:tc>
        <w:tc>
          <w:tcPr>
            <w:tcW w:w="390" w:type="pct"/>
            <w:tcBorders>
              <w:top w:val="nil"/>
              <w:left w:val="nil"/>
              <w:bottom w:val="nil"/>
              <w:right w:val="nil"/>
            </w:tcBorders>
          </w:tcPr>
          <w:p w14:paraId="6B1C9DC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147</w:t>
            </w:r>
          </w:p>
        </w:tc>
        <w:tc>
          <w:tcPr>
            <w:tcW w:w="313" w:type="pct"/>
            <w:tcBorders>
              <w:top w:val="nil"/>
              <w:left w:val="nil"/>
              <w:bottom w:val="nil"/>
              <w:right w:val="nil"/>
            </w:tcBorders>
          </w:tcPr>
          <w:p w14:paraId="43DD1A0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4.98</w:t>
            </w:r>
          </w:p>
        </w:tc>
        <w:tc>
          <w:tcPr>
            <w:tcW w:w="391" w:type="pct"/>
            <w:tcBorders>
              <w:top w:val="nil"/>
              <w:left w:val="nil"/>
              <w:bottom w:val="nil"/>
              <w:right w:val="nil"/>
            </w:tcBorders>
          </w:tcPr>
          <w:p w14:paraId="143C76C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0.54</w:t>
            </w:r>
          </w:p>
        </w:tc>
        <w:tc>
          <w:tcPr>
            <w:tcW w:w="545" w:type="pct"/>
            <w:tcBorders>
              <w:top w:val="nil"/>
              <w:left w:val="nil"/>
              <w:bottom w:val="nil"/>
            </w:tcBorders>
          </w:tcPr>
          <w:p w14:paraId="6EA684C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0351ACBD" w14:textId="77777777" w:rsidTr="00106CFF">
        <w:trPr>
          <w:trHeight w:val="116"/>
        </w:trPr>
        <w:tc>
          <w:tcPr>
            <w:tcW w:w="860" w:type="pct"/>
            <w:tcBorders>
              <w:top w:val="nil"/>
              <w:bottom w:val="nil"/>
              <w:right w:val="nil"/>
            </w:tcBorders>
          </w:tcPr>
          <w:p w14:paraId="0C34B7EA"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Beer &amp; Liquor</w:t>
            </w:r>
          </w:p>
        </w:tc>
        <w:tc>
          <w:tcPr>
            <w:tcW w:w="390" w:type="pct"/>
            <w:tcBorders>
              <w:top w:val="nil"/>
              <w:left w:val="nil"/>
              <w:bottom w:val="nil"/>
              <w:right w:val="nil"/>
            </w:tcBorders>
          </w:tcPr>
          <w:p w14:paraId="5D80546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w:t>
            </w:r>
          </w:p>
        </w:tc>
        <w:tc>
          <w:tcPr>
            <w:tcW w:w="391" w:type="pct"/>
            <w:tcBorders>
              <w:top w:val="nil"/>
              <w:left w:val="nil"/>
              <w:bottom w:val="nil"/>
              <w:right w:val="nil"/>
            </w:tcBorders>
          </w:tcPr>
          <w:p w14:paraId="1F3245A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0.41</w:t>
            </w:r>
          </w:p>
        </w:tc>
        <w:tc>
          <w:tcPr>
            <w:tcW w:w="391" w:type="pct"/>
            <w:tcBorders>
              <w:top w:val="nil"/>
              <w:left w:val="nil"/>
              <w:bottom w:val="nil"/>
              <w:right w:val="nil"/>
            </w:tcBorders>
          </w:tcPr>
          <w:p w14:paraId="66A658B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0.53</w:t>
            </w:r>
          </w:p>
        </w:tc>
        <w:tc>
          <w:tcPr>
            <w:tcW w:w="547" w:type="pct"/>
            <w:tcBorders>
              <w:top w:val="nil"/>
              <w:left w:val="nil"/>
              <w:bottom w:val="nil"/>
              <w:right w:val="nil"/>
            </w:tcBorders>
          </w:tcPr>
          <w:p w14:paraId="16A6C19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165DBEE3"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Medical Equipment</w:t>
            </w:r>
          </w:p>
        </w:tc>
        <w:tc>
          <w:tcPr>
            <w:tcW w:w="390" w:type="pct"/>
            <w:tcBorders>
              <w:top w:val="nil"/>
              <w:left w:val="nil"/>
              <w:bottom w:val="nil"/>
              <w:right w:val="nil"/>
            </w:tcBorders>
          </w:tcPr>
          <w:p w14:paraId="2570B5B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152</w:t>
            </w:r>
          </w:p>
        </w:tc>
        <w:tc>
          <w:tcPr>
            <w:tcW w:w="313" w:type="pct"/>
            <w:tcBorders>
              <w:top w:val="nil"/>
              <w:left w:val="nil"/>
              <w:bottom w:val="nil"/>
              <w:right w:val="nil"/>
            </w:tcBorders>
          </w:tcPr>
          <w:p w14:paraId="6FF7667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5.15</w:t>
            </w:r>
          </w:p>
        </w:tc>
        <w:tc>
          <w:tcPr>
            <w:tcW w:w="391" w:type="pct"/>
            <w:tcBorders>
              <w:top w:val="nil"/>
              <w:left w:val="nil"/>
              <w:bottom w:val="nil"/>
              <w:right w:val="nil"/>
            </w:tcBorders>
          </w:tcPr>
          <w:p w14:paraId="01221C2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0.57</w:t>
            </w:r>
          </w:p>
        </w:tc>
        <w:tc>
          <w:tcPr>
            <w:tcW w:w="545" w:type="pct"/>
            <w:tcBorders>
              <w:top w:val="nil"/>
              <w:left w:val="nil"/>
              <w:bottom w:val="nil"/>
            </w:tcBorders>
          </w:tcPr>
          <w:p w14:paraId="149DC31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r>
      <w:tr w:rsidR="00083D72" w:rsidRPr="00785BF3" w14:paraId="2E69D80D" w14:textId="77777777" w:rsidTr="00106CFF">
        <w:trPr>
          <w:trHeight w:val="221"/>
        </w:trPr>
        <w:tc>
          <w:tcPr>
            <w:tcW w:w="860" w:type="pct"/>
            <w:tcBorders>
              <w:top w:val="nil"/>
              <w:bottom w:val="nil"/>
              <w:right w:val="nil"/>
            </w:tcBorders>
          </w:tcPr>
          <w:p w14:paraId="6F5C7ECD"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Business Service</w:t>
            </w:r>
          </w:p>
        </w:tc>
        <w:tc>
          <w:tcPr>
            <w:tcW w:w="390" w:type="pct"/>
            <w:tcBorders>
              <w:top w:val="nil"/>
              <w:left w:val="nil"/>
              <w:bottom w:val="nil"/>
              <w:right w:val="nil"/>
            </w:tcBorders>
          </w:tcPr>
          <w:p w14:paraId="4A79602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51</w:t>
            </w:r>
          </w:p>
        </w:tc>
        <w:tc>
          <w:tcPr>
            <w:tcW w:w="391" w:type="pct"/>
            <w:tcBorders>
              <w:top w:val="nil"/>
              <w:left w:val="nil"/>
              <w:bottom w:val="nil"/>
              <w:right w:val="nil"/>
            </w:tcBorders>
          </w:tcPr>
          <w:p w14:paraId="2D6A405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1.73</w:t>
            </w:r>
          </w:p>
        </w:tc>
        <w:tc>
          <w:tcPr>
            <w:tcW w:w="391" w:type="pct"/>
            <w:tcBorders>
              <w:top w:val="nil"/>
              <w:left w:val="nil"/>
              <w:bottom w:val="nil"/>
              <w:right w:val="nil"/>
            </w:tcBorders>
          </w:tcPr>
          <w:p w14:paraId="6032F55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0.44</w:t>
            </w:r>
          </w:p>
        </w:tc>
        <w:tc>
          <w:tcPr>
            <w:tcW w:w="547" w:type="pct"/>
            <w:tcBorders>
              <w:top w:val="nil"/>
              <w:left w:val="nil"/>
              <w:bottom w:val="nil"/>
              <w:right w:val="nil"/>
            </w:tcBorders>
          </w:tcPr>
          <w:p w14:paraId="1DFBCDA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600C289F"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Non-Metallic and</w:t>
            </w:r>
          </w:p>
        </w:tc>
        <w:tc>
          <w:tcPr>
            <w:tcW w:w="390" w:type="pct"/>
            <w:tcBorders>
              <w:top w:val="nil"/>
              <w:left w:val="nil"/>
              <w:bottom w:val="nil"/>
              <w:right w:val="nil"/>
            </w:tcBorders>
          </w:tcPr>
          <w:p w14:paraId="4D7F502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29</w:t>
            </w:r>
          </w:p>
        </w:tc>
        <w:tc>
          <w:tcPr>
            <w:tcW w:w="313" w:type="pct"/>
            <w:tcBorders>
              <w:top w:val="nil"/>
              <w:left w:val="nil"/>
              <w:bottom w:val="nil"/>
              <w:right w:val="nil"/>
            </w:tcBorders>
          </w:tcPr>
          <w:p w14:paraId="2831B8D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0.98</w:t>
            </w:r>
          </w:p>
        </w:tc>
        <w:tc>
          <w:tcPr>
            <w:tcW w:w="391" w:type="pct"/>
            <w:tcBorders>
              <w:top w:val="nil"/>
              <w:left w:val="nil"/>
              <w:bottom w:val="nil"/>
              <w:right w:val="nil"/>
            </w:tcBorders>
          </w:tcPr>
          <w:p w14:paraId="168CC21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0.45</w:t>
            </w:r>
          </w:p>
        </w:tc>
        <w:tc>
          <w:tcPr>
            <w:tcW w:w="545" w:type="pct"/>
            <w:tcBorders>
              <w:top w:val="nil"/>
              <w:left w:val="nil"/>
              <w:bottom w:val="nil"/>
            </w:tcBorders>
          </w:tcPr>
          <w:p w14:paraId="30FE7F6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04B148B5" w14:textId="77777777" w:rsidTr="00083D72">
        <w:trPr>
          <w:trHeight w:val="59"/>
        </w:trPr>
        <w:tc>
          <w:tcPr>
            <w:tcW w:w="860" w:type="pct"/>
            <w:tcBorders>
              <w:top w:val="nil"/>
              <w:bottom w:val="nil"/>
              <w:right w:val="nil"/>
            </w:tcBorders>
          </w:tcPr>
          <w:p w14:paraId="2D923175"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Business Supplies</w:t>
            </w:r>
          </w:p>
        </w:tc>
        <w:tc>
          <w:tcPr>
            <w:tcW w:w="390" w:type="pct"/>
            <w:tcBorders>
              <w:top w:val="nil"/>
              <w:left w:val="nil"/>
              <w:bottom w:val="nil"/>
              <w:right w:val="nil"/>
            </w:tcBorders>
          </w:tcPr>
          <w:p w14:paraId="5C801AF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101</w:t>
            </w:r>
          </w:p>
        </w:tc>
        <w:tc>
          <w:tcPr>
            <w:tcW w:w="391" w:type="pct"/>
            <w:tcBorders>
              <w:top w:val="nil"/>
              <w:left w:val="nil"/>
              <w:bottom w:val="nil"/>
              <w:right w:val="nil"/>
            </w:tcBorders>
          </w:tcPr>
          <w:p w14:paraId="399737D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3.42</w:t>
            </w:r>
          </w:p>
        </w:tc>
        <w:tc>
          <w:tcPr>
            <w:tcW w:w="391" w:type="pct"/>
            <w:tcBorders>
              <w:top w:val="nil"/>
              <w:left w:val="nil"/>
              <w:bottom w:val="nil"/>
              <w:right w:val="nil"/>
            </w:tcBorders>
          </w:tcPr>
          <w:p w14:paraId="79452EB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0.51</w:t>
            </w:r>
          </w:p>
        </w:tc>
        <w:tc>
          <w:tcPr>
            <w:tcW w:w="547" w:type="pct"/>
            <w:tcBorders>
              <w:top w:val="nil"/>
              <w:left w:val="nil"/>
              <w:bottom w:val="nil"/>
              <w:right w:val="nil"/>
            </w:tcBorders>
          </w:tcPr>
          <w:p w14:paraId="6E1DB12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c>
          <w:tcPr>
            <w:tcW w:w="782" w:type="pct"/>
            <w:tcBorders>
              <w:top w:val="nil"/>
              <w:left w:val="nil"/>
              <w:bottom w:val="nil"/>
              <w:right w:val="nil"/>
            </w:tcBorders>
          </w:tcPr>
          <w:p w14:paraId="0422892E"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Petroleum and Na</w:t>
            </w:r>
          </w:p>
        </w:tc>
        <w:tc>
          <w:tcPr>
            <w:tcW w:w="390" w:type="pct"/>
            <w:tcBorders>
              <w:top w:val="nil"/>
              <w:left w:val="nil"/>
              <w:bottom w:val="nil"/>
              <w:right w:val="nil"/>
            </w:tcBorders>
          </w:tcPr>
          <w:p w14:paraId="3BF552F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103</w:t>
            </w:r>
          </w:p>
        </w:tc>
        <w:tc>
          <w:tcPr>
            <w:tcW w:w="313" w:type="pct"/>
            <w:tcBorders>
              <w:top w:val="nil"/>
              <w:left w:val="nil"/>
              <w:bottom w:val="nil"/>
              <w:right w:val="nil"/>
            </w:tcBorders>
          </w:tcPr>
          <w:p w14:paraId="4D7DDDB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3.49</w:t>
            </w:r>
          </w:p>
        </w:tc>
        <w:tc>
          <w:tcPr>
            <w:tcW w:w="391" w:type="pct"/>
            <w:tcBorders>
              <w:top w:val="nil"/>
              <w:left w:val="nil"/>
              <w:bottom w:val="nil"/>
              <w:right w:val="nil"/>
            </w:tcBorders>
          </w:tcPr>
          <w:p w14:paraId="70AEE66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0.68</w:t>
            </w:r>
          </w:p>
        </w:tc>
        <w:tc>
          <w:tcPr>
            <w:tcW w:w="545" w:type="pct"/>
            <w:tcBorders>
              <w:top w:val="nil"/>
              <w:left w:val="nil"/>
              <w:bottom w:val="nil"/>
            </w:tcBorders>
          </w:tcPr>
          <w:p w14:paraId="00CAF1F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r>
      <w:tr w:rsidR="00083D72" w:rsidRPr="00785BF3" w14:paraId="1EB4B03C" w14:textId="77777777" w:rsidTr="00106CFF">
        <w:trPr>
          <w:trHeight w:val="93"/>
        </w:trPr>
        <w:tc>
          <w:tcPr>
            <w:tcW w:w="860" w:type="pct"/>
            <w:tcBorders>
              <w:top w:val="nil"/>
              <w:bottom w:val="nil"/>
              <w:right w:val="nil"/>
            </w:tcBorders>
          </w:tcPr>
          <w:p w14:paraId="203EEF2B"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Candy &amp; Soda</w:t>
            </w:r>
          </w:p>
        </w:tc>
        <w:tc>
          <w:tcPr>
            <w:tcW w:w="390" w:type="pct"/>
            <w:tcBorders>
              <w:top w:val="nil"/>
              <w:left w:val="nil"/>
              <w:bottom w:val="nil"/>
              <w:right w:val="nil"/>
            </w:tcBorders>
          </w:tcPr>
          <w:p w14:paraId="296A186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w:t>
            </w:r>
          </w:p>
        </w:tc>
        <w:tc>
          <w:tcPr>
            <w:tcW w:w="391" w:type="pct"/>
            <w:tcBorders>
              <w:top w:val="nil"/>
              <w:left w:val="nil"/>
              <w:bottom w:val="nil"/>
              <w:right w:val="nil"/>
            </w:tcBorders>
          </w:tcPr>
          <w:p w14:paraId="6637D2F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0.41</w:t>
            </w:r>
          </w:p>
        </w:tc>
        <w:tc>
          <w:tcPr>
            <w:tcW w:w="391" w:type="pct"/>
            <w:tcBorders>
              <w:top w:val="nil"/>
              <w:left w:val="nil"/>
              <w:bottom w:val="nil"/>
              <w:right w:val="nil"/>
            </w:tcBorders>
          </w:tcPr>
          <w:p w14:paraId="06A458B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0.52</w:t>
            </w:r>
          </w:p>
        </w:tc>
        <w:tc>
          <w:tcPr>
            <w:tcW w:w="547" w:type="pct"/>
            <w:tcBorders>
              <w:top w:val="nil"/>
              <w:left w:val="nil"/>
              <w:bottom w:val="nil"/>
              <w:right w:val="nil"/>
            </w:tcBorders>
          </w:tcPr>
          <w:p w14:paraId="69ECD2C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0.17</w:t>
            </w:r>
          </w:p>
        </w:tc>
        <w:tc>
          <w:tcPr>
            <w:tcW w:w="782" w:type="pct"/>
            <w:tcBorders>
              <w:top w:val="nil"/>
              <w:left w:val="nil"/>
              <w:bottom w:val="nil"/>
              <w:right w:val="nil"/>
            </w:tcBorders>
          </w:tcPr>
          <w:p w14:paraId="3D5E0144"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Pharmaceutical P</w:t>
            </w:r>
          </w:p>
        </w:tc>
        <w:tc>
          <w:tcPr>
            <w:tcW w:w="390" w:type="pct"/>
            <w:tcBorders>
              <w:top w:val="nil"/>
              <w:left w:val="nil"/>
              <w:bottom w:val="nil"/>
              <w:right w:val="nil"/>
            </w:tcBorders>
          </w:tcPr>
          <w:p w14:paraId="5A636EA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151</w:t>
            </w:r>
          </w:p>
        </w:tc>
        <w:tc>
          <w:tcPr>
            <w:tcW w:w="313" w:type="pct"/>
            <w:tcBorders>
              <w:top w:val="nil"/>
              <w:left w:val="nil"/>
              <w:bottom w:val="nil"/>
              <w:right w:val="nil"/>
            </w:tcBorders>
          </w:tcPr>
          <w:p w14:paraId="339924E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5.11</w:t>
            </w:r>
          </w:p>
        </w:tc>
        <w:tc>
          <w:tcPr>
            <w:tcW w:w="391" w:type="pct"/>
            <w:tcBorders>
              <w:top w:val="nil"/>
              <w:left w:val="nil"/>
              <w:bottom w:val="nil"/>
              <w:right w:val="nil"/>
            </w:tcBorders>
          </w:tcPr>
          <w:p w14:paraId="1528C3A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0.62</w:t>
            </w:r>
          </w:p>
        </w:tc>
        <w:tc>
          <w:tcPr>
            <w:tcW w:w="545" w:type="pct"/>
            <w:tcBorders>
              <w:top w:val="nil"/>
              <w:left w:val="nil"/>
              <w:bottom w:val="nil"/>
            </w:tcBorders>
          </w:tcPr>
          <w:p w14:paraId="57E59C9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r>
      <w:tr w:rsidR="00083D72" w:rsidRPr="00785BF3" w14:paraId="2996BB67" w14:textId="77777777" w:rsidTr="00106CFF">
        <w:trPr>
          <w:trHeight w:val="184"/>
        </w:trPr>
        <w:tc>
          <w:tcPr>
            <w:tcW w:w="860" w:type="pct"/>
            <w:tcBorders>
              <w:top w:val="nil"/>
              <w:bottom w:val="nil"/>
              <w:right w:val="nil"/>
            </w:tcBorders>
          </w:tcPr>
          <w:p w14:paraId="14D9B8CE"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Chemicals</w:t>
            </w:r>
          </w:p>
        </w:tc>
        <w:tc>
          <w:tcPr>
            <w:tcW w:w="390" w:type="pct"/>
            <w:tcBorders>
              <w:top w:val="nil"/>
              <w:left w:val="nil"/>
              <w:bottom w:val="nil"/>
              <w:right w:val="nil"/>
            </w:tcBorders>
          </w:tcPr>
          <w:p w14:paraId="7F93637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172</w:t>
            </w:r>
          </w:p>
        </w:tc>
        <w:tc>
          <w:tcPr>
            <w:tcW w:w="391" w:type="pct"/>
            <w:tcBorders>
              <w:top w:val="nil"/>
              <w:left w:val="nil"/>
              <w:bottom w:val="nil"/>
              <w:right w:val="nil"/>
            </w:tcBorders>
          </w:tcPr>
          <w:p w14:paraId="545CBC8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5.82</w:t>
            </w:r>
          </w:p>
        </w:tc>
        <w:tc>
          <w:tcPr>
            <w:tcW w:w="391" w:type="pct"/>
            <w:tcBorders>
              <w:top w:val="nil"/>
              <w:left w:val="nil"/>
              <w:bottom w:val="nil"/>
              <w:right w:val="nil"/>
            </w:tcBorders>
          </w:tcPr>
          <w:p w14:paraId="04B871B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0.54</w:t>
            </w:r>
          </w:p>
        </w:tc>
        <w:tc>
          <w:tcPr>
            <w:tcW w:w="547" w:type="pct"/>
            <w:tcBorders>
              <w:top w:val="nil"/>
              <w:left w:val="nil"/>
              <w:bottom w:val="nil"/>
              <w:right w:val="nil"/>
            </w:tcBorders>
          </w:tcPr>
          <w:p w14:paraId="32EF2C9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c>
          <w:tcPr>
            <w:tcW w:w="782" w:type="pct"/>
            <w:tcBorders>
              <w:top w:val="nil"/>
              <w:left w:val="nil"/>
              <w:bottom w:val="nil"/>
              <w:right w:val="nil"/>
            </w:tcBorders>
          </w:tcPr>
          <w:p w14:paraId="1C8E2553"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Precious Metals</w:t>
            </w:r>
          </w:p>
        </w:tc>
        <w:tc>
          <w:tcPr>
            <w:tcW w:w="390" w:type="pct"/>
            <w:tcBorders>
              <w:top w:val="nil"/>
              <w:left w:val="nil"/>
              <w:bottom w:val="nil"/>
              <w:right w:val="nil"/>
            </w:tcBorders>
          </w:tcPr>
          <w:p w14:paraId="143AA8C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w:t>
            </w:r>
          </w:p>
        </w:tc>
        <w:tc>
          <w:tcPr>
            <w:tcW w:w="313" w:type="pct"/>
            <w:tcBorders>
              <w:top w:val="nil"/>
              <w:left w:val="nil"/>
              <w:bottom w:val="nil"/>
              <w:right w:val="nil"/>
            </w:tcBorders>
          </w:tcPr>
          <w:p w14:paraId="2969F36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0.30</w:t>
            </w:r>
          </w:p>
        </w:tc>
        <w:tc>
          <w:tcPr>
            <w:tcW w:w="391" w:type="pct"/>
            <w:tcBorders>
              <w:top w:val="nil"/>
              <w:left w:val="nil"/>
              <w:bottom w:val="nil"/>
              <w:right w:val="nil"/>
            </w:tcBorders>
          </w:tcPr>
          <w:p w14:paraId="60AA60D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0.45</w:t>
            </w:r>
          </w:p>
        </w:tc>
        <w:tc>
          <w:tcPr>
            <w:tcW w:w="545" w:type="pct"/>
            <w:tcBorders>
              <w:top w:val="nil"/>
              <w:left w:val="nil"/>
              <w:bottom w:val="nil"/>
            </w:tcBorders>
          </w:tcPr>
          <w:p w14:paraId="0353314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2A98D36B" w14:textId="77777777" w:rsidTr="00083D72">
        <w:trPr>
          <w:trHeight w:val="87"/>
        </w:trPr>
        <w:tc>
          <w:tcPr>
            <w:tcW w:w="860" w:type="pct"/>
            <w:tcBorders>
              <w:top w:val="nil"/>
              <w:bottom w:val="nil"/>
              <w:right w:val="nil"/>
            </w:tcBorders>
          </w:tcPr>
          <w:p w14:paraId="16A017E5"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Coal</w:t>
            </w:r>
          </w:p>
        </w:tc>
        <w:tc>
          <w:tcPr>
            <w:tcW w:w="390" w:type="pct"/>
            <w:tcBorders>
              <w:top w:val="nil"/>
              <w:left w:val="nil"/>
              <w:bottom w:val="nil"/>
              <w:right w:val="nil"/>
            </w:tcBorders>
          </w:tcPr>
          <w:p w14:paraId="16C15C8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w:t>
            </w:r>
          </w:p>
        </w:tc>
        <w:tc>
          <w:tcPr>
            <w:tcW w:w="391" w:type="pct"/>
            <w:tcBorders>
              <w:top w:val="nil"/>
              <w:left w:val="nil"/>
              <w:bottom w:val="nil"/>
              <w:right w:val="nil"/>
            </w:tcBorders>
          </w:tcPr>
          <w:p w14:paraId="13073A3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0.41</w:t>
            </w:r>
          </w:p>
        </w:tc>
        <w:tc>
          <w:tcPr>
            <w:tcW w:w="391" w:type="pct"/>
            <w:tcBorders>
              <w:top w:val="nil"/>
              <w:left w:val="nil"/>
              <w:bottom w:val="nil"/>
              <w:right w:val="nil"/>
            </w:tcBorders>
          </w:tcPr>
          <w:p w14:paraId="175189B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-0.09</w:t>
            </w:r>
          </w:p>
        </w:tc>
        <w:tc>
          <w:tcPr>
            <w:tcW w:w="547" w:type="pct"/>
            <w:tcBorders>
              <w:top w:val="nil"/>
              <w:left w:val="nil"/>
              <w:bottom w:val="nil"/>
              <w:right w:val="nil"/>
            </w:tcBorders>
          </w:tcPr>
          <w:p w14:paraId="2E1D896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3E2DE0CE"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Printing and Pub</w:t>
            </w:r>
          </w:p>
        </w:tc>
        <w:tc>
          <w:tcPr>
            <w:tcW w:w="390" w:type="pct"/>
            <w:tcBorders>
              <w:top w:val="nil"/>
              <w:left w:val="nil"/>
              <w:bottom w:val="nil"/>
              <w:right w:val="nil"/>
            </w:tcBorders>
          </w:tcPr>
          <w:p w14:paraId="0116203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57</w:t>
            </w:r>
          </w:p>
        </w:tc>
        <w:tc>
          <w:tcPr>
            <w:tcW w:w="313" w:type="pct"/>
            <w:tcBorders>
              <w:top w:val="nil"/>
              <w:left w:val="nil"/>
              <w:bottom w:val="nil"/>
              <w:right w:val="nil"/>
            </w:tcBorders>
          </w:tcPr>
          <w:p w14:paraId="48DFC97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1.93</w:t>
            </w:r>
          </w:p>
        </w:tc>
        <w:tc>
          <w:tcPr>
            <w:tcW w:w="391" w:type="pct"/>
            <w:tcBorders>
              <w:top w:val="nil"/>
              <w:left w:val="nil"/>
              <w:bottom w:val="nil"/>
              <w:right w:val="nil"/>
            </w:tcBorders>
          </w:tcPr>
          <w:p w14:paraId="4C406CA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0.43</w:t>
            </w:r>
          </w:p>
        </w:tc>
        <w:tc>
          <w:tcPr>
            <w:tcW w:w="545" w:type="pct"/>
            <w:tcBorders>
              <w:top w:val="nil"/>
              <w:left w:val="nil"/>
              <w:bottom w:val="nil"/>
            </w:tcBorders>
          </w:tcPr>
          <w:p w14:paraId="5E958EE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55D0E344" w14:textId="77777777" w:rsidTr="00083D72">
        <w:trPr>
          <w:trHeight w:val="59"/>
        </w:trPr>
        <w:tc>
          <w:tcPr>
            <w:tcW w:w="860" w:type="pct"/>
            <w:tcBorders>
              <w:top w:val="nil"/>
              <w:bottom w:val="nil"/>
              <w:right w:val="nil"/>
            </w:tcBorders>
          </w:tcPr>
          <w:p w14:paraId="43F387FD"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Communication</w:t>
            </w:r>
          </w:p>
        </w:tc>
        <w:tc>
          <w:tcPr>
            <w:tcW w:w="390" w:type="pct"/>
            <w:tcBorders>
              <w:top w:val="nil"/>
              <w:left w:val="nil"/>
              <w:bottom w:val="nil"/>
              <w:right w:val="nil"/>
            </w:tcBorders>
          </w:tcPr>
          <w:p w14:paraId="70B4BFC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22</w:t>
            </w:r>
          </w:p>
        </w:tc>
        <w:tc>
          <w:tcPr>
            <w:tcW w:w="391" w:type="pct"/>
            <w:tcBorders>
              <w:top w:val="nil"/>
              <w:left w:val="nil"/>
              <w:bottom w:val="nil"/>
              <w:right w:val="nil"/>
            </w:tcBorders>
          </w:tcPr>
          <w:p w14:paraId="612D874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0.75</w:t>
            </w:r>
          </w:p>
        </w:tc>
        <w:tc>
          <w:tcPr>
            <w:tcW w:w="391" w:type="pct"/>
            <w:tcBorders>
              <w:top w:val="nil"/>
              <w:left w:val="nil"/>
              <w:bottom w:val="nil"/>
              <w:right w:val="nil"/>
            </w:tcBorders>
          </w:tcPr>
          <w:p w14:paraId="2AABE7A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0.31</w:t>
            </w:r>
          </w:p>
        </w:tc>
        <w:tc>
          <w:tcPr>
            <w:tcW w:w="547" w:type="pct"/>
            <w:tcBorders>
              <w:top w:val="nil"/>
              <w:left w:val="nil"/>
              <w:bottom w:val="nil"/>
              <w:right w:val="nil"/>
            </w:tcBorders>
          </w:tcPr>
          <w:p w14:paraId="1FE25C8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4A04EB6E"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Recreation</w:t>
            </w:r>
          </w:p>
        </w:tc>
        <w:tc>
          <w:tcPr>
            <w:tcW w:w="390" w:type="pct"/>
            <w:tcBorders>
              <w:top w:val="nil"/>
              <w:left w:val="nil"/>
              <w:bottom w:val="nil"/>
              <w:right w:val="nil"/>
            </w:tcBorders>
          </w:tcPr>
          <w:p w14:paraId="39C8B7D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60</w:t>
            </w:r>
          </w:p>
        </w:tc>
        <w:tc>
          <w:tcPr>
            <w:tcW w:w="313" w:type="pct"/>
            <w:tcBorders>
              <w:top w:val="nil"/>
              <w:left w:val="nil"/>
              <w:bottom w:val="nil"/>
              <w:right w:val="nil"/>
            </w:tcBorders>
          </w:tcPr>
          <w:p w14:paraId="6442C8D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2.03</w:t>
            </w:r>
          </w:p>
        </w:tc>
        <w:tc>
          <w:tcPr>
            <w:tcW w:w="391" w:type="pct"/>
            <w:tcBorders>
              <w:top w:val="nil"/>
              <w:left w:val="nil"/>
              <w:bottom w:val="nil"/>
              <w:right w:val="nil"/>
            </w:tcBorders>
          </w:tcPr>
          <w:p w14:paraId="711FD05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0.50</w:t>
            </w:r>
          </w:p>
        </w:tc>
        <w:tc>
          <w:tcPr>
            <w:tcW w:w="545" w:type="pct"/>
            <w:tcBorders>
              <w:top w:val="nil"/>
              <w:left w:val="nil"/>
              <w:bottom w:val="nil"/>
            </w:tcBorders>
          </w:tcPr>
          <w:p w14:paraId="6C88C3E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0.08</w:t>
            </w:r>
          </w:p>
        </w:tc>
      </w:tr>
      <w:tr w:rsidR="00083D72" w:rsidRPr="00785BF3" w14:paraId="4775E3A8" w14:textId="77777777" w:rsidTr="00106CFF">
        <w:trPr>
          <w:trHeight w:val="228"/>
        </w:trPr>
        <w:tc>
          <w:tcPr>
            <w:tcW w:w="860" w:type="pct"/>
            <w:tcBorders>
              <w:top w:val="nil"/>
              <w:bottom w:val="nil"/>
              <w:right w:val="nil"/>
            </w:tcBorders>
          </w:tcPr>
          <w:p w14:paraId="49AB79E6"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Computer Hardware</w:t>
            </w:r>
          </w:p>
        </w:tc>
        <w:tc>
          <w:tcPr>
            <w:tcW w:w="390" w:type="pct"/>
            <w:tcBorders>
              <w:top w:val="nil"/>
              <w:left w:val="nil"/>
              <w:bottom w:val="nil"/>
              <w:right w:val="nil"/>
            </w:tcBorders>
          </w:tcPr>
          <w:p w14:paraId="5270505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84</w:t>
            </w:r>
          </w:p>
        </w:tc>
        <w:tc>
          <w:tcPr>
            <w:tcW w:w="391" w:type="pct"/>
            <w:tcBorders>
              <w:top w:val="nil"/>
              <w:left w:val="nil"/>
              <w:bottom w:val="nil"/>
              <w:right w:val="nil"/>
            </w:tcBorders>
          </w:tcPr>
          <w:p w14:paraId="39C7B12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2.84</w:t>
            </w:r>
          </w:p>
        </w:tc>
        <w:tc>
          <w:tcPr>
            <w:tcW w:w="391" w:type="pct"/>
            <w:tcBorders>
              <w:top w:val="nil"/>
              <w:left w:val="nil"/>
              <w:bottom w:val="nil"/>
              <w:right w:val="nil"/>
            </w:tcBorders>
          </w:tcPr>
          <w:p w14:paraId="3CE466A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0.50</w:t>
            </w:r>
          </w:p>
        </w:tc>
        <w:tc>
          <w:tcPr>
            <w:tcW w:w="547" w:type="pct"/>
            <w:tcBorders>
              <w:top w:val="nil"/>
              <w:left w:val="nil"/>
              <w:bottom w:val="nil"/>
              <w:right w:val="nil"/>
            </w:tcBorders>
          </w:tcPr>
          <w:p w14:paraId="21422E8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0.10</w:t>
            </w:r>
          </w:p>
        </w:tc>
        <w:tc>
          <w:tcPr>
            <w:tcW w:w="782" w:type="pct"/>
            <w:tcBorders>
              <w:top w:val="nil"/>
              <w:left w:val="nil"/>
              <w:bottom w:val="nil"/>
              <w:right w:val="nil"/>
            </w:tcBorders>
          </w:tcPr>
          <w:p w14:paraId="03004E3C"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Restaurants, Hot</w:t>
            </w:r>
          </w:p>
        </w:tc>
        <w:tc>
          <w:tcPr>
            <w:tcW w:w="390" w:type="pct"/>
            <w:tcBorders>
              <w:top w:val="nil"/>
              <w:left w:val="nil"/>
              <w:bottom w:val="nil"/>
              <w:right w:val="nil"/>
            </w:tcBorders>
          </w:tcPr>
          <w:p w14:paraId="3DC60F1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w:t>
            </w:r>
          </w:p>
        </w:tc>
        <w:tc>
          <w:tcPr>
            <w:tcW w:w="313" w:type="pct"/>
            <w:tcBorders>
              <w:top w:val="nil"/>
              <w:left w:val="nil"/>
              <w:bottom w:val="nil"/>
              <w:right w:val="nil"/>
            </w:tcBorders>
          </w:tcPr>
          <w:p w14:paraId="723CCCA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0.10</w:t>
            </w:r>
          </w:p>
        </w:tc>
        <w:tc>
          <w:tcPr>
            <w:tcW w:w="391" w:type="pct"/>
            <w:tcBorders>
              <w:top w:val="nil"/>
              <w:left w:val="nil"/>
              <w:bottom w:val="nil"/>
              <w:right w:val="nil"/>
            </w:tcBorders>
          </w:tcPr>
          <w:p w14:paraId="21840C7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c>
          <w:tcPr>
            <w:tcW w:w="545" w:type="pct"/>
            <w:tcBorders>
              <w:top w:val="nil"/>
              <w:left w:val="nil"/>
              <w:bottom w:val="nil"/>
            </w:tcBorders>
          </w:tcPr>
          <w:p w14:paraId="61DF1D5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088BC963" w14:textId="77777777" w:rsidTr="00106CFF">
        <w:trPr>
          <w:trHeight w:val="93"/>
        </w:trPr>
        <w:tc>
          <w:tcPr>
            <w:tcW w:w="860" w:type="pct"/>
            <w:tcBorders>
              <w:top w:val="nil"/>
              <w:bottom w:val="nil"/>
              <w:right w:val="nil"/>
            </w:tcBorders>
          </w:tcPr>
          <w:p w14:paraId="10AB7555"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Computer Software</w:t>
            </w:r>
          </w:p>
        </w:tc>
        <w:tc>
          <w:tcPr>
            <w:tcW w:w="390" w:type="pct"/>
            <w:tcBorders>
              <w:top w:val="nil"/>
              <w:left w:val="nil"/>
              <w:bottom w:val="nil"/>
              <w:right w:val="nil"/>
            </w:tcBorders>
          </w:tcPr>
          <w:p w14:paraId="1CC0F46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110</w:t>
            </w:r>
          </w:p>
        </w:tc>
        <w:tc>
          <w:tcPr>
            <w:tcW w:w="391" w:type="pct"/>
            <w:tcBorders>
              <w:top w:val="nil"/>
              <w:left w:val="nil"/>
              <w:bottom w:val="nil"/>
              <w:right w:val="nil"/>
            </w:tcBorders>
          </w:tcPr>
          <w:p w14:paraId="316DDC6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3.73</w:t>
            </w:r>
          </w:p>
        </w:tc>
        <w:tc>
          <w:tcPr>
            <w:tcW w:w="391" w:type="pct"/>
            <w:tcBorders>
              <w:top w:val="nil"/>
              <w:left w:val="nil"/>
              <w:bottom w:val="nil"/>
              <w:right w:val="nil"/>
            </w:tcBorders>
          </w:tcPr>
          <w:p w14:paraId="5EAE31D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0.82</w:t>
            </w:r>
          </w:p>
        </w:tc>
        <w:tc>
          <w:tcPr>
            <w:tcW w:w="547" w:type="pct"/>
            <w:tcBorders>
              <w:top w:val="nil"/>
              <w:left w:val="nil"/>
              <w:bottom w:val="nil"/>
              <w:right w:val="nil"/>
            </w:tcBorders>
          </w:tcPr>
          <w:p w14:paraId="5BBAE2B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c>
          <w:tcPr>
            <w:tcW w:w="782" w:type="pct"/>
            <w:tcBorders>
              <w:top w:val="nil"/>
              <w:left w:val="nil"/>
              <w:bottom w:val="nil"/>
              <w:right w:val="nil"/>
            </w:tcBorders>
          </w:tcPr>
          <w:p w14:paraId="2B97751F"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Retail</w:t>
            </w:r>
          </w:p>
        </w:tc>
        <w:tc>
          <w:tcPr>
            <w:tcW w:w="390" w:type="pct"/>
            <w:tcBorders>
              <w:top w:val="nil"/>
              <w:left w:val="nil"/>
              <w:bottom w:val="nil"/>
              <w:right w:val="nil"/>
            </w:tcBorders>
          </w:tcPr>
          <w:p w14:paraId="6C74F16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w:t>
            </w:r>
          </w:p>
        </w:tc>
        <w:tc>
          <w:tcPr>
            <w:tcW w:w="313" w:type="pct"/>
            <w:tcBorders>
              <w:top w:val="nil"/>
              <w:left w:val="nil"/>
              <w:bottom w:val="nil"/>
              <w:right w:val="nil"/>
            </w:tcBorders>
          </w:tcPr>
          <w:p w14:paraId="5D5E507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0.41</w:t>
            </w:r>
          </w:p>
        </w:tc>
        <w:tc>
          <w:tcPr>
            <w:tcW w:w="391" w:type="pct"/>
            <w:tcBorders>
              <w:top w:val="nil"/>
              <w:left w:val="nil"/>
              <w:bottom w:val="nil"/>
              <w:right w:val="nil"/>
            </w:tcBorders>
          </w:tcPr>
          <w:p w14:paraId="0641C0D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0.42</w:t>
            </w:r>
          </w:p>
        </w:tc>
        <w:tc>
          <w:tcPr>
            <w:tcW w:w="545" w:type="pct"/>
            <w:tcBorders>
              <w:top w:val="nil"/>
              <w:left w:val="nil"/>
              <w:bottom w:val="nil"/>
            </w:tcBorders>
          </w:tcPr>
          <w:p w14:paraId="2390E41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5E63B4C4" w14:textId="77777777" w:rsidTr="00083D72">
        <w:trPr>
          <w:trHeight w:val="87"/>
        </w:trPr>
        <w:tc>
          <w:tcPr>
            <w:tcW w:w="860" w:type="pct"/>
            <w:tcBorders>
              <w:top w:val="nil"/>
              <w:bottom w:val="nil"/>
              <w:right w:val="nil"/>
            </w:tcBorders>
          </w:tcPr>
          <w:p w14:paraId="75B98BD1"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Construction</w:t>
            </w:r>
          </w:p>
        </w:tc>
        <w:tc>
          <w:tcPr>
            <w:tcW w:w="390" w:type="pct"/>
            <w:tcBorders>
              <w:top w:val="nil"/>
              <w:left w:val="nil"/>
              <w:bottom w:val="nil"/>
              <w:right w:val="nil"/>
            </w:tcBorders>
          </w:tcPr>
          <w:p w14:paraId="6A35BB3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w:t>
            </w:r>
          </w:p>
        </w:tc>
        <w:tc>
          <w:tcPr>
            <w:tcW w:w="391" w:type="pct"/>
            <w:tcBorders>
              <w:top w:val="nil"/>
              <w:left w:val="nil"/>
              <w:bottom w:val="nil"/>
              <w:right w:val="nil"/>
            </w:tcBorders>
          </w:tcPr>
          <w:p w14:paraId="2A5D568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0.07</w:t>
            </w:r>
          </w:p>
        </w:tc>
        <w:tc>
          <w:tcPr>
            <w:tcW w:w="391" w:type="pct"/>
            <w:tcBorders>
              <w:top w:val="nil"/>
              <w:left w:val="nil"/>
              <w:bottom w:val="nil"/>
              <w:right w:val="nil"/>
            </w:tcBorders>
          </w:tcPr>
          <w:p w14:paraId="59CC349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0.70</w:t>
            </w:r>
          </w:p>
        </w:tc>
        <w:tc>
          <w:tcPr>
            <w:tcW w:w="547" w:type="pct"/>
            <w:tcBorders>
              <w:top w:val="nil"/>
              <w:left w:val="nil"/>
              <w:bottom w:val="nil"/>
              <w:right w:val="nil"/>
            </w:tcBorders>
          </w:tcPr>
          <w:p w14:paraId="0A0A07E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3DDEFA19"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 xml:space="preserve">Rubber and </w:t>
            </w:r>
            <w:proofErr w:type="spellStart"/>
            <w:r w:rsidRPr="00785BF3">
              <w:rPr>
                <w:rFonts w:ascii="Times New Roman" w:hAnsi="Times New Roman" w:cs="Times New Roman"/>
                <w:color w:val="000000"/>
                <w:sz w:val="19"/>
                <w:szCs w:val="19"/>
              </w:rPr>
              <w:t>Plast</w:t>
            </w:r>
            <w:proofErr w:type="spellEnd"/>
          </w:p>
        </w:tc>
        <w:tc>
          <w:tcPr>
            <w:tcW w:w="390" w:type="pct"/>
            <w:tcBorders>
              <w:top w:val="nil"/>
              <w:left w:val="nil"/>
              <w:bottom w:val="nil"/>
              <w:right w:val="nil"/>
            </w:tcBorders>
          </w:tcPr>
          <w:p w14:paraId="2E2D533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44</w:t>
            </w:r>
          </w:p>
        </w:tc>
        <w:tc>
          <w:tcPr>
            <w:tcW w:w="313" w:type="pct"/>
            <w:tcBorders>
              <w:top w:val="nil"/>
              <w:left w:val="nil"/>
              <w:bottom w:val="nil"/>
              <w:right w:val="nil"/>
            </w:tcBorders>
          </w:tcPr>
          <w:p w14:paraId="1BDF5A4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1.49</w:t>
            </w:r>
          </w:p>
        </w:tc>
        <w:tc>
          <w:tcPr>
            <w:tcW w:w="391" w:type="pct"/>
            <w:tcBorders>
              <w:top w:val="nil"/>
              <w:left w:val="nil"/>
              <w:bottom w:val="nil"/>
              <w:right w:val="nil"/>
            </w:tcBorders>
          </w:tcPr>
          <w:p w14:paraId="629706B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0.54</w:t>
            </w:r>
          </w:p>
        </w:tc>
        <w:tc>
          <w:tcPr>
            <w:tcW w:w="545" w:type="pct"/>
            <w:tcBorders>
              <w:top w:val="nil"/>
              <w:left w:val="nil"/>
              <w:bottom w:val="nil"/>
            </w:tcBorders>
          </w:tcPr>
          <w:p w14:paraId="56E9B22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69BC1933" w14:textId="77777777" w:rsidTr="00083D72">
        <w:trPr>
          <w:trHeight w:val="87"/>
        </w:trPr>
        <w:tc>
          <w:tcPr>
            <w:tcW w:w="860" w:type="pct"/>
            <w:tcBorders>
              <w:top w:val="nil"/>
              <w:bottom w:val="nil"/>
              <w:right w:val="nil"/>
            </w:tcBorders>
          </w:tcPr>
          <w:p w14:paraId="321AAB0E"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Construction Mat</w:t>
            </w:r>
          </w:p>
        </w:tc>
        <w:tc>
          <w:tcPr>
            <w:tcW w:w="390" w:type="pct"/>
            <w:tcBorders>
              <w:top w:val="nil"/>
              <w:left w:val="nil"/>
              <w:bottom w:val="nil"/>
              <w:right w:val="nil"/>
            </w:tcBorders>
          </w:tcPr>
          <w:p w14:paraId="4421087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155</w:t>
            </w:r>
          </w:p>
        </w:tc>
        <w:tc>
          <w:tcPr>
            <w:tcW w:w="391" w:type="pct"/>
            <w:tcBorders>
              <w:top w:val="nil"/>
              <w:left w:val="nil"/>
              <w:bottom w:val="nil"/>
              <w:right w:val="nil"/>
            </w:tcBorders>
          </w:tcPr>
          <w:p w14:paraId="424F531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5.25</w:t>
            </w:r>
          </w:p>
        </w:tc>
        <w:tc>
          <w:tcPr>
            <w:tcW w:w="391" w:type="pct"/>
            <w:tcBorders>
              <w:top w:val="nil"/>
              <w:left w:val="nil"/>
              <w:bottom w:val="nil"/>
              <w:right w:val="nil"/>
            </w:tcBorders>
          </w:tcPr>
          <w:p w14:paraId="78327AB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0.52</w:t>
            </w:r>
          </w:p>
        </w:tc>
        <w:tc>
          <w:tcPr>
            <w:tcW w:w="547" w:type="pct"/>
            <w:tcBorders>
              <w:top w:val="nil"/>
              <w:left w:val="nil"/>
              <w:bottom w:val="nil"/>
              <w:right w:val="nil"/>
            </w:tcBorders>
          </w:tcPr>
          <w:p w14:paraId="439B43A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36804BD8"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Shipping Contain</w:t>
            </w:r>
          </w:p>
        </w:tc>
        <w:tc>
          <w:tcPr>
            <w:tcW w:w="390" w:type="pct"/>
            <w:tcBorders>
              <w:top w:val="nil"/>
              <w:left w:val="nil"/>
              <w:bottom w:val="nil"/>
              <w:right w:val="nil"/>
            </w:tcBorders>
          </w:tcPr>
          <w:p w14:paraId="72EA6AF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19</w:t>
            </w:r>
          </w:p>
        </w:tc>
        <w:tc>
          <w:tcPr>
            <w:tcW w:w="313" w:type="pct"/>
            <w:tcBorders>
              <w:top w:val="nil"/>
              <w:left w:val="nil"/>
              <w:bottom w:val="nil"/>
              <w:right w:val="nil"/>
            </w:tcBorders>
          </w:tcPr>
          <w:p w14:paraId="261598B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0.64</w:t>
            </w:r>
          </w:p>
        </w:tc>
        <w:tc>
          <w:tcPr>
            <w:tcW w:w="391" w:type="pct"/>
            <w:tcBorders>
              <w:top w:val="nil"/>
              <w:left w:val="nil"/>
              <w:bottom w:val="nil"/>
              <w:right w:val="nil"/>
            </w:tcBorders>
          </w:tcPr>
          <w:p w14:paraId="25904D0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0.58</w:t>
            </w:r>
          </w:p>
        </w:tc>
        <w:tc>
          <w:tcPr>
            <w:tcW w:w="545" w:type="pct"/>
            <w:tcBorders>
              <w:top w:val="nil"/>
              <w:left w:val="nil"/>
              <w:bottom w:val="nil"/>
            </w:tcBorders>
          </w:tcPr>
          <w:p w14:paraId="2BE7768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6587300A" w14:textId="77777777" w:rsidTr="00083D72">
        <w:trPr>
          <w:trHeight w:val="87"/>
        </w:trPr>
        <w:tc>
          <w:tcPr>
            <w:tcW w:w="860" w:type="pct"/>
            <w:tcBorders>
              <w:top w:val="nil"/>
              <w:bottom w:val="nil"/>
              <w:right w:val="nil"/>
            </w:tcBorders>
          </w:tcPr>
          <w:p w14:paraId="701F9DC7"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Consumer Goods</w:t>
            </w:r>
          </w:p>
        </w:tc>
        <w:tc>
          <w:tcPr>
            <w:tcW w:w="390" w:type="pct"/>
            <w:tcBorders>
              <w:top w:val="nil"/>
              <w:left w:val="nil"/>
              <w:bottom w:val="nil"/>
              <w:right w:val="nil"/>
            </w:tcBorders>
          </w:tcPr>
          <w:p w14:paraId="07F4DCD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145</w:t>
            </w:r>
          </w:p>
        </w:tc>
        <w:tc>
          <w:tcPr>
            <w:tcW w:w="391" w:type="pct"/>
            <w:tcBorders>
              <w:top w:val="nil"/>
              <w:left w:val="nil"/>
              <w:bottom w:val="nil"/>
              <w:right w:val="nil"/>
            </w:tcBorders>
          </w:tcPr>
          <w:p w14:paraId="57C9268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4.91</w:t>
            </w:r>
          </w:p>
        </w:tc>
        <w:tc>
          <w:tcPr>
            <w:tcW w:w="391" w:type="pct"/>
            <w:tcBorders>
              <w:top w:val="nil"/>
              <w:left w:val="nil"/>
              <w:bottom w:val="nil"/>
              <w:right w:val="nil"/>
            </w:tcBorders>
          </w:tcPr>
          <w:p w14:paraId="5AD8F87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0.57</w:t>
            </w:r>
          </w:p>
        </w:tc>
        <w:tc>
          <w:tcPr>
            <w:tcW w:w="547" w:type="pct"/>
            <w:tcBorders>
              <w:top w:val="nil"/>
              <w:left w:val="nil"/>
              <w:bottom w:val="nil"/>
              <w:right w:val="nil"/>
            </w:tcBorders>
          </w:tcPr>
          <w:p w14:paraId="50C1CA9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35870F3A"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Steel Works Etc</w:t>
            </w:r>
          </w:p>
        </w:tc>
        <w:tc>
          <w:tcPr>
            <w:tcW w:w="390" w:type="pct"/>
            <w:tcBorders>
              <w:top w:val="nil"/>
              <w:left w:val="nil"/>
              <w:bottom w:val="nil"/>
              <w:right w:val="nil"/>
            </w:tcBorders>
          </w:tcPr>
          <w:p w14:paraId="195FF94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55</w:t>
            </w:r>
          </w:p>
        </w:tc>
        <w:tc>
          <w:tcPr>
            <w:tcW w:w="313" w:type="pct"/>
            <w:tcBorders>
              <w:top w:val="nil"/>
              <w:left w:val="nil"/>
              <w:bottom w:val="nil"/>
              <w:right w:val="nil"/>
            </w:tcBorders>
          </w:tcPr>
          <w:p w14:paraId="11EA6D5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1.86</w:t>
            </w:r>
          </w:p>
        </w:tc>
        <w:tc>
          <w:tcPr>
            <w:tcW w:w="391" w:type="pct"/>
            <w:tcBorders>
              <w:top w:val="nil"/>
              <w:left w:val="nil"/>
              <w:bottom w:val="nil"/>
              <w:right w:val="nil"/>
            </w:tcBorders>
          </w:tcPr>
          <w:p w14:paraId="69714898"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0.43</w:t>
            </w:r>
          </w:p>
        </w:tc>
        <w:tc>
          <w:tcPr>
            <w:tcW w:w="545" w:type="pct"/>
            <w:tcBorders>
              <w:top w:val="nil"/>
              <w:left w:val="nil"/>
              <w:bottom w:val="nil"/>
            </w:tcBorders>
          </w:tcPr>
          <w:p w14:paraId="39FACC95"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23CBE415" w14:textId="77777777" w:rsidTr="00083D72">
        <w:trPr>
          <w:trHeight w:val="87"/>
        </w:trPr>
        <w:tc>
          <w:tcPr>
            <w:tcW w:w="860" w:type="pct"/>
            <w:tcBorders>
              <w:top w:val="nil"/>
              <w:bottom w:val="nil"/>
              <w:right w:val="nil"/>
            </w:tcBorders>
          </w:tcPr>
          <w:p w14:paraId="0E4AED84" w14:textId="77777777" w:rsidR="00083D72" w:rsidRPr="00785BF3" w:rsidRDefault="00083D72" w:rsidP="00083D72">
            <w:pPr>
              <w:rPr>
                <w:rFonts w:ascii="Times New Roman" w:hAnsi="Times New Roman" w:cs="Times New Roman"/>
                <w:color w:val="000000"/>
                <w:sz w:val="19"/>
                <w:szCs w:val="19"/>
              </w:rPr>
            </w:pPr>
            <w:proofErr w:type="spellStart"/>
            <w:r w:rsidRPr="00785BF3">
              <w:rPr>
                <w:rFonts w:ascii="Times New Roman" w:hAnsi="Times New Roman" w:cs="Times New Roman"/>
                <w:color w:val="000000"/>
                <w:sz w:val="19"/>
                <w:szCs w:val="19"/>
              </w:rPr>
              <w:t>Defense</w:t>
            </w:r>
            <w:proofErr w:type="spellEnd"/>
          </w:p>
        </w:tc>
        <w:tc>
          <w:tcPr>
            <w:tcW w:w="390" w:type="pct"/>
            <w:tcBorders>
              <w:top w:val="nil"/>
              <w:left w:val="nil"/>
              <w:bottom w:val="nil"/>
              <w:right w:val="nil"/>
            </w:tcBorders>
          </w:tcPr>
          <w:p w14:paraId="6B869A6C"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13</w:t>
            </w:r>
          </w:p>
        </w:tc>
        <w:tc>
          <w:tcPr>
            <w:tcW w:w="391" w:type="pct"/>
            <w:tcBorders>
              <w:top w:val="nil"/>
              <w:left w:val="nil"/>
              <w:bottom w:val="nil"/>
              <w:right w:val="nil"/>
            </w:tcBorders>
          </w:tcPr>
          <w:p w14:paraId="25DF074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0.44</w:t>
            </w:r>
          </w:p>
        </w:tc>
        <w:tc>
          <w:tcPr>
            <w:tcW w:w="391" w:type="pct"/>
            <w:tcBorders>
              <w:top w:val="nil"/>
              <w:left w:val="nil"/>
              <w:bottom w:val="nil"/>
              <w:right w:val="nil"/>
            </w:tcBorders>
          </w:tcPr>
          <w:p w14:paraId="782764A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0.60</w:t>
            </w:r>
          </w:p>
        </w:tc>
        <w:tc>
          <w:tcPr>
            <w:tcW w:w="547" w:type="pct"/>
            <w:tcBorders>
              <w:top w:val="nil"/>
              <w:left w:val="nil"/>
              <w:bottom w:val="nil"/>
              <w:right w:val="nil"/>
            </w:tcBorders>
          </w:tcPr>
          <w:p w14:paraId="1A4CE1B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bottom w:val="nil"/>
              <w:right w:val="nil"/>
            </w:tcBorders>
          </w:tcPr>
          <w:p w14:paraId="127BDFF5"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Textiles</w:t>
            </w:r>
          </w:p>
        </w:tc>
        <w:tc>
          <w:tcPr>
            <w:tcW w:w="390" w:type="pct"/>
            <w:tcBorders>
              <w:top w:val="nil"/>
              <w:left w:val="nil"/>
              <w:bottom w:val="nil"/>
              <w:right w:val="nil"/>
            </w:tcBorders>
          </w:tcPr>
          <w:p w14:paraId="354B6F8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w:t>
            </w:r>
          </w:p>
        </w:tc>
        <w:tc>
          <w:tcPr>
            <w:tcW w:w="313" w:type="pct"/>
            <w:tcBorders>
              <w:top w:val="nil"/>
              <w:left w:val="nil"/>
              <w:bottom w:val="nil"/>
              <w:right w:val="nil"/>
            </w:tcBorders>
          </w:tcPr>
          <w:p w14:paraId="2A0175D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0.37</w:t>
            </w:r>
          </w:p>
        </w:tc>
        <w:tc>
          <w:tcPr>
            <w:tcW w:w="391" w:type="pct"/>
            <w:tcBorders>
              <w:top w:val="nil"/>
              <w:left w:val="nil"/>
              <w:bottom w:val="nil"/>
              <w:right w:val="nil"/>
            </w:tcBorders>
          </w:tcPr>
          <w:p w14:paraId="15137C8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0.59</w:t>
            </w:r>
          </w:p>
        </w:tc>
        <w:tc>
          <w:tcPr>
            <w:tcW w:w="545" w:type="pct"/>
            <w:tcBorders>
              <w:top w:val="nil"/>
              <w:left w:val="nil"/>
              <w:bottom w:val="nil"/>
            </w:tcBorders>
          </w:tcPr>
          <w:p w14:paraId="279BEC7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09E0BAA4" w14:textId="77777777" w:rsidTr="00083D72">
        <w:trPr>
          <w:trHeight w:val="87"/>
        </w:trPr>
        <w:tc>
          <w:tcPr>
            <w:tcW w:w="860" w:type="pct"/>
            <w:tcBorders>
              <w:top w:val="nil"/>
              <w:bottom w:val="nil"/>
              <w:right w:val="nil"/>
            </w:tcBorders>
          </w:tcPr>
          <w:p w14:paraId="5FF9B259"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Electrical Equip</w:t>
            </w:r>
          </w:p>
        </w:tc>
        <w:tc>
          <w:tcPr>
            <w:tcW w:w="390" w:type="pct"/>
            <w:tcBorders>
              <w:top w:val="nil"/>
              <w:left w:val="nil"/>
              <w:bottom w:val="nil"/>
              <w:right w:val="nil"/>
            </w:tcBorders>
          </w:tcPr>
          <w:p w14:paraId="093BED6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116</w:t>
            </w:r>
          </w:p>
        </w:tc>
        <w:tc>
          <w:tcPr>
            <w:tcW w:w="391" w:type="pct"/>
            <w:tcBorders>
              <w:top w:val="nil"/>
              <w:left w:val="nil"/>
              <w:bottom w:val="nil"/>
              <w:right w:val="nil"/>
            </w:tcBorders>
          </w:tcPr>
          <w:p w14:paraId="5B105A6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3.93</w:t>
            </w:r>
          </w:p>
        </w:tc>
        <w:tc>
          <w:tcPr>
            <w:tcW w:w="391" w:type="pct"/>
            <w:tcBorders>
              <w:top w:val="nil"/>
              <w:left w:val="nil"/>
              <w:bottom w:val="nil"/>
              <w:right w:val="nil"/>
            </w:tcBorders>
          </w:tcPr>
          <w:p w14:paraId="1D69A35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0.47</w:t>
            </w:r>
          </w:p>
        </w:tc>
        <w:tc>
          <w:tcPr>
            <w:tcW w:w="547" w:type="pct"/>
            <w:tcBorders>
              <w:top w:val="nil"/>
              <w:left w:val="nil"/>
              <w:bottom w:val="nil"/>
              <w:right w:val="nil"/>
            </w:tcBorders>
          </w:tcPr>
          <w:p w14:paraId="78AB629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c>
          <w:tcPr>
            <w:tcW w:w="782" w:type="pct"/>
            <w:tcBorders>
              <w:top w:val="nil"/>
              <w:left w:val="nil"/>
              <w:bottom w:val="nil"/>
              <w:right w:val="nil"/>
            </w:tcBorders>
          </w:tcPr>
          <w:p w14:paraId="61F15673"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Tobacco Products</w:t>
            </w:r>
          </w:p>
        </w:tc>
        <w:tc>
          <w:tcPr>
            <w:tcW w:w="390" w:type="pct"/>
            <w:tcBorders>
              <w:top w:val="nil"/>
              <w:left w:val="nil"/>
              <w:bottom w:val="nil"/>
              <w:right w:val="nil"/>
            </w:tcBorders>
          </w:tcPr>
          <w:p w14:paraId="028E6AB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w:t>
            </w:r>
          </w:p>
        </w:tc>
        <w:tc>
          <w:tcPr>
            <w:tcW w:w="313" w:type="pct"/>
            <w:tcBorders>
              <w:top w:val="nil"/>
              <w:left w:val="nil"/>
              <w:bottom w:val="nil"/>
              <w:right w:val="nil"/>
            </w:tcBorders>
          </w:tcPr>
          <w:p w14:paraId="2C9FFE3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0.34</w:t>
            </w:r>
          </w:p>
        </w:tc>
        <w:tc>
          <w:tcPr>
            <w:tcW w:w="391" w:type="pct"/>
            <w:tcBorders>
              <w:top w:val="nil"/>
              <w:left w:val="nil"/>
              <w:bottom w:val="nil"/>
              <w:right w:val="nil"/>
            </w:tcBorders>
          </w:tcPr>
          <w:p w14:paraId="10E94042"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0.81</w:t>
            </w:r>
          </w:p>
        </w:tc>
        <w:tc>
          <w:tcPr>
            <w:tcW w:w="545" w:type="pct"/>
            <w:tcBorders>
              <w:top w:val="nil"/>
              <w:left w:val="nil"/>
              <w:bottom w:val="nil"/>
            </w:tcBorders>
          </w:tcPr>
          <w:p w14:paraId="5F52E324"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64DFD50A" w14:textId="77777777" w:rsidTr="00083D72">
        <w:trPr>
          <w:trHeight w:val="464"/>
        </w:trPr>
        <w:tc>
          <w:tcPr>
            <w:tcW w:w="860" w:type="pct"/>
            <w:tcBorders>
              <w:top w:val="nil"/>
              <w:bottom w:val="nil"/>
              <w:right w:val="nil"/>
            </w:tcBorders>
          </w:tcPr>
          <w:p w14:paraId="0D64E1E6"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Electronic Equip</w:t>
            </w:r>
          </w:p>
        </w:tc>
        <w:tc>
          <w:tcPr>
            <w:tcW w:w="390" w:type="pct"/>
            <w:tcBorders>
              <w:top w:val="nil"/>
              <w:left w:val="nil"/>
              <w:bottom w:val="nil"/>
              <w:right w:val="nil"/>
            </w:tcBorders>
          </w:tcPr>
          <w:p w14:paraId="723AF07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233</w:t>
            </w:r>
          </w:p>
        </w:tc>
        <w:tc>
          <w:tcPr>
            <w:tcW w:w="391" w:type="pct"/>
            <w:tcBorders>
              <w:top w:val="nil"/>
              <w:left w:val="nil"/>
              <w:bottom w:val="nil"/>
              <w:right w:val="nil"/>
            </w:tcBorders>
          </w:tcPr>
          <w:p w14:paraId="5A291DF7"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7.89</w:t>
            </w:r>
          </w:p>
        </w:tc>
        <w:tc>
          <w:tcPr>
            <w:tcW w:w="391" w:type="pct"/>
            <w:tcBorders>
              <w:top w:val="nil"/>
              <w:left w:val="nil"/>
              <w:bottom w:val="nil"/>
              <w:right w:val="nil"/>
            </w:tcBorders>
          </w:tcPr>
          <w:p w14:paraId="766F60DF"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0.57</w:t>
            </w:r>
          </w:p>
        </w:tc>
        <w:tc>
          <w:tcPr>
            <w:tcW w:w="547" w:type="pct"/>
            <w:tcBorders>
              <w:top w:val="nil"/>
              <w:left w:val="nil"/>
              <w:bottom w:val="nil"/>
              <w:right w:val="nil"/>
            </w:tcBorders>
          </w:tcPr>
          <w:p w14:paraId="29E44A8B"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0.05</w:t>
            </w:r>
          </w:p>
        </w:tc>
        <w:tc>
          <w:tcPr>
            <w:tcW w:w="782" w:type="pct"/>
            <w:tcBorders>
              <w:top w:val="nil"/>
              <w:left w:val="nil"/>
              <w:bottom w:val="nil"/>
              <w:right w:val="nil"/>
            </w:tcBorders>
          </w:tcPr>
          <w:p w14:paraId="360C6FF8"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Transportation</w:t>
            </w:r>
          </w:p>
        </w:tc>
        <w:tc>
          <w:tcPr>
            <w:tcW w:w="390" w:type="pct"/>
            <w:tcBorders>
              <w:top w:val="nil"/>
              <w:left w:val="nil"/>
              <w:bottom w:val="nil"/>
              <w:right w:val="nil"/>
            </w:tcBorders>
          </w:tcPr>
          <w:p w14:paraId="16303CC9"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w:t>
            </w:r>
          </w:p>
        </w:tc>
        <w:tc>
          <w:tcPr>
            <w:tcW w:w="313" w:type="pct"/>
            <w:tcBorders>
              <w:top w:val="nil"/>
              <w:left w:val="nil"/>
              <w:bottom w:val="nil"/>
              <w:right w:val="nil"/>
            </w:tcBorders>
          </w:tcPr>
          <w:p w14:paraId="5398ADA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0.14</w:t>
            </w:r>
          </w:p>
        </w:tc>
        <w:tc>
          <w:tcPr>
            <w:tcW w:w="391" w:type="pct"/>
            <w:tcBorders>
              <w:top w:val="nil"/>
              <w:left w:val="nil"/>
              <w:bottom w:val="nil"/>
              <w:right w:val="nil"/>
            </w:tcBorders>
          </w:tcPr>
          <w:p w14:paraId="2349E5B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0.55</w:t>
            </w:r>
          </w:p>
        </w:tc>
        <w:tc>
          <w:tcPr>
            <w:tcW w:w="545" w:type="pct"/>
            <w:tcBorders>
              <w:top w:val="nil"/>
              <w:left w:val="nil"/>
              <w:bottom w:val="nil"/>
            </w:tcBorders>
          </w:tcPr>
          <w:p w14:paraId="64FD4F8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083D72" w:rsidRPr="00785BF3" w14:paraId="4AB0ADDD" w14:textId="77777777" w:rsidTr="00083D72">
        <w:trPr>
          <w:trHeight w:val="135"/>
        </w:trPr>
        <w:tc>
          <w:tcPr>
            <w:tcW w:w="860" w:type="pct"/>
            <w:tcBorders>
              <w:top w:val="nil"/>
              <w:right w:val="nil"/>
            </w:tcBorders>
          </w:tcPr>
          <w:p w14:paraId="79FCBDEA" w14:textId="77777777" w:rsidR="00083D72" w:rsidRPr="00785BF3" w:rsidRDefault="00083D72" w:rsidP="00083D72">
            <w:pPr>
              <w:rPr>
                <w:rFonts w:ascii="Times New Roman" w:hAnsi="Times New Roman" w:cs="Times New Roman"/>
                <w:color w:val="000000"/>
                <w:sz w:val="19"/>
                <w:szCs w:val="19"/>
              </w:rPr>
            </w:pPr>
            <w:r w:rsidRPr="00785BF3">
              <w:rPr>
                <w:rFonts w:ascii="Times New Roman" w:hAnsi="Times New Roman" w:cs="Times New Roman"/>
                <w:color w:val="000000"/>
                <w:sz w:val="19"/>
                <w:szCs w:val="19"/>
              </w:rPr>
              <w:t>Entertainment</w:t>
            </w:r>
          </w:p>
        </w:tc>
        <w:tc>
          <w:tcPr>
            <w:tcW w:w="390" w:type="pct"/>
            <w:tcBorders>
              <w:top w:val="nil"/>
              <w:left w:val="nil"/>
              <w:right w:val="nil"/>
            </w:tcBorders>
          </w:tcPr>
          <w:p w14:paraId="700EBFAD"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6</w:t>
            </w:r>
          </w:p>
        </w:tc>
        <w:tc>
          <w:tcPr>
            <w:tcW w:w="391" w:type="pct"/>
            <w:tcBorders>
              <w:top w:val="nil"/>
              <w:left w:val="nil"/>
              <w:right w:val="nil"/>
            </w:tcBorders>
          </w:tcPr>
          <w:p w14:paraId="00DC51D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0.20</w:t>
            </w:r>
          </w:p>
        </w:tc>
        <w:tc>
          <w:tcPr>
            <w:tcW w:w="391" w:type="pct"/>
            <w:tcBorders>
              <w:top w:val="nil"/>
              <w:left w:val="nil"/>
              <w:right w:val="nil"/>
            </w:tcBorders>
          </w:tcPr>
          <w:p w14:paraId="1F3CD15E"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0.64</w:t>
            </w:r>
          </w:p>
        </w:tc>
        <w:tc>
          <w:tcPr>
            <w:tcW w:w="547" w:type="pct"/>
            <w:tcBorders>
              <w:top w:val="nil"/>
              <w:left w:val="nil"/>
              <w:right w:val="nil"/>
            </w:tcBorders>
          </w:tcPr>
          <w:p w14:paraId="7B38CD53"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782" w:type="pct"/>
            <w:tcBorders>
              <w:top w:val="nil"/>
              <w:left w:val="nil"/>
              <w:right w:val="nil"/>
            </w:tcBorders>
          </w:tcPr>
          <w:p w14:paraId="4D29EE1D" w14:textId="77777777" w:rsidR="00083D72" w:rsidRPr="00785BF3" w:rsidRDefault="00083D72" w:rsidP="00083D72">
            <w:pPr>
              <w:rPr>
                <w:rFonts w:ascii="Times New Roman" w:hAnsi="Times New Roman" w:cs="Times New Roman"/>
                <w:sz w:val="19"/>
                <w:szCs w:val="19"/>
                <w:lang w:val="en-US"/>
              </w:rPr>
            </w:pPr>
            <w:r w:rsidRPr="00785BF3">
              <w:rPr>
                <w:rFonts w:ascii="Times New Roman" w:hAnsi="Times New Roman" w:cs="Times New Roman"/>
                <w:color w:val="000000"/>
                <w:sz w:val="19"/>
                <w:szCs w:val="19"/>
              </w:rPr>
              <w:t>Wholesale</w:t>
            </w:r>
          </w:p>
        </w:tc>
        <w:tc>
          <w:tcPr>
            <w:tcW w:w="390" w:type="pct"/>
            <w:tcBorders>
              <w:top w:val="nil"/>
              <w:left w:val="nil"/>
              <w:right w:val="nil"/>
            </w:tcBorders>
          </w:tcPr>
          <w:p w14:paraId="5CA0A1A1"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65</w:t>
            </w:r>
          </w:p>
        </w:tc>
        <w:tc>
          <w:tcPr>
            <w:tcW w:w="313" w:type="pct"/>
            <w:tcBorders>
              <w:top w:val="nil"/>
              <w:left w:val="nil"/>
              <w:right w:val="nil"/>
            </w:tcBorders>
          </w:tcPr>
          <w:p w14:paraId="19658830"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2.20</w:t>
            </w:r>
          </w:p>
        </w:tc>
        <w:tc>
          <w:tcPr>
            <w:tcW w:w="391" w:type="pct"/>
            <w:tcBorders>
              <w:top w:val="nil"/>
              <w:left w:val="nil"/>
              <w:right w:val="nil"/>
            </w:tcBorders>
          </w:tcPr>
          <w:p w14:paraId="67266616"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0.53</w:t>
            </w:r>
          </w:p>
        </w:tc>
        <w:tc>
          <w:tcPr>
            <w:tcW w:w="545" w:type="pct"/>
            <w:tcBorders>
              <w:top w:val="nil"/>
              <w:left w:val="nil"/>
            </w:tcBorders>
          </w:tcPr>
          <w:p w14:paraId="4727533A" w14:textId="77777777" w:rsidR="00083D72" w:rsidRPr="00785BF3" w:rsidRDefault="00083D72" w:rsidP="00083D72">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r>
    </w:tbl>
    <w:tbl>
      <w:tblPr>
        <w:tblStyle w:val="TableGrid"/>
        <w:tblpPr w:leftFromText="180" w:rightFromText="180" w:vertAnchor="text" w:horzAnchor="margin" w:tblpY="-174"/>
        <w:tblW w:w="5034" w:type="pct"/>
        <w:tblLook w:val="04A0" w:firstRow="1" w:lastRow="0" w:firstColumn="1" w:lastColumn="0" w:noHBand="0" w:noVBand="1"/>
      </w:tblPr>
      <w:tblGrid>
        <w:gridCol w:w="9081"/>
      </w:tblGrid>
      <w:tr w:rsidR="00106CFF" w:rsidRPr="00785BF3" w14:paraId="7D599E75" w14:textId="77777777" w:rsidTr="00106CFF">
        <w:trPr>
          <w:trHeight w:val="128"/>
        </w:trPr>
        <w:tc>
          <w:tcPr>
            <w:tcW w:w="5000" w:type="pct"/>
            <w:tcBorders>
              <w:left w:val="nil"/>
              <w:bottom w:val="single" w:sz="4" w:space="0" w:color="auto"/>
              <w:right w:val="nil"/>
            </w:tcBorders>
          </w:tcPr>
          <w:p w14:paraId="7112E7F5" w14:textId="07EA5056" w:rsidR="00106CFF" w:rsidRPr="00537A5B" w:rsidRDefault="00537A5B" w:rsidP="00537A5B">
            <w:pPr>
              <w:jc w:val="center"/>
              <w:rPr>
                <w:rFonts w:ascii="Times New Roman" w:hAnsi="Times New Roman" w:cs="Times New Roman"/>
                <w:sz w:val="19"/>
                <w:szCs w:val="19"/>
              </w:rPr>
            </w:pPr>
            <w:bookmarkStart w:id="30" w:name="_Toc167763059"/>
            <w:r>
              <w:rPr>
                <w:rStyle w:val="Heading2Char"/>
                <w:rFonts w:ascii="Times New Roman" w:hAnsi="Times New Roman" w:cs="Times New Roman"/>
                <w:b/>
                <w:bCs/>
                <w:color w:val="auto"/>
                <w:sz w:val="19"/>
                <w:szCs w:val="19"/>
              </w:rPr>
              <w:lastRenderedPageBreak/>
              <w:t>T</w:t>
            </w:r>
            <w:r w:rsidR="00106CFF" w:rsidRPr="00537A5B">
              <w:rPr>
                <w:rStyle w:val="Heading2Char"/>
                <w:rFonts w:ascii="Times New Roman" w:hAnsi="Times New Roman" w:cs="Times New Roman"/>
                <w:b/>
                <w:bCs/>
                <w:color w:val="auto"/>
                <w:sz w:val="19"/>
                <w:szCs w:val="19"/>
              </w:rPr>
              <w:t>able 2</w:t>
            </w:r>
            <w:bookmarkEnd w:id="30"/>
            <w:r w:rsidR="00106CFF" w:rsidRPr="00537A5B">
              <w:rPr>
                <w:rFonts w:ascii="Times New Roman" w:hAnsi="Times New Roman" w:cs="Times New Roman"/>
                <w:sz w:val="19"/>
                <w:szCs w:val="19"/>
              </w:rPr>
              <w:t>: Summary Statistics and Subsample Analysis</w:t>
            </w:r>
          </w:p>
        </w:tc>
      </w:tr>
      <w:tr w:rsidR="00106CFF" w:rsidRPr="00785BF3" w14:paraId="72C33AE6" w14:textId="77777777" w:rsidTr="00106CFF">
        <w:trPr>
          <w:trHeight w:val="81"/>
        </w:trPr>
        <w:tc>
          <w:tcPr>
            <w:tcW w:w="5000" w:type="pct"/>
            <w:tcBorders>
              <w:left w:val="nil"/>
              <w:bottom w:val="single" w:sz="4" w:space="0" w:color="auto"/>
              <w:right w:val="nil"/>
            </w:tcBorders>
          </w:tcPr>
          <w:p w14:paraId="7220E377" w14:textId="30345428" w:rsidR="00106CFF" w:rsidRPr="00785BF3" w:rsidRDefault="00106CFF" w:rsidP="00106CFF">
            <w:pPr>
              <w:rPr>
                <w:rFonts w:ascii="Times New Roman" w:hAnsi="Times New Roman" w:cs="Times New Roman"/>
                <w:sz w:val="19"/>
                <w:szCs w:val="19"/>
              </w:rPr>
            </w:pPr>
            <w:proofErr w:type="spellStart"/>
            <w:r w:rsidRPr="00785BF3">
              <w:rPr>
                <w:rFonts w:ascii="Times New Roman" w:hAnsi="Times New Roman" w:cs="Times New Roman"/>
                <w:sz w:val="19"/>
                <w:szCs w:val="19"/>
                <w:lang w:val="el-GR"/>
              </w:rPr>
              <w:t>This</w:t>
            </w:r>
            <w:proofErr w:type="spellEnd"/>
            <w:r w:rsidRPr="00785BF3">
              <w:rPr>
                <w:rFonts w:ascii="Times New Roman" w:hAnsi="Times New Roman" w:cs="Times New Roman"/>
                <w:sz w:val="19"/>
                <w:szCs w:val="19"/>
                <w:lang w:val="el-GR"/>
              </w:rPr>
              <w:t xml:space="preserve"> </w:t>
            </w:r>
            <w:proofErr w:type="spellStart"/>
            <w:r w:rsidRPr="00785BF3">
              <w:rPr>
                <w:rFonts w:ascii="Times New Roman" w:hAnsi="Times New Roman" w:cs="Times New Roman"/>
                <w:sz w:val="19"/>
                <w:szCs w:val="19"/>
                <w:lang w:val="el-GR"/>
              </w:rPr>
              <w:t>table</w:t>
            </w:r>
            <w:proofErr w:type="spellEnd"/>
            <w:r w:rsidR="00313BEA">
              <w:rPr>
                <w:rFonts w:ascii="Times New Roman" w:hAnsi="Times New Roman" w:cs="Times New Roman"/>
                <w:sz w:val="19"/>
                <w:szCs w:val="19"/>
              </w:rPr>
              <w:t xml:space="preserve"> illustrates </w:t>
            </w:r>
            <w:r w:rsidRPr="00785BF3">
              <w:rPr>
                <w:rFonts w:ascii="Times New Roman" w:hAnsi="Times New Roman" w:cs="Times New Roman"/>
                <w:sz w:val="19"/>
                <w:szCs w:val="19"/>
                <w:lang w:val="el-GR"/>
              </w:rPr>
              <w:t xml:space="preserve">the </w:t>
            </w:r>
            <w:r w:rsidRPr="00785BF3">
              <w:rPr>
                <w:rFonts w:ascii="Times New Roman" w:hAnsi="Times New Roman" w:cs="Times New Roman"/>
                <w:sz w:val="19"/>
                <w:szCs w:val="19"/>
              </w:rPr>
              <w:t xml:space="preserve">summary statistics and analysis of firm-year observations from 1998 to 2009. All continuous variables are </w:t>
            </w:r>
            <w:proofErr w:type="spellStart"/>
            <w:r w:rsidRPr="00785BF3">
              <w:rPr>
                <w:rFonts w:ascii="Times New Roman" w:hAnsi="Times New Roman" w:cs="Times New Roman"/>
                <w:sz w:val="19"/>
                <w:szCs w:val="19"/>
              </w:rPr>
              <w:t>winsorised</w:t>
            </w:r>
            <w:proofErr w:type="spellEnd"/>
            <w:r w:rsidRPr="00785BF3">
              <w:rPr>
                <w:rFonts w:ascii="Times New Roman" w:hAnsi="Times New Roman" w:cs="Times New Roman"/>
                <w:sz w:val="19"/>
                <w:szCs w:val="19"/>
              </w:rPr>
              <w:t xml:space="preserve"> at the 1</w:t>
            </w:r>
            <w:r w:rsidRPr="00785BF3">
              <w:rPr>
                <w:rFonts w:ascii="Times New Roman" w:hAnsi="Times New Roman" w:cs="Times New Roman"/>
                <w:sz w:val="19"/>
                <w:szCs w:val="19"/>
                <w:vertAlign w:val="superscript"/>
              </w:rPr>
              <w:t>st</w:t>
            </w:r>
            <w:r w:rsidRPr="00785BF3">
              <w:rPr>
                <w:rFonts w:ascii="Times New Roman" w:hAnsi="Times New Roman" w:cs="Times New Roman"/>
                <w:sz w:val="19"/>
                <w:szCs w:val="19"/>
              </w:rPr>
              <w:t xml:space="preserve"> and 99</w:t>
            </w:r>
            <w:r w:rsidRPr="00785BF3">
              <w:rPr>
                <w:rFonts w:ascii="Times New Roman" w:hAnsi="Times New Roman" w:cs="Times New Roman"/>
                <w:sz w:val="19"/>
                <w:szCs w:val="19"/>
                <w:vertAlign w:val="superscript"/>
              </w:rPr>
              <w:t>th</w:t>
            </w:r>
            <w:r w:rsidRPr="00785BF3">
              <w:rPr>
                <w:rFonts w:ascii="Times New Roman" w:hAnsi="Times New Roman" w:cs="Times New Roman"/>
                <w:sz w:val="19"/>
                <w:szCs w:val="19"/>
              </w:rPr>
              <w:t xml:space="preserve"> percentiles. All variables are identified and defined in Appendix A.</w:t>
            </w:r>
          </w:p>
        </w:tc>
      </w:tr>
    </w:tbl>
    <w:p w14:paraId="696C5102" w14:textId="77777777" w:rsidR="00083D72" w:rsidRPr="00785BF3" w:rsidRDefault="00083D72" w:rsidP="00083D72">
      <w:pPr>
        <w:rPr>
          <w:rFonts w:ascii="Times New Roman" w:hAnsi="Times New Roman" w:cs="Times New Roman"/>
        </w:rPr>
      </w:pPr>
    </w:p>
    <w:tbl>
      <w:tblPr>
        <w:tblStyle w:val="TableGrid"/>
        <w:tblpPr w:leftFromText="180" w:rightFromText="180" w:vertAnchor="page" w:horzAnchor="margin" w:tblpY="2386"/>
        <w:tblW w:w="5034" w:type="pct"/>
        <w:tblLook w:val="04A0" w:firstRow="1" w:lastRow="0" w:firstColumn="1" w:lastColumn="0" w:noHBand="0" w:noVBand="1"/>
      </w:tblPr>
      <w:tblGrid>
        <w:gridCol w:w="2794"/>
        <w:gridCol w:w="898"/>
        <w:gridCol w:w="897"/>
        <w:gridCol w:w="897"/>
        <w:gridCol w:w="897"/>
        <w:gridCol w:w="897"/>
        <w:gridCol w:w="897"/>
        <w:gridCol w:w="904"/>
      </w:tblGrid>
      <w:tr w:rsidR="00106CFF" w:rsidRPr="00785BF3" w14:paraId="70CCCA7B" w14:textId="77777777" w:rsidTr="00106CFF">
        <w:trPr>
          <w:trHeight w:val="132"/>
        </w:trPr>
        <w:tc>
          <w:tcPr>
            <w:tcW w:w="5000" w:type="pct"/>
            <w:gridSpan w:val="8"/>
            <w:tcBorders>
              <w:top w:val="single" w:sz="4" w:space="0" w:color="auto"/>
              <w:left w:val="nil"/>
              <w:bottom w:val="single" w:sz="4" w:space="0" w:color="auto"/>
              <w:right w:val="nil"/>
            </w:tcBorders>
          </w:tcPr>
          <w:p w14:paraId="46136314"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 xml:space="preserve">Panel A – </w:t>
            </w:r>
            <w:r w:rsidRPr="00785BF3">
              <w:rPr>
                <w:rFonts w:ascii="Times New Roman" w:hAnsi="Times New Roman" w:cs="Times New Roman"/>
                <w:sz w:val="19"/>
                <w:szCs w:val="19"/>
                <w:lang w:val="en-US"/>
              </w:rPr>
              <w:t>Summary Statistics</w:t>
            </w:r>
          </w:p>
        </w:tc>
      </w:tr>
      <w:tr w:rsidR="00106CFF" w:rsidRPr="00785BF3" w14:paraId="2AD87F49" w14:textId="77777777" w:rsidTr="00106CFF">
        <w:trPr>
          <w:trHeight w:val="20"/>
        </w:trPr>
        <w:tc>
          <w:tcPr>
            <w:tcW w:w="1538" w:type="pct"/>
            <w:tcBorders>
              <w:left w:val="nil"/>
              <w:bottom w:val="single" w:sz="4" w:space="0" w:color="auto"/>
              <w:right w:val="nil"/>
            </w:tcBorders>
          </w:tcPr>
          <w:p w14:paraId="7B80D72D" w14:textId="77777777" w:rsidR="00106CFF" w:rsidRPr="00785BF3" w:rsidRDefault="00106CFF" w:rsidP="00106CFF">
            <w:pP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Variables</w:t>
            </w:r>
          </w:p>
        </w:tc>
        <w:tc>
          <w:tcPr>
            <w:tcW w:w="494" w:type="pct"/>
            <w:tcBorders>
              <w:left w:val="nil"/>
              <w:bottom w:val="single" w:sz="4" w:space="0" w:color="auto"/>
              <w:right w:val="nil"/>
            </w:tcBorders>
          </w:tcPr>
          <w:p w14:paraId="18CBDB5A"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Mean</w:t>
            </w:r>
          </w:p>
        </w:tc>
        <w:tc>
          <w:tcPr>
            <w:tcW w:w="494" w:type="pct"/>
            <w:tcBorders>
              <w:left w:val="nil"/>
              <w:bottom w:val="single" w:sz="4" w:space="0" w:color="auto"/>
              <w:right w:val="nil"/>
            </w:tcBorders>
          </w:tcPr>
          <w:p w14:paraId="5FAAC4DD"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SD</w:t>
            </w:r>
          </w:p>
        </w:tc>
        <w:tc>
          <w:tcPr>
            <w:tcW w:w="494" w:type="pct"/>
            <w:tcBorders>
              <w:left w:val="nil"/>
              <w:bottom w:val="single" w:sz="4" w:space="0" w:color="auto"/>
              <w:right w:val="nil"/>
            </w:tcBorders>
          </w:tcPr>
          <w:p w14:paraId="354F42D4"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Min</w:t>
            </w:r>
          </w:p>
        </w:tc>
        <w:tc>
          <w:tcPr>
            <w:tcW w:w="494" w:type="pct"/>
            <w:tcBorders>
              <w:left w:val="nil"/>
              <w:bottom w:val="single" w:sz="4" w:space="0" w:color="auto"/>
              <w:right w:val="nil"/>
            </w:tcBorders>
          </w:tcPr>
          <w:p w14:paraId="3CC3921D"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Max</w:t>
            </w:r>
          </w:p>
        </w:tc>
        <w:tc>
          <w:tcPr>
            <w:tcW w:w="494" w:type="pct"/>
            <w:tcBorders>
              <w:left w:val="nil"/>
              <w:bottom w:val="single" w:sz="4" w:space="0" w:color="auto"/>
              <w:right w:val="nil"/>
            </w:tcBorders>
          </w:tcPr>
          <w:p w14:paraId="35C926DF"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P25</w:t>
            </w:r>
          </w:p>
        </w:tc>
        <w:tc>
          <w:tcPr>
            <w:tcW w:w="494" w:type="pct"/>
            <w:tcBorders>
              <w:left w:val="nil"/>
              <w:bottom w:val="single" w:sz="4" w:space="0" w:color="auto"/>
              <w:right w:val="nil"/>
            </w:tcBorders>
          </w:tcPr>
          <w:p w14:paraId="00E505AB"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P50</w:t>
            </w:r>
          </w:p>
        </w:tc>
        <w:tc>
          <w:tcPr>
            <w:tcW w:w="498" w:type="pct"/>
            <w:tcBorders>
              <w:left w:val="nil"/>
              <w:bottom w:val="single" w:sz="4" w:space="0" w:color="auto"/>
              <w:right w:val="nil"/>
            </w:tcBorders>
          </w:tcPr>
          <w:p w14:paraId="6D171DA0" w14:textId="77777777" w:rsidR="00106CFF" w:rsidRPr="00785BF3" w:rsidRDefault="00106CFF"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P75</w:t>
            </w:r>
          </w:p>
        </w:tc>
      </w:tr>
      <w:tr w:rsidR="00106CFF" w:rsidRPr="00785BF3" w14:paraId="2F4E55AF" w14:textId="77777777" w:rsidTr="00106CFF">
        <w:trPr>
          <w:trHeight w:val="224"/>
        </w:trPr>
        <w:tc>
          <w:tcPr>
            <w:tcW w:w="1538" w:type="pct"/>
            <w:tcBorders>
              <w:top w:val="single" w:sz="4" w:space="0" w:color="auto"/>
              <w:left w:val="nil"/>
              <w:bottom w:val="nil"/>
              <w:right w:val="nil"/>
            </w:tcBorders>
          </w:tcPr>
          <w:p w14:paraId="4E97D1C9"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Speed of Adjustment (SOA)</w:t>
            </w:r>
          </w:p>
        </w:tc>
        <w:tc>
          <w:tcPr>
            <w:tcW w:w="494" w:type="pct"/>
            <w:tcBorders>
              <w:top w:val="single" w:sz="4" w:space="0" w:color="auto"/>
              <w:left w:val="nil"/>
              <w:bottom w:val="nil"/>
              <w:right w:val="nil"/>
            </w:tcBorders>
          </w:tcPr>
          <w:p w14:paraId="3157E3B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0.55</w:t>
            </w:r>
          </w:p>
        </w:tc>
        <w:tc>
          <w:tcPr>
            <w:tcW w:w="494" w:type="pct"/>
            <w:tcBorders>
              <w:top w:val="single" w:sz="4" w:space="0" w:color="auto"/>
              <w:left w:val="nil"/>
              <w:bottom w:val="nil"/>
              <w:right w:val="nil"/>
            </w:tcBorders>
          </w:tcPr>
          <w:p w14:paraId="13C69E59"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0.45</w:t>
            </w:r>
          </w:p>
        </w:tc>
        <w:tc>
          <w:tcPr>
            <w:tcW w:w="494" w:type="pct"/>
            <w:tcBorders>
              <w:top w:val="single" w:sz="4" w:space="0" w:color="auto"/>
              <w:left w:val="nil"/>
              <w:bottom w:val="nil"/>
              <w:right w:val="nil"/>
            </w:tcBorders>
          </w:tcPr>
          <w:p w14:paraId="45B573C7"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-0.79</w:t>
            </w:r>
          </w:p>
        </w:tc>
        <w:tc>
          <w:tcPr>
            <w:tcW w:w="494" w:type="pct"/>
            <w:tcBorders>
              <w:top w:val="single" w:sz="4" w:space="0" w:color="auto"/>
              <w:left w:val="nil"/>
              <w:bottom w:val="nil"/>
              <w:right w:val="nil"/>
            </w:tcBorders>
          </w:tcPr>
          <w:p w14:paraId="5D27830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1.62</w:t>
            </w:r>
          </w:p>
        </w:tc>
        <w:tc>
          <w:tcPr>
            <w:tcW w:w="494" w:type="pct"/>
            <w:tcBorders>
              <w:top w:val="single" w:sz="4" w:space="0" w:color="auto"/>
              <w:left w:val="nil"/>
              <w:bottom w:val="nil"/>
              <w:right w:val="nil"/>
            </w:tcBorders>
          </w:tcPr>
          <w:p w14:paraId="4FDA159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0.20</w:t>
            </w:r>
          </w:p>
        </w:tc>
        <w:tc>
          <w:tcPr>
            <w:tcW w:w="494" w:type="pct"/>
            <w:tcBorders>
              <w:top w:val="single" w:sz="4" w:space="0" w:color="auto"/>
              <w:left w:val="nil"/>
              <w:bottom w:val="nil"/>
              <w:right w:val="nil"/>
            </w:tcBorders>
          </w:tcPr>
          <w:p w14:paraId="7C7BBD6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0 .54</w:t>
            </w:r>
          </w:p>
        </w:tc>
        <w:tc>
          <w:tcPr>
            <w:tcW w:w="498" w:type="pct"/>
            <w:tcBorders>
              <w:top w:val="single" w:sz="4" w:space="0" w:color="auto"/>
              <w:left w:val="nil"/>
              <w:bottom w:val="nil"/>
              <w:right w:val="nil"/>
            </w:tcBorders>
          </w:tcPr>
          <w:p w14:paraId="321D764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0.99</w:t>
            </w:r>
          </w:p>
        </w:tc>
      </w:tr>
      <w:tr w:rsidR="00106CFF" w:rsidRPr="00785BF3" w14:paraId="6B30A4E5" w14:textId="77777777" w:rsidTr="00106CFF">
        <w:trPr>
          <w:trHeight w:val="96"/>
        </w:trPr>
        <w:tc>
          <w:tcPr>
            <w:tcW w:w="1538" w:type="pct"/>
            <w:tcBorders>
              <w:top w:val="nil"/>
              <w:left w:val="nil"/>
              <w:bottom w:val="nil"/>
              <w:right w:val="nil"/>
            </w:tcBorders>
          </w:tcPr>
          <w:p w14:paraId="6B39EBA5"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Misstate</w:t>
            </w:r>
          </w:p>
        </w:tc>
        <w:tc>
          <w:tcPr>
            <w:tcW w:w="494" w:type="pct"/>
            <w:tcBorders>
              <w:top w:val="nil"/>
              <w:left w:val="nil"/>
              <w:bottom w:val="nil"/>
              <w:right w:val="nil"/>
            </w:tcBorders>
          </w:tcPr>
          <w:p w14:paraId="2812075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c>
          <w:tcPr>
            <w:tcW w:w="494" w:type="pct"/>
            <w:tcBorders>
              <w:top w:val="nil"/>
              <w:left w:val="nil"/>
              <w:bottom w:val="nil"/>
              <w:right w:val="nil"/>
            </w:tcBorders>
          </w:tcPr>
          <w:p w14:paraId="56AF50F7"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0.15</w:t>
            </w:r>
          </w:p>
        </w:tc>
        <w:tc>
          <w:tcPr>
            <w:tcW w:w="494" w:type="pct"/>
            <w:tcBorders>
              <w:top w:val="nil"/>
              <w:left w:val="nil"/>
              <w:bottom w:val="nil"/>
              <w:right w:val="nil"/>
            </w:tcBorders>
          </w:tcPr>
          <w:p w14:paraId="1EC209D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494" w:type="pct"/>
            <w:tcBorders>
              <w:top w:val="nil"/>
              <w:left w:val="nil"/>
              <w:bottom w:val="nil"/>
              <w:right w:val="nil"/>
            </w:tcBorders>
          </w:tcPr>
          <w:p w14:paraId="14FF7AF5"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w:t>
            </w:r>
          </w:p>
        </w:tc>
        <w:tc>
          <w:tcPr>
            <w:tcW w:w="494" w:type="pct"/>
            <w:tcBorders>
              <w:top w:val="nil"/>
              <w:left w:val="nil"/>
              <w:bottom w:val="nil"/>
              <w:right w:val="nil"/>
            </w:tcBorders>
          </w:tcPr>
          <w:p w14:paraId="281CCF4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494" w:type="pct"/>
            <w:tcBorders>
              <w:top w:val="nil"/>
              <w:left w:val="nil"/>
              <w:bottom w:val="nil"/>
              <w:right w:val="nil"/>
            </w:tcBorders>
          </w:tcPr>
          <w:p w14:paraId="74490BE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498" w:type="pct"/>
            <w:tcBorders>
              <w:top w:val="nil"/>
              <w:left w:val="nil"/>
              <w:bottom w:val="nil"/>
              <w:right w:val="nil"/>
            </w:tcBorders>
          </w:tcPr>
          <w:p w14:paraId="315A2B01"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r>
      <w:tr w:rsidR="00106CFF" w:rsidRPr="00785BF3" w14:paraId="01CB84F0" w14:textId="77777777" w:rsidTr="00106CFF">
        <w:trPr>
          <w:trHeight w:val="20"/>
        </w:trPr>
        <w:tc>
          <w:tcPr>
            <w:tcW w:w="1538" w:type="pct"/>
            <w:tcBorders>
              <w:top w:val="nil"/>
              <w:left w:val="nil"/>
              <w:bottom w:val="nil"/>
              <w:right w:val="nil"/>
            </w:tcBorders>
          </w:tcPr>
          <w:p w14:paraId="4432D5BC"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EBITDA</w:t>
            </w:r>
          </w:p>
        </w:tc>
        <w:tc>
          <w:tcPr>
            <w:tcW w:w="494" w:type="pct"/>
            <w:tcBorders>
              <w:top w:val="nil"/>
              <w:left w:val="nil"/>
              <w:bottom w:val="nil"/>
              <w:right w:val="nil"/>
            </w:tcBorders>
          </w:tcPr>
          <w:p w14:paraId="6D3E608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0.16</w:t>
            </w:r>
          </w:p>
        </w:tc>
        <w:tc>
          <w:tcPr>
            <w:tcW w:w="494" w:type="pct"/>
            <w:tcBorders>
              <w:top w:val="nil"/>
              <w:left w:val="nil"/>
              <w:bottom w:val="nil"/>
              <w:right w:val="nil"/>
            </w:tcBorders>
          </w:tcPr>
          <w:p w14:paraId="0D0A86C5"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0.08</w:t>
            </w:r>
          </w:p>
        </w:tc>
        <w:tc>
          <w:tcPr>
            <w:tcW w:w="494" w:type="pct"/>
            <w:tcBorders>
              <w:top w:val="nil"/>
              <w:left w:val="nil"/>
              <w:bottom w:val="nil"/>
              <w:right w:val="nil"/>
            </w:tcBorders>
          </w:tcPr>
          <w:p w14:paraId="67E0F82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-0.29</w:t>
            </w:r>
          </w:p>
        </w:tc>
        <w:tc>
          <w:tcPr>
            <w:tcW w:w="494" w:type="pct"/>
            <w:tcBorders>
              <w:top w:val="nil"/>
              <w:left w:val="nil"/>
              <w:bottom w:val="nil"/>
              <w:right w:val="nil"/>
            </w:tcBorders>
          </w:tcPr>
          <w:p w14:paraId="3C9BC52F"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0.42</w:t>
            </w:r>
          </w:p>
        </w:tc>
        <w:tc>
          <w:tcPr>
            <w:tcW w:w="494" w:type="pct"/>
            <w:tcBorders>
              <w:top w:val="nil"/>
              <w:left w:val="nil"/>
              <w:bottom w:val="nil"/>
              <w:right w:val="nil"/>
            </w:tcBorders>
          </w:tcPr>
          <w:p w14:paraId="3EE86295"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0.12</w:t>
            </w:r>
          </w:p>
        </w:tc>
        <w:tc>
          <w:tcPr>
            <w:tcW w:w="494" w:type="pct"/>
            <w:tcBorders>
              <w:top w:val="nil"/>
              <w:left w:val="nil"/>
              <w:bottom w:val="nil"/>
              <w:right w:val="nil"/>
            </w:tcBorders>
          </w:tcPr>
          <w:p w14:paraId="741AC50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0.15</w:t>
            </w:r>
          </w:p>
        </w:tc>
        <w:tc>
          <w:tcPr>
            <w:tcW w:w="498" w:type="pct"/>
            <w:tcBorders>
              <w:top w:val="nil"/>
              <w:left w:val="nil"/>
              <w:bottom w:val="nil"/>
              <w:right w:val="nil"/>
            </w:tcBorders>
          </w:tcPr>
          <w:p w14:paraId="42062BCF"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0.20</w:t>
            </w:r>
          </w:p>
        </w:tc>
      </w:tr>
      <w:tr w:rsidR="00106CFF" w:rsidRPr="00785BF3" w14:paraId="0A1EBAB8" w14:textId="77777777" w:rsidTr="00106CFF">
        <w:trPr>
          <w:trHeight w:val="96"/>
        </w:trPr>
        <w:tc>
          <w:tcPr>
            <w:tcW w:w="1538" w:type="pct"/>
            <w:tcBorders>
              <w:top w:val="nil"/>
              <w:left w:val="nil"/>
              <w:bottom w:val="nil"/>
              <w:right w:val="nil"/>
            </w:tcBorders>
          </w:tcPr>
          <w:p w14:paraId="77B78B67"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Asset tangibility</w:t>
            </w:r>
          </w:p>
        </w:tc>
        <w:tc>
          <w:tcPr>
            <w:tcW w:w="494" w:type="pct"/>
            <w:tcBorders>
              <w:top w:val="nil"/>
              <w:left w:val="nil"/>
              <w:bottom w:val="nil"/>
              <w:right w:val="nil"/>
            </w:tcBorders>
          </w:tcPr>
          <w:p w14:paraId="576BF2A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0.25</w:t>
            </w:r>
          </w:p>
        </w:tc>
        <w:tc>
          <w:tcPr>
            <w:tcW w:w="494" w:type="pct"/>
            <w:tcBorders>
              <w:top w:val="nil"/>
              <w:left w:val="nil"/>
              <w:bottom w:val="nil"/>
              <w:right w:val="nil"/>
            </w:tcBorders>
          </w:tcPr>
          <w:p w14:paraId="63496B7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0.15</w:t>
            </w:r>
          </w:p>
        </w:tc>
        <w:tc>
          <w:tcPr>
            <w:tcW w:w="494" w:type="pct"/>
            <w:tcBorders>
              <w:top w:val="nil"/>
              <w:left w:val="nil"/>
              <w:bottom w:val="nil"/>
              <w:right w:val="nil"/>
            </w:tcBorders>
          </w:tcPr>
          <w:p w14:paraId="12AC191C"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tc>
        <w:tc>
          <w:tcPr>
            <w:tcW w:w="494" w:type="pct"/>
            <w:tcBorders>
              <w:top w:val="nil"/>
              <w:left w:val="nil"/>
              <w:bottom w:val="nil"/>
              <w:right w:val="nil"/>
            </w:tcBorders>
          </w:tcPr>
          <w:p w14:paraId="6F4C0416"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0.86</w:t>
            </w:r>
          </w:p>
        </w:tc>
        <w:tc>
          <w:tcPr>
            <w:tcW w:w="494" w:type="pct"/>
            <w:tcBorders>
              <w:top w:val="nil"/>
              <w:left w:val="nil"/>
              <w:bottom w:val="nil"/>
              <w:right w:val="nil"/>
            </w:tcBorders>
          </w:tcPr>
          <w:p w14:paraId="5245B3A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0.14</w:t>
            </w:r>
          </w:p>
        </w:tc>
        <w:tc>
          <w:tcPr>
            <w:tcW w:w="494" w:type="pct"/>
            <w:tcBorders>
              <w:top w:val="nil"/>
              <w:left w:val="nil"/>
              <w:bottom w:val="nil"/>
              <w:right w:val="nil"/>
            </w:tcBorders>
          </w:tcPr>
          <w:p w14:paraId="570B056F"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0.22</w:t>
            </w:r>
          </w:p>
        </w:tc>
        <w:tc>
          <w:tcPr>
            <w:tcW w:w="498" w:type="pct"/>
            <w:tcBorders>
              <w:top w:val="nil"/>
              <w:left w:val="nil"/>
              <w:bottom w:val="nil"/>
              <w:right w:val="nil"/>
            </w:tcBorders>
          </w:tcPr>
          <w:p w14:paraId="5CDC4A6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0.33</w:t>
            </w:r>
          </w:p>
        </w:tc>
      </w:tr>
      <w:tr w:rsidR="00106CFF" w:rsidRPr="00785BF3" w14:paraId="3E79BE0D" w14:textId="77777777" w:rsidTr="00106CFF">
        <w:trPr>
          <w:trHeight w:val="20"/>
        </w:trPr>
        <w:tc>
          <w:tcPr>
            <w:tcW w:w="1538" w:type="pct"/>
            <w:tcBorders>
              <w:top w:val="nil"/>
              <w:left w:val="nil"/>
              <w:bottom w:val="nil"/>
              <w:right w:val="nil"/>
            </w:tcBorders>
          </w:tcPr>
          <w:p w14:paraId="57EDD6E5"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Market-to-Book ratio</w:t>
            </w:r>
          </w:p>
        </w:tc>
        <w:tc>
          <w:tcPr>
            <w:tcW w:w="494" w:type="pct"/>
            <w:tcBorders>
              <w:top w:val="nil"/>
              <w:left w:val="nil"/>
              <w:bottom w:val="nil"/>
              <w:right w:val="nil"/>
            </w:tcBorders>
          </w:tcPr>
          <w:p w14:paraId="5A59F5E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2.01</w:t>
            </w:r>
          </w:p>
        </w:tc>
        <w:tc>
          <w:tcPr>
            <w:tcW w:w="494" w:type="pct"/>
            <w:tcBorders>
              <w:top w:val="nil"/>
              <w:left w:val="nil"/>
              <w:bottom w:val="nil"/>
              <w:right w:val="nil"/>
            </w:tcBorders>
          </w:tcPr>
          <w:p w14:paraId="483C1355"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1.29</w:t>
            </w:r>
          </w:p>
        </w:tc>
        <w:tc>
          <w:tcPr>
            <w:tcW w:w="494" w:type="pct"/>
            <w:tcBorders>
              <w:top w:val="nil"/>
              <w:left w:val="nil"/>
              <w:bottom w:val="nil"/>
              <w:right w:val="nil"/>
            </w:tcBorders>
          </w:tcPr>
          <w:p w14:paraId="43BE9159"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0.63</w:t>
            </w:r>
          </w:p>
        </w:tc>
        <w:tc>
          <w:tcPr>
            <w:tcW w:w="494" w:type="pct"/>
            <w:tcBorders>
              <w:top w:val="nil"/>
              <w:left w:val="nil"/>
              <w:bottom w:val="nil"/>
              <w:right w:val="nil"/>
            </w:tcBorders>
          </w:tcPr>
          <w:p w14:paraId="00DAEBA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10.50</w:t>
            </w:r>
          </w:p>
        </w:tc>
        <w:tc>
          <w:tcPr>
            <w:tcW w:w="494" w:type="pct"/>
            <w:tcBorders>
              <w:top w:val="nil"/>
              <w:left w:val="nil"/>
              <w:bottom w:val="nil"/>
              <w:right w:val="nil"/>
            </w:tcBorders>
          </w:tcPr>
          <w:p w14:paraId="698E79B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1.24</w:t>
            </w:r>
          </w:p>
        </w:tc>
        <w:tc>
          <w:tcPr>
            <w:tcW w:w="494" w:type="pct"/>
            <w:tcBorders>
              <w:top w:val="nil"/>
              <w:left w:val="nil"/>
              <w:bottom w:val="nil"/>
              <w:right w:val="nil"/>
            </w:tcBorders>
          </w:tcPr>
          <w:p w14:paraId="19DF855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1.62</w:t>
            </w:r>
          </w:p>
        </w:tc>
        <w:tc>
          <w:tcPr>
            <w:tcW w:w="498" w:type="pct"/>
            <w:tcBorders>
              <w:top w:val="nil"/>
              <w:left w:val="nil"/>
              <w:bottom w:val="nil"/>
              <w:right w:val="nil"/>
            </w:tcBorders>
          </w:tcPr>
          <w:p w14:paraId="2F0A700F"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2.34</w:t>
            </w:r>
          </w:p>
        </w:tc>
      </w:tr>
      <w:tr w:rsidR="00106CFF" w:rsidRPr="00785BF3" w14:paraId="13FDBE80" w14:textId="77777777" w:rsidTr="00106CFF">
        <w:trPr>
          <w:trHeight w:val="20"/>
        </w:trPr>
        <w:tc>
          <w:tcPr>
            <w:tcW w:w="1538" w:type="pct"/>
            <w:tcBorders>
              <w:top w:val="nil"/>
              <w:left w:val="nil"/>
              <w:bottom w:val="nil"/>
              <w:right w:val="nil"/>
            </w:tcBorders>
          </w:tcPr>
          <w:p w14:paraId="5F7CC0F4"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Size</w:t>
            </w:r>
          </w:p>
        </w:tc>
        <w:tc>
          <w:tcPr>
            <w:tcW w:w="494" w:type="pct"/>
            <w:tcBorders>
              <w:top w:val="nil"/>
              <w:left w:val="nil"/>
              <w:bottom w:val="nil"/>
              <w:right w:val="nil"/>
            </w:tcBorders>
          </w:tcPr>
          <w:p w14:paraId="50032E6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7.37</w:t>
            </w:r>
          </w:p>
        </w:tc>
        <w:tc>
          <w:tcPr>
            <w:tcW w:w="494" w:type="pct"/>
            <w:tcBorders>
              <w:top w:val="nil"/>
              <w:left w:val="nil"/>
              <w:bottom w:val="nil"/>
              <w:right w:val="nil"/>
            </w:tcBorders>
          </w:tcPr>
          <w:p w14:paraId="2516FBA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2.29</w:t>
            </w:r>
          </w:p>
        </w:tc>
        <w:tc>
          <w:tcPr>
            <w:tcW w:w="494" w:type="pct"/>
            <w:tcBorders>
              <w:top w:val="nil"/>
              <w:left w:val="nil"/>
              <w:bottom w:val="nil"/>
              <w:right w:val="nil"/>
            </w:tcBorders>
          </w:tcPr>
          <w:p w14:paraId="7DC038C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1.22</w:t>
            </w:r>
          </w:p>
        </w:tc>
        <w:tc>
          <w:tcPr>
            <w:tcW w:w="494" w:type="pct"/>
            <w:tcBorders>
              <w:top w:val="nil"/>
              <w:left w:val="nil"/>
              <w:bottom w:val="nil"/>
              <w:right w:val="nil"/>
            </w:tcBorders>
          </w:tcPr>
          <w:p w14:paraId="524E728C"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11.93</w:t>
            </w:r>
          </w:p>
        </w:tc>
        <w:tc>
          <w:tcPr>
            <w:tcW w:w="494" w:type="pct"/>
            <w:tcBorders>
              <w:top w:val="nil"/>
              <w:left w:val="nil"/>
              <w:bottom w:val="nil"/>
              <w:right w:val="nil"/>
            </w:tcBorders>
          </w:tcPr>
          <w:p w14:paraId="268D394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5.85</w:t>
            </w:r>
          </w:p>
        </w:tc>
        <w:tc>
          <w:tcPr>
            <w:tcW w:w="494" w:type="pct"/>
            <w:tcBorders>
              <w:top w:val="nil"/>
              <w:left w:val="nil"/>
              <w:bottom w:val="nil"/>
              <w:right w:val="nil"/>
            </w:tcBorders>
          </w:tcPr>
          <w:p w14:paraId="12DC340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7.40</w:t>
            </w:r>
          </w:p>
        </w:tc>
        <w:tc>
          <w:tcPr>
            <w:tcW w:w="498" w:type="pct"/>
            <w:tcBorders>
              <w:top w:val="nil"/>
              <w:left w:val="nil"/>
              <w:bottom w:val="nil"/>
              <w:right w:val="nil"/>
            </w:tcBorders>
          </w:tcPr>
          <w:p w14:paraId="24C4264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9.02</w:t>
            </w:r>
          </w:p>
        </w:tc>
      </w:tr>
      <w:tr w:rsidR="00106CFF" w:rsidRPr="00785BF3" w14:paraId="233926EC" w14:textId="77777777" w:rsidTr="00106CFF">
        <w:trPr>
          <w:trHeight w:val="20"/>
        </w:trPr>
        <w:tc>
          <w:tcPr>
            <w:tcW w:w="1538" w:type="pct"/>
            <w:tcBorders>
              <w:top w:val="nil"/>
              <w:left w:val="nil"/>
              <w:bottom w:val="nil"/>
              <w:right w:val="nil"/>
            </w:tcBorders>
          </w:tcPr>
          <w:p w14:paraId="0881F145"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Capital Expenditure</w:t>
            </w:r>
          </w:p>
        </w:tc>
        <w:tc>
          <w:tcPr>
            <w:tcW w:w="494" w:type="pct"/>
            <w:tcBorders>
              <w:top w:val="nil"/>
              <w:left w:val="nil"/>
              <w:bottom w:val="nil"/>
              <w:right w:val="nil"/>
            </w:tcBorders>
          </w:tcPr>
          <w:p w14:paraId="7C11A37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494" w:type="pct"/>
            <w:tcBorders>
              <w:top w:val="nil"/>
              <w:left w:val="nil"/>
              <w:bottom w:val="nil"/>
              <w:right w:val="nil"/>
            </w:tcBorders>
          </w:tcPr>
          <w:p w14:paraId="4BB88C9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494" w:type="pct"/>
            <w:tcBorders>
              <w:top w:val="nil"/>
              <w:left w:val="nil"/>
              <w:bottom w:val="nil"/>
              <w:right w:val="nil"/>
            </w:tcBorders>
          </w:tcPr>
          <w:p w14:paraId="01F6ECB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494" w:type="pct"/>
            <w:tcBorders>
              <w:top w:val="nil"/>
              <w:left w:val="nil"/>
              <w:bottom w:val="nil"/>
              <w:right w:val="nil"/>
            </w:tcBorders>
          </w:tcPr>
          <w:p w14:paraId="78E3796C"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0 .33</w:t>
            </w:r>
          </w:p>
        </w:tc>
        <w:tc>
          <w:tcPr>
            <w:tcW w:w="494" w:type="pct"/>
            <w:tcBorders>
              <w:top w:val="nil"/>
              <w:left w:val="nil"/>
              <w:bottom w:val="nil"/>
              <w:right w:val="nil"/>
            </w:tcBorders>
          </w:tcPr>
          <w:p w14:paraId="49B621B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c>
          <w:tcPr>
            <w:tcW w:w="494" w:type="pct"/>
            <w:tcBorders>
              <w:top w:val="nil"/>
              <w:left w:val="nil"/>
              <w:bottom w:val="nil"/>
              <w:right w:val="nil"/>
            </w:tcBorders>
          </w:tcPr>
          <w:p w14:paraId="6B394A0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tc>
        <w:tc>
          <w:tcPr>
            <w:tcW w:w="498" w:type="pct"/>
            <w:tcBorders>
              <w:top w:val="nil"/>
              <w:left w:val="nil"/>
              <w:bottom w:val="nil"/>
              <w:right w:val="nil"/>
            </w:tcBorders>
          </w:tcPr>
          <w:p w14:paraId="0FD96D0C"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0.06</w:t>
            </w:r>
          </w:p>
        </w:tc>
      </w:tr>
      <w:tr w:rsidR="00106CFF" w:rsidRPr="00785BF3" w14:paraId="74DAAE8B" w14:textId="77777777" w:rsidTr="00106CFF">
        <w:trPr>
          <w:trHeight w:val="20"/>
        </w:trPr>
        <w:tc>
          <w:tcPr>
            <w:tcW w:w="1538" w:type="pct"/>
            <w:tcBorders>
              <w:top w:val="nil"/>
              <w:left w:val="nil"/>
              <w:bottom w:val="nil"/>
              <w:right w:val="nil"/>
            </w:tcBorders>
          </w:tcPr>
          <w:p w14:paraId="62970319"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R&amp;D Expenditure</w:t>
            </w:r>
          </w:p>
        </w:tc>
        <w:tc>
          <w:tcPr>
            <w:tcW w:w="494" w:type="pct"/>
            <w:tcBorders>
              <w:top w:val="nil"/>
              <w:left w:val="nil"/>
              <w:bottom w:val="nil"/>
              <w:right w:val="nil"/>
            </w:tcBorders>
          </w:tcPr>
          <w:p w14:paraId="565ECE57"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tc>
        <w:tc>
          <w:tcPr>
            <w:tcW w:w="494" w:type="pct"/>
            <w:tcBorders>
              <w:top w:val="nil"/>
              <w:left w:val="nil"/>
              <w:bottom w:val="nil"/>
              <w:right w:val="nil"/>
            </w:tcBorders>
          </w:tcPr>
          <w:p w14:paraId="0E1ECDE7"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494" w:type="pct"/>
            <w:tcBorders>
              <w:top w:val="nil"/>
              <w:left w:val="nil"/>
              <w:bottom w:val="nil"/>
              <w:right w:val="nil"/>
            </w:tcBorders>
          </w:tcPr>
          <w:p w14:paraId="4ECDD8C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494" w:type="pct"/>
            <w:tcBorders>
              <w:top w:val="nil"/>
              <w:left w:val="nil"/>
              <w:bottom w:val="nil"/>
              <w:right w:val="nil"/>
            </w:tcBorders>
          </w:tcPr>
          <w:p w14:paraId="4A023D8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0.30</w:t>
            </w:r>
          </w:p>
        </w:tc>
        <w:tc>
          <w:tcPr>
            <w:tcW w:w="494" w:type="pct"/>
            <w:tcBorders>
              <w:top w:val="nil"/>
              <w:left w:val="nil"/>
              <w:bottom w:val="nil"/>
              <w:right w:val="nil"/>
            </w:tcBorders>
          </w:tcPr>
          <w:p w14:paraId="52FF722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tc>
        <w:tc>
          <w:tcPr>
            <w:tcW w:w="494" w:type="pct"/>
            <w:tcBorders>
              <w:top w:val="nil"/>
              <w:left w:val="nil"/>
              <w:bottom w:val="nil"/>
              <w:right w:val="nil"/>
            </w:tcBorders>
          </w:tcPr>
          <w:p w14:paraId="2CCC3E81"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c>
          <w:tcPr>
            <w:tcW w:w="498" w:type="pct"/>
            <w:tcBorders>
              <w:top w:val="nil"/>
              <w:left w:val="nil"/>
              <w:bottom w:val="nil"/>
              <w:right w:val="nil"/>
            </w:tcBorders>
          </w:tcPr>
          <w:p w14:paraId="3286B501"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r>
      <w:tr w:rsidR="00106CFF" w:rsidRPr="00785BF3" w14:paraId="58CB0CDA" w14:textId="77777777" w:rsidTr="00106CFF">
        <w:trPr>
          <w:trHeight w:val="20"/>
        </w:trPr>
        <w:tc>
          <w:tcPr>
            <w:tcW w:w="1538" w:type="pct"/>
            <w:tcBorders>
              <w:top w:val="nil"/>
              <w:left w:val="nil"/>
              <w:bottom w:val="nil"/>
              <w:right w:val="nil"/>
            </w:tcBorders>
          </w:tcPr>
          <w:p w14:paraId="0466F9C5"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Cash Holdings</w:t>
            </w:r>
          </w:p>
        </w:tc>
        <w:tc>
          <w:tcPr>
            <w:tcW w:w="494" w:type="pct"/>
            <w:tcBorders>
              <w:top w:val="nil"/>
              <w:left w:val="nil"/>
              <w:bottom w:val="nil"/>
              <w:right w:val="nil"/>
            </w:tcBorders>
          </w:tcPr>
          <w:p w14:paraId="7D88A40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0.12</w:t>
            </w:r>
          </w:p>
        </w:tc>
        <w:tc>
          <w:tcPr>
            <w:tcW w:w="494" w:type="pct"/>
            <w:tcBorders>
              <w:top w:val="nil"/>
              <w:left w:val="nil"/>
              <w:bottom w:val="nil"/>
              <w:right w:val="nil"/>
            </w:tcBorders>
          </w:tcPr>
          <w:p w14:paraId="7E087EF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0.14</w:t>
            </w:r>
          </w:p>
        </w:tc>
        <w:tc>
          <w:tcPr>
            <w:tcW w:w="494" w:type="pct"/>
            <w:tcBorders>
              <w:top w:val="nil"/>
              <w:left w:val="nil"/>
              <w:bottom w:val="nil"/>
              <w:right w:val="nil"/>
            </w:tcBorders>
          </w:tcPr>
          <w:p w14:paraId="26FCE52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tc>
        <w:tc>
          <w:tcPr>
            <w:tcW w:w="494" w:type="pct"/>
            <w:tcBorders>
              <w:top w:val="nil"/>
              <w:left w:val="nil"/>
              <w:bottom w:val="nil"/>
              <w:right w:val="nil"/>
            </w:tcBorders>
          </w:tcPr>
          <w:p w14:paraId="4EF03EB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0.83</w:t>
            </w:r>
          </w:p>
        </w:tc>
        <w:tc>
          <w:tcPr>
            <w:tcW w:w="494" w:type="pct"/>
            <w:tcBorders>
              <w:top w:val="nil"/>
              <w:left w:val="nil"/>
              <w:bottom w:val="nil"/>
              <w:right w:val="nil"/>
            </w:tcBorders>
          </w:tcPr>
          <w:p w14:paraId="71A2F71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tc>
        <w:tc>
          <w:tcPr>
            <w:tcW w:w="494" w:type="pct"/>
            <w:tcBorders>
              <w:top w:val="nil"/>
              <w:left w:val="nil"/>
              <w:bottom w:val="nil"/>
              <w:right w:val="nil"/>
            </w:tcBorders>
          </w:tcPr>
          <w:p w14:paraId="13EE8D9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0.07</w:t>
            </w:r>
          </w:p>
        </w:tc>
        <w:tc>
          <w:tcPr>
            <w:tcW w:w="498" w:type="pct"/>
            <w:tcBorders>
              <w:top w:val="nil"/>
              <w:left w:val="nil"/>
              <w:bottom w:val="nil"/>
              <w:right w:val="nil"/>
            </w:tcBorders>
          </w:tcPr>
          <w:p w14:paraId="41BBB2E7"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0.16</w:t>
            </w:r>
          </w:p>
        </w:tc>
      </w:tr>
      <w:tr w:rsidR="00106CFF" w:rsidRPr="00785BF3" w14:paraId="4CC12486" w14:textId="77777777" w:rsidTr="00106CFF">
        <w:trPr>
          <w:trHeight w:val="20"/>
        </w:trPr>
        <w:tc>
          <w:tcPr>
            <w:tcW w:w="1538" w:type="pct"/>
            <w:tcBorders>
              <w:top w:val="nil"/>
              <w:left w:val="nil"/>
              <w:bottom w:val="nil"/>
              <w:right w:val="nil"/>
            </w:tcBorders>
          </w:tcPr>
          <w:p w14:paraId="00B8E53C"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Earnings AR(1)</w:t>
            </w:r>
          </w:p>
        </w:tc>
        <w:tc>
          <w:tcPr>
            <w:tcW w:w="494" w:type="pct"/>
            <w:tcBorders>
              <w:top w:val="nil"/>
              <w:left w:val="nil"/>
              <w:bottom w:val="nil"/>
              <w:right w:val="nil"/>
            </w:tcBorders>
          </w:tcPr>
          <w:p w14:paraId="503EE0B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-0.25</w:t>
            </w:r>
          </w:p>
        </w:tc>
        <w:tc>
          <w:tcPr>
            <w:tcW w:w="494" w:type="pct"/>
            <w:tcBorders>
              <w:top w:val="nil"/>
              <w:left w:val="nil"/>
              <w:bottom w:val="nil"/>
              <w:right w:val="nil"/>
            </w:tcBorders>
          </w:tcPr>
          <w:p w14:paraId="173F0BD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0.29</w:t>
            </w:r>
          </w:p>
        </w:tc>
        <w:tc>
          <w:tcPr>
            <w:tcW w:w="494" w:type="pct"/>
            <w:tcBorders>
              <w:top w:val="nil"/>
              <w:left w:val="nil"/>
              <w:bottom w:val="nil"/>
              <w:right w:val="nil"/>
            </w:tcBorders>
          </w:tcPr>
          <w:p w14:paraId="68B53F9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-1.08</w:t>
            </w:r>
          </w:p>
        </w:tc>
        <w:tc>
          <w:tcPr>
            <w:tcW w:w="494" w:type="pct"/>
            <w:tcBorders>
              <w:top w:val="nil"/>
              <w:left w:val="nil"/>
              <w:bottom w:val="nil"/>
              <w:right w:val="nil"/>
            </w:tcBorders>
          </w:tcPr>
          <w:p w14:paraId="0C558EED"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0.62</w:t>
            </w:r>
          </w:p>
        </w:tc>
        <w:tc>
          <w:tcPr>
            <w:tcW w:w="494" w:type="pct"/>
            <w:tcBorders>
              <w:top w:val="nil"/>
              <w:left w:val="nil"/>
              <w:bottom w:val="nil"/>
              <w:right w:val="nil"/>
            </w:tcBorders>
          </w:tcPr>
          <w:p w14:paraId="4958D25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-0.43</w:t>
            </w:r>
          </w:p>
        </w:tc>
        <w:tc>
          <w:tcPr>
            <w:tcW w:w="494" w:type="pct"/>
            <w:tcBorders>
              <w:top w:val="nil"/>
              <w:left w:val="nil"/>
              <w:bottom w:val="nil"/>
              <w:right w:val="nil"/>
            </w:tcBorders>
          </w:tcPr>
          <w:p w14:paraId="6F8B49C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-0.28</w:t>
            </w:r>
          </w:p>
        </w:tc>
        <w:tc>
          <w:tcPr>
            <w:tcW w:w="498" w:type="pct"/>
            <w:tcBorders>
              <w:top w:val="nil"/>
              <w:left w:val="nil"/>
              <w:bottom w:val="nil"/>
              <w:right w:val="nil"/>
            </w:tcBorders>
          </w:tcPr>
          <w:p w14:paraId="4D9AF54B"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-0.08</w:t>
            </w:r>
          </w:p>
        </w:tc>
      </w:tr>
      <w:tr w:rsidR="00106CFF" w:rsidRPr="00785BF3" w14:paraId="0EACBE6A" w14:textId="77777777" w:rsidTr="00106CFF">
        <w:trPr>
          <w:trHeight w:val="20"/>
        </w:trPr>
        <w:tc>
          <w:tcPr>
            <w:tcW w:w="1538" w:type="pct"/>
            <w:tcBorders>
              <w:top w:val="nil"/>
              <w:left w:val="nil"/>
              <w:bottom w:val="nil"/>
              <w:right w:val="nil"/>
            </w:tcBorders>
          </w:tcPr>
          <w:p w14:paraId="28A30033"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Herfindahl-Hirschman Index</w:t>
            </w:r>
          </w:p>
        </w:tc>
        <w:tc>
          <w:tcPr>
            <w:tcW w:w="494" w:type="pct"/>
            <w:tcBorders>
              <w:top w:val="nil"/>
              <w:left w:val="nil"/>
              <w:bottom w:val="nil"/>
              <w:right w:val="nil"/>
            </w:tcBorders>
          </w:tcPr>
          <w:p w14:paraId="104B5E0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0.17</w:t>
            </w:r>
          </w:p>
        </w:tc>
        <w:tc>
          <w:tcPr>
            <w:tcW w:w="494" w:type="pct"/>
            <w:tcBorders>
              <w:top w:val="nil"/>
              <w:left w:val="nil"/>
              <w:bottom w:val="nil"/>
              <w:right w:val="nil"/>
            </w:tcBorders>
          </w:tcPr>
          <w:p w14:paraId="3661E5B1"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0.13</w:t>
            </w:r>
          </w:p>
        </w:tc>
        <w:tc>
          <w:tcPr>
            <w:tcW w:w="494" w:type="pct"/>
            <w:tcBorders>
              <w:top w:val="nil"/>
              <w:left w:val="nil"/>
              <w:bottom w:val="nil"/>
              <w:right w:val="nil"/>
            </w:tcBorders>
          </w:tcPr>
          <w:p w14:paraId="64B579E9"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0.05</w:t>
            </w:r>
          </w:p>
        </w:tc>
        <w:tc>
          <w:tcPr>
            <w:tcW w:w="494" w:type="pct"/>
            <w:tcBorders>
              <w:top w:val="nil"/>
              <w:left w:val="nil"/>
              <w:bottom w:val="nil"/>
              <w:right w:val="nil"/>
            </w:tcBorders>
          </w:tcPr>
          <w:p w14:paraId="2112CBD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w:t>
            </w:r>
          </w:p>
        </w:tc>
        <w:tc>
          <w:tcPr>
            <w:tcW w:w="494" w:type="pct"/>
            <w:tcBorders>
              <w:top w:val="nil"/>
              <w:left w:val="nil"/>
              <w:bottom w:val="nil"/>
              <w:right w:val="nil"/>
            </w:tcBorders>
          </w:tcPr>
          <w:p w14:paraId="6922DC0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0.09</w:t>
            </w:r>
          </w:p>
        </w:tc>
        <w:tc>
          <w:tcPr>
            <w:tcW w:w="494" w:type="pct"/>
            <w:tcBorders>
              <w:top w:val="nil"/>
              <w:left w:val="nil"/>
              <w:bottom w:val="nil"/>
              <w:right w:val="nil"/>
            </w:tcBorders>
          </w:tcPr>
          <w:p w14:paraId="79601271"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0.14</w:t>
            </w:r>
          </w:p>
        </w:tc>
        <w:tc>
          <w:tcPr>
            <w:tcW w:w="498" w:type="pct"/>
            <w:tcBorders>
              <w:top w:val="nil"/>
              <w:left w:val="nil"/>
              <w:bottom w:val="nil"/>
              <w:right w:val="nil"/>
            </w:tcBorders>
          </w:tcPr>
          <w:p w14:paraId="75B07CB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0.22</w:t>
            </w:r>
          </w:p>
        </w:tc>
      </w:tr>
      <w:tr w:rsidR="00106CFF" w:rsidRPr="00785BF3" w14:paraId="62286A0D" w14:textId="77777777" w:rsidTr="00106CFF">
        <w:trPr>
          <w:trHeight w:val="20"/>
        </w:trPr>
        <w:tc>
          <w:tcPr>
            <w:tcW w:w="1538" w:type="pct"/>
            <w:tcBorders>
              <w:top w:val="nil"/>
              <w:left w:val="nil"/>
              <w:bottom w:val="nil"/>
              <w:right w:val="nil"/>
            </w:tcBorders>
          </w:tcPr>
          <w:p w14:paraId="1411A4D4"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Sales Growth</w:t>
            </w:r>
          </w:p>
        </w:tc>
        <w:tc>
          <w:tcPr>
            <w:tcW w:w="494" w:type="pct"/>
            <w:tcBorders>
              <w:top w:val="nil"/>
              <w:left w:val="nil"/>
              <w:bottom w:val="nil"/>
              <w:right w:val="nil"/>
            </w:tcBorders>
          </w:tcPr>
          <w:p w14:paraId="03ED14F6"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3.16</w:t>
            </w:r>
          </w:p>
        </w:tc>
        <w:tc>
          <w:tcPr>
            <w:tcW w:w="494" w:type="pct"/>
            <w:tcBorders>
              <w:top w:val="nil"/>
              <w:left w:val="nil"/>
              <w:bottom w:val="nil"/>
              <w:right w:val="nil"/>
            </w:tcBorders>
          </w:tcPr>
          <w:p w14:paraId="3949E0D5"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6.21</w:t>
            </w:r>
          </w:p>
        </w:tc>
        <w:tc>
          <w:tcPr>
            <w:tcW w:w="494" w:type="pct"/>
            <w:tcBorders>
              <w:top w:val="nil"/>
              <w:left w:val="nil"/>
              <w:bottom w:val="nil"/>
              <w:right w:val="nil"/>
            </w:tcBorders>
          </w:tcPr>
          <w:p w14:paraId="62431F7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c>
          <w:tcPr>
            <w:tcW w:w="494" w:type="pct"/>
            <w:tcBorders>
              <w:top w:val="nil"/>
              <w:left w:val="nil"/>
              <w:bottom w:val="nil"/>
              <w:right w:val="nil"/>
            </w:tcBorders>
          </w:tcPr>
          <w:p w14:paraId="441A50F9"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42.25</w:t>
            </w:r>
          </w:p>
        </w:tc>
        <w:tc>
          <w:tcPr>
            <w:tcW w:w="494" w:type="pct"/>
            <w:tcBorders>
              <w:top w:val="nil"/>
              <w:left w:val="nil"/>
              <w:bottom w:val="nil"/>
              <w:right w:val="nil"/>
            </w:tcBorders>
          </w:tcPr>
          <w:p w14:paraId="40A1444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0.78</w:t>
            </w:r>
          </w:p>
        </w:tc>
        <w:tc>
          <w:tcPr>
            <w:tcW w:w="494" w:type="pct"/>
            <w:tcBorders>
              <w:top w:val="nil"/>
              <w:left w:val="nil"/>
              <w:bottom w:val="nil"/>
              <w:right w:val="nil"/>
            </w:tcBorders>
          </w:tcPr>
          <w:p w14:paraId="05C49616"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1.27</w:t>
            </w:r>
          </w:p>
        </w:tc>
        <w:tc>
          <w:tcPr>
            <w:tcW w:w="498" w:type="pct"/>
            <w:tcBorders>
              <w:top w:val="nil"/>
              <w:left w:val="nil"/>
              <w:bottom w:val="nil"/>
              <w:right w:val="nil"/>
            </w:tcBorders>
          </w:tcPr>
          <w:p w14:paraId="61BE7201"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2.70</w:t>
            </w:r>
          </w:p>
        </w:tc>
      </w:tr>
      <w:tr w:rsidR="00106CFF" w:rsidRPr="00785BF3" w14:paraId="1E6D771E" w14:textId="77777777" w:rsidTr="00106CFF">
        <w:trPr>
          <w:trHeight w:val="20"/>
        </w:trPr>
        <w:tc>
          <w:tcPr>
            <w:tcW w:w="1538" w:type="pct"/>
            <w:tcBorders>
              <w:top w:val="nil"/>
              <w:left w:val="nil"/>
              <w:bottom w:val="nil"/>
              <w:right w:val="nil"/>
            </w:tcBorders>
          </w:tcPr>
          <w:p w14:paraId="43795ED2"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Leverage</w:t>
            </w:r>
          </w:p>
        </w:tc>
        <w:tc>
          <w:tcPr>
            <w:tcW w:w="494" w:type="pct"/>
            <w:tcBorders>
              <w:top w:val="nil"/>
              <w:left w:val="nil"/>
              <w:bottom w:val="nil"/>
              <w:right w:val="nil"/>
            </w:tcBorders>
          </w:tcPr>
          <w:p w14:paraId="22377FEC"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0.29</w:t>
            </w:r>
          </w:p>
        </w:tc>
        <w:tc>
          <w:tcPr>
            <w:tcW w:w="494" w:type="pct"/>
            <w:tcBorders>
              <w:top w:val="nil"/>
              <w:left w:val="nil"/>
              <w:bottom w:val="nil"/>
              <w:right w:val="nil"/>
            </w:tcBorders>
          </w:tcPr>
          <w:p w14:paraId="46334E36"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0.41</w:t>
            </w:r>
          </w:p>
        </w:tc>
        <w:tc>
          <w:tcPr>
            <w:tcW w:w="494" w:type="pct"/>
            <w:tcBorders>
              <w:top w:val="nil"/>
              <w:left w:val="nil"/>
              <w:bottom w:val="nil"/>
              <w:right w:val="nil"/>
            </w:tcBorders>
          </w:tcPr>
          <w:p w14:paraId="394C406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494" w:type="pct"/>
            <w:tcBorders>
              <w:top w:val="nil"/>
              <w:left w:val="nil"/>
              <w:bottom w:val="nil"/>
              <w:right w:val="nil"/>
            </w:tcBorders>
          </w:tcPr>
          <w:p w14:paraId="3D4FF155"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3.96</w:t>
            </w:r>
          </w:p>
        </w:tc>
        <w:tc>
          <w:tcPr>
            <w:tcW w:w="494" w:type="pct"/>
            <w:tcBorders>
              <w:top w:val="nil"/>
              <w:left w:val="nil"/>
              <w:bottom w:val="nil"/>
              <w:right w:val="nil"/>
            </w:tcBorders>
          </w:tcPr>
          <w:p w14:paraId="3EEA270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494" w:type="pct"/>
            <w:tcBorders>
              <w:top w:val="nil"/>
              <w:left w:val="nil"/>
              <w:bottom w:val="nil"/>
              <w:right w:val="nil"/>
            </w:tcBorders>
          </w:tcPr>
          <w:p w14:paraId="37E795D3"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0.17</w:t>
            </w:r>
          </w:p>
        </w:tc>
        <w:tc>
          <w:tcPr>
            <w:tcW w:w="498" w:type="pct"/>
            <w:tcBorders>
              <w:top w:val="nil"/>
              <w:left w:val="nil"/>
              <w:bottom w:val="nil"/>
              <w:right w:val="nil"/>
            </w:tcBorders>
          </w:tcPr>
          <w:p w14:paraId="4A6BA388"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0.35</w:t>
            </w:r>
          </w:p>
        </w:tc>
      </w:tr>
      <w:tr w:rsidR="00106CFF" w:rsidRPr="00785BF3" w14:paraId="75D51D22" w14:textId="77777777" w:rsidTr="00106CFF">
        <w:trPr>
          <w:trHeight w:val="20"/>
        </w:trPr>
        <w:tc>
          <w:tcPr>
            <w:tcW w:w="1538" w:type="pct"/>
            <w:tcBorders>
              <w:top w:val="nil"/>
              <w:left w:val="nil"/>
              <w:bottom w:val="single" w:sz="4" w:space="0" w:color="auto"/>
              <w:right w:val="nil"/>
            </w:tcBorders>
          </w:tcPr>
          <w:p w14:paraId="687F8426" w14:textId="77777777" w:rsidR="00106CFF" w:rsidRPr="00785BF3" w:rsidRDefault="00106CFF"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Firm Age</w:t>
            </w:r>
          </w:p>
        </w:tc>
        <w:tc>
          <w:tcPr>
            <w:tcW w:w="494" w:type="pct"/>
            <w:tcBorders>
              <w:top w:val="nil"/>
              <w:left w:val="nil"/>
              <w:bottom w:val="single" w:sz="4" w:space="0" w:color="auto"/>
              <w:right w:val="nil"/>
            </w:tcBorders>
          </w:tcPr>
          <w:p w14:paraId="7EFDA63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37.94</w:t>
            </w:r>
          </w:p>
        </w:tc>
        <w:tc>
          <w:tcPr>
            <w:tcW w:w="494" w:type="pct"/>
            <w:tcBorders>
              <w:top w:val="nil"/>
              <w:left w:val="nil"/>
              <w:bottom w:val="single" w:sz="4" w:space="0" w:color="auto"/>
              <w:right w:val="nil"/>
            </w:tcBorders>
          </w:tcPr>
          <w:p w14:paraId="63DF0C02"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13.68</w:t>
            </w:r>
          </w:p>
        </w:tc>
        <w:tc>
          <w:tcPr>
            <w:tcW w:w="494" w:type="pct"/>
            <w:tcBorders>
              <w:top w:val="nil"/>
              <w:left w:val="nil"/>
              <w:bottom w:val="single" w:sz="4" w:space="0" w:color="auto"/>
              <w:right w:val="nil"/>
            </w:tcBorders>
          </w:tcPr>
          <w:p w14:paraId="7EDC9C30"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11.01</w:t>
            </w:r>
          </w:p>
        </w:tc>
        <w:tc>
          <w:tcPr>
            <w:tcW w:w="494" w:type="pct"/>
            <w:tcBorders>
              <w:top w:val="nil"/>
              <w:left w:val="nil"/>
              <w:bottom w:val="single" w:sz="4" w:space="0" w:color="auto"/>
              <w:right w:val="nil"/>
            </w:tcBorders>
          </w:tcPr>
          <w:p w14:paraId="7060DA1E"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59.79</w:t>
            </w:r>
          </w:p>
        </w:tc>
        <w:tc>
          <w:tcPr>
            <w:tcW w:w="494" w:type="pct"/>
            <w:tcBorders>
              <w:top w:val="nil"/>
              <w:left w:val="nil"/>
              <w:bottom w:val="single" w:sz="4" w:space="0" w:color="auto"/>
              <w:right w:val="nil"/>
            </w:tcBorders>
          </w:tcPr>
          <w:p w14:paraId="4E9C945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26.93</w:t>
            </w:r>
          </w:p>
        </w:tc>
        <w:tc>
          <w:tcPr>
            <w:tcW w:w="494" w:type="pct"/>
            <w:tcBorders>
              <w:top w:val="nil"/>
              <w:left w:val="nil"/>
              <w:bottom w:val="single" w:sz="4" w:space="0" w:color="auto"/>
              <w:right w:val="nil"/>
            </w:tcBorders>
          </w:tcPr>
          <w:p w14:paraId="67F335DA"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39.11</w:t>
            </w:r>
          </w:p>
        </w:tc>
        <w:tc>
          <w:tcPr>
            <w:tcW w:w="498" w:type="pct"/>
            <w:tcBorders>
              <w:top w:val="nil"/>
              <w:left w:val="nil"/>
              <w:bottom w:val="single" w:sz="4" w:space="0" w:color="auto"/>
              <w:right w:val="nil"/>
            </w:tcBorders>
          </w:tcPr>
          <w:p w14:paraId="7865D624" w14:textId="77777777" w:rsidR="00106CFF" w:rsidRPr="00785BF3" w:rsidRDefault="00106CFF"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49.45</w:t>
            </w:r>
          </w:p>
        </w:tc>
      </w:tr>
    </w:tbl>
    <w:p w14:paraId="178F30F8" w14:textId="77777777" w:rsidR="00083D72" w:rsidRDefault="00083D72" w:rsidP="00083D72">
      <w:pPr>
        <w:rPr>
          <w:rFonts w:ascii="Times New Roman" w:hAnsi="Times New Roman" w:cs="Times New Roman"/>
          <w:sz w:val="19"/>
          <w:szCs w:val="19"/>
        </w:rPr>
      </w:pPr>
    </w:p>
    <w:tbl>
      <w:tblPr>
        <w:tblStyle w:val="TableGrid"/>
        <w:tblpPr w:leftFromText="180" w:rightFromText="180" w:vertAnchor="text" w:horzAnchor="margin" w:tblpY="85"/>
        <w:tblW w:w="5029" w:type="pct"/>
        <w:tblLook w:val="04A0" w:firstRow="1" w:lastRow="0" w:firstColumn="1" w:lastColumn="0" w:noHBand="0" w:noVBand="1"/>
      </w:tblPr>
      <w:tblGrid>
        <w:gridCol w:w="2980"/>
        <w:gridCol w:w="2079"/>
        <w:gridCol w:w="2079"/>
        <w:gridCol w:w="1934"/>
      </w:tblGrid>
      <w:tr w:rsidR="00537A5B" w:rsidRPr="00785BF3" w14:paraId="5AA480FC" w14:textId="77777777" w:rsidTr="00537A5B">
        <w:trPr>
          <w:trHeight w:val="135"/>
        </w:trPr>
        <w:tc>
          <w:tcPr>
            <w:tcW w:w="5000" w:type="pct"/>
            <w:gridSpan w:val="4"/>
            <w:tcBorders>
              <w:left w:val="nil"/>
              <w:bottom w:val="single" w:sz="4" w:space="0" w:color="auto"/>
              <w:right w:val="nil"/>
            </w:tcBorders>
          </w:tcPr>
          <w:p w14:paraId="03A48C3C"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 xml:space="preserve">Panel B – </w:t>
            </w:r>
            <w:r w:rsidRPr="00785BF3">
              <w:rPr>
                <w:rFonts w:ascii="Times New Roman" w:hAnsi="Times New Roman" w:cs="Times New Roman"/>
                <w:sz w:val="19"/>
                <w:szCs w:val="19"/>
                <w:lang w:val="en-US"/>
              </w:rPr>
              <w:t>Subsample Analysis</w:t>
            </w:r>
          </w:p>
        </w:tc>
      </w:tr>
      <w:tr w:rsidR="00537A5B" w:rsidRPr="00785BF3" w14:paraId="77C9B40A" w14:textId="77777777" w:rsidTr="00537A5B">
        <w:trPr>
          <w:trHeight w:val="453"/>
        </w:trPr>
        <w:tc>
          <w:tcPr>
            <w:tcW w:w="1642" w:type="pct"/>
            <w:tcBorders>
              <w:left w:val="nil"/>
              <w:bottom w:val="single" w:sz="4" w:space="0" w:color="auto"/>
              <w:right w:val="nil"/>
            </w:tcBorders>
          </w:tcPr>
          <w:p w14:paraId="73F51D4F" w14:textId="77777777" w:rsidR="00537A5B" w:rsidRPr="00785BF3" w:rsidRDefault="00537A5B" w:rsidP="00537A5B">
            <w:pPr>
              <w:rPr>
                <w:rFonts w:ascii="Times New Roman" w:hAnsi="Times New Roman" w:cs="Times New Roman"/>
                <w:b/>
                <w:bCs/>
                <w:sz w:val="19"/>
                <w:szCs w:val="19"/>
                <w:lang w:val="en-US"/>
              </w:rPr>
            </w:pPr>
          </w:p>
        </w:tc>
        <w:tc>
          <w:tcPr>
            <w:tcW w:w="1146" w:type="pct"/>
            <w:tcBorders>
              <w:left w:val="nil"/>
              <w:bottom w:val="single" w:sz="4" w:space="0" w:color="auto"/>
              <w:right w:val="nil"/>
            </w:tcBorders>
          </w:tcPr>
          <w:p w14:paraId="1D7250C5"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Firms without Misstatements</w:t>
            </w:r>
          </w:p>
        </w:tc>
        <w:tc>
          <w:tcPr>
            <w:tcW w:w="1146" w:type="pct"/>
            <w:tcBorders>
              <w:left w:val="nil"/>
              <w:bottom w:val="single" w:sz="4" w:space="0" w:color="auto"/>
              <w:right w:val="nil"/>
            </w:tcBorders>
          </w:tcPr>
          <w:p w14:paraId="45914CCA"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Firms with Misstatements</w:t>
            </w:r>
          </w:p>
        </w:tc>
        <w:tc>
          <w:tcPr>
            <w:tcW w:w="1066" w:type="pct"/>
            <w:tcBorders>
              <w:left w:val="nil"/>
              <w:bottom w:val="single" w:sz="4" w:space="0" w:color="auto"/>
              <w:right w:val="nil"/>
            </w:tcBorders>
          </w:tcPr>
          <w:p w14:paraId="723BB633"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Difference</w:t>
            </w:r>
          </w:p>
        </w:tc>
      </w:tr>
      <w:tr w:rsidR="00537A5B" w:rsidRPr="00785BF3" w14:paraId="5FE27E1C" w14:textId="77777777" w:rsidTr="00537A5B">
        <w:trPr>
          <w:trHeight w:val="218"/>
        </w:trPr>
        <w:tc>
          <w:tcPr>
            <w:tcW w:w="1642" w:type="pct"/>
            <w:tcBorders>
              <w:left w:val="nil"/>
              <w:bottom w:val="single" w:sz="4" w:space="0" w:color="auto"/>
              <w:right w:val="nil"/>
            </w:tcBorders>
          </w:tcPr>
          <w:p w14:paraId="100CEB08" w14:textId="77777777" w:rsidR="00537A5B" w:rsidRPr="00785BF3" w:rsidRDefault="00537A5B" w:rsidP="00537A5B">
            <w:pP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Variables</w:t>
            </w:r>
          </w:p>
        </w:tc>
        <w:tc>
          <w:tcPr>
            <w:tcW w:w="1146" w:type="pct"/>
            <w:tcBorders>
              <w:left w:val="nil"/>
              <w:bottom w:val="single" w:sz="4" w:space="0" w:color="auto"/>
              <w:right w:val="nil"/>
            </w:tcBorders>
          </w:tcPr>
          <w:p w14:paraId="5AA14E13"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Mean</w:t>
            </w:r>
          </w:p>
        </w:tc>
        <w:tc>
          <w:tcPr>
            <w:tcW w:w="1146" w:type="pct"/>
            <w:tcBorders>
              <w:left w:val="nil"/>
              <w:bottom w:val="single" w:sz="4" w:space="0" w:color="auto"/>
              <w:right w:val="nil"/>
            </w:tcBorders>
          </w:tcPr>
          <w:p w14:paraId="793D0345"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Mean</w:t>
            </w:r>
          </w:p>
        </w:tc>
        <w:tc>
          <w:tcPr>
            <w:tcW w:w="1066" w:type="pct"/>
            <w:tcBorders>
              <w:left w:val="nil"/>
              <w:bottom w:val="single" w:sz="4" w:space="0" w:color="auto"/>
              <w:right w:val="nil"/>
            </w:tcBorders>
          </w:tcPr>
          <w:p w14:paraId="34B35C23" w14:textId="77777777" w:rsidR="00537A5B" w:rsidRPr="00785BF3" w:rsidRDefault="00537A5B" w:rsidP="00537A5B">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p-value</w:t>
            </w:r>
          </w:p>
        </w:tc>
      </w:tr>
      <w:tr w:rsidR="00537A5B" w:rsidRPr="00785BF3" w14:paraId="4F983A54" w14:textId="77777777" w:rsidTr="00537A5B">
        <w:trPr>
          <w:trHeight w:val="68"/>
        </w:trPr>
        <w:tc>
          <w:tcPr>
            <w:tcW w:w="1642" w:type="pct"/>
            <w:tcBorders>
              <w:top w:val="single" w:sz="4" w:space="0" w:color="auto"/>
              <w:left w:val="nil"/>
              <w:bottom w:val="nil"/>
              <w:right w:val="nil"/>
            </w:tcBorders>
          </w:tcPr>
          <w:p w14:paraId="0F0CD862"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Speed of Adjustment</w:t>
            </w:r>
          </w:p>
        </w:tc>
        <w:tc>
          <w:tcPr>
            <w:tcW w:w="1146" w:type="pct"/>
            <w:tcBorders>
              <w:top w:val="single" w:sz="4" w:space="0" w:color="auto"/>
              <w:left w:val="nil"/>
              <w:bottom w:val="nil"/>
              <w:right w:val="nil"/>
            </w:tcBorders>
          </w:tcPr>
          <w:p w14:paraId="7AD5E3C4"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0.55</w:t>
            </w:r>
          </w:p>
        </w:tc>
        <w:tc>
          <w:tcPr>
            <w:tcW w:w="1146" w:type="pct"/>
            <w:tcBorders>
              <w:top w:val="single" w:sz="4" w:space="0" w:color="auto"/>
              <w:left w:val="nil"/>
              <w:bottom w:val="nil"/>
              <w:right w:val="nil"/>
            </w:tcBorders>
          </w:tcPr>
          <w:p w14:paraId="7A8FD0EF"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0.41</w:t>
            </w:r>
          </w:p>
        </w:tc>
        <w:tc>
          <w:tcPr>
            <w:tcW w:w="1066" w:type="pct"/>
            <w:tcBorders>
              <w:top w:val="single" w:sz="4" w:space="0" w:color="auto"/>
              <w:left w:val="nil"/>
              <w:bottom w:val="nil"/>
              <w:right w:val="nil"/>
            </w:tcBorders>
          </w:tcPr>
          <w:p w14:paraId="7A4F4F0A"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r>
      <w:tr w:rsidR="00537A5B" w:rsidRPr="00785BF3" w14:paraId="049F2724" w14:textId="77777777" w:rsidTr="00537A5B">
        <w:trPr>
          <w:trHeight w:val="90"/>
        </w:trPr>
        <w:tc>
          <w:tcPr>
            <w:tcW w:w="1642" w:type="pct"/>
            <w:tcBorders>
              <w:top w:val="nil"/>
              <w:left w:val="nil"/>
              <w:bottom w:val="nil"/>
              <w:right w:val="nil"/>
            </w:tcBorders>
          </w:tcPr>
          <w:p w14:paraId="1E02808F"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Misstate</w:t>
            </w:r>
          </w:p>
        </w:tc>
        <w:tc>
          <w:tcPr>
            <w:tcW w:w="1146" w:type="pct"/>
            <w:tcBorders>
              <w:top w:val="nil"/>
              <w:left w:val="nil"/>
              <w:bottom w:val="nil"/>
              <w:right w:val="nil"/>
            </w:tcBorders>
          </w:tcPr>
          <w:p w14:paraId="610AB1D5"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w:t>
            </w:r>
          </w:p>
        </w:tc>
        <w:tc>
          <w:tcPr>
            <w:tcW w:w="1146" w:type="pct"/>
            <w:tcBorders>
              <w:top w:val="nil"/>
              <w:left w:val="nil"/>
              <w:bottom w:val="nil"/>
              <w:right w:val="nil"/>
            </w:tcBorders>
          </w:tcPr>
          <w:p w14:paraId="725527F2"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w:t>
            </w:r>
          </w:p>
        </w:tc>
        <w:tc>
          <w:tcPr>
            <w:tcW w:w="1066" w:type="pct"/>
            <w:tcBorders>
              <w:top w:val="nil"/>
              <w:left w:val="nil"/>
              <w:bottom w:val="nil"/>
              <w:right w:val="nil"/>
            </w:tcBorders>
          </w:tcPr>
          <w:p w14:paraId="47EA5A83"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w:t>
            </w:r>
          </w:p>
        </w:tc>
      </w:tr>
      <w:tr w:rsidR="00537A5B" w:rsidRPr="00785BF3" w14:paraId="174BD7B4" w14:textId="77777777" w:rsidTr="00537A5B">
        <w:trPr>
          <w:trHeight w:val="90"/>
        </w:trPr>
        <w:tc>
          <w:tcPr>
            <w:tcW w:w="1642" w:type="pct"/>
            <w:tcBorders>
              <w:top w:val="nil"/>
              <w:left w:val="nil"/>
              <w:bottom w:val="nil"/>
              <w:right w:val="nil"/>
            </w:tcBorders>
          </w:tcPr>
          <w:p w14:paraId="68AD317E"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EBITDA</w:t>
            </w:r>
          </w:p>
        </w:tc>
        <w:tc>
          <w:tcPr>
            <w:tcW w:w="1146" w:type="pct"/>
            <w:tcBorders>
              <w:top w:val="nil"/>
              <w:left w:val="nil"/>
              <w:bottom w:val="nil"/>
              <w:right w:val="nil"/>
            </w:tcBorders>
          </w:tcPr>
          <w:p w14:paraId="5750AF6D"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0.16</w:t>
            </w:r>
          </w:p>
        </w:tc>
        <w:tc>
          <w:tcPr>
            <w:tcW w:w="1146" w:type="pct"/>
            <w:tcBorders>
              <w:top w:val="nil"/>
              <w:left w:val="nil"/>
              <w:bottom w:val="nil"/>
              <w:right w:val="nil"/>
            </w:tcBorders>
          </w:tcPr>
          <w:p w14:paraId="4D66BDB7"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0.14</w:t>
            </w:r>
          </w:p>
        </w:tc>
        <w:tc>
          <w:tcPr>
            <w:tcW w:w="1066" w:type="pct"/>
            <w:tcBorders>
              <w:top w:val="nil"/>
              <w:left w:val="nil"/>
              <w:bottom w:val="nil"/>
              <w:right w:val="nil"/>
            </w:tcBorders>
          </w:tcPr>
          <w:p w14:paraId="7988FC81"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0.21</w:t>
            </w:r>
          </w:p>
        </w:tc>
      </w:tr>
      <w:tr w:rsidR="00537A5B" w:rsidRPr="00785BF3" w14:paraId="25C4D12E" w14:textId="77777777" w:rsidTr="00537A5B">
        <w:trPr>
          <w:trHeight w:val="90"/>
        </w:trPr>
        <w:tc>
          <w:tcPr>
            <w:tcW w:w="1642" w:type="pct"/>
            <w:tcBorders>
              <w:top w:val="nil"/>
              <w:left w:val="nil"/>
              <w:bottom w:val="nil"/>
              <w:right w:val="nil"/>
            </w:tcBorders>
          </w:tcPr>
          <w:p w14:paraId="539ECB2A"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Asset tangibility</w:t>
            </w:r>
          </w:p>
        </w:tc>
        <w:tc>
          <w:tcPr>
            <w:tcW w:w="1146" w:type="pct"/>
            <w:tcBorders>
              <w:top w:val="nil"/>
              <w:left w:val="nil"/>
              <w:bottom w:val="nil"/>
              <w:right w:val="nil"/>
            </w:tcBorders>
          </w:tcPr>
          <w:p w14:paraId="0DE4DBA2"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0.25</w:t>
            </w:r>
          </w:p>
        </w:tc>
        <w:tc>
          <w:tcPr>
            <w:tcW w:w="1146" w:type="pct"/>
            <w:tcBorders>
              <w:top w:val="nil"/>
              <w:left w:val="nil"/>
              <w:bottom w:val="nil"/>
              <w:right w:val="nil"/>
            </w:tcBorders>
          </w:tcPr>
          <w:p w14:paraId="1FCA935F"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0.20</w:t>
            </w:r>
          </w:p>
        </w:tc>
        <w:tc>
          <w:tcPr>
            <w:tcW w:w="1066" w:type="pct"/>
            <w:tcBorders>
              <w:top w:val="nil"/>
              <w:left w:val="nil"/>
              <w:bottom w:val="nil"/>
              <w:right w:val="nil"/>
            </w:tcBorders>
          </w:tcPr>
          <w:p w14:paraId="39845BDC"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r>
      <w:tr w:rsidR="00537A5B" w:rsidRPr="00785BF3" w14:paraId="5E22E0FE" w14:textId="77777777" w:rsidTr="00537A5B">
        <w:trPr>
          <w:trHeight w:val="138"/>
        </w:trPr>
        <w:tc>
          <w:tcPr>
            <w:tcW w:w="1642" w:type="pct"/>
            <w:tcBorders>
              <w:top w:val="nil"/>
              <w:left w:val="nil"/>
              <w:bottom w:val="nil"/>
              <w:right w:val="nil"/>
            </w:tcBorders>
          </w:tcPr>
          <w:p w14:paraId="0A99856A"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Market-to-Book ratio</w:t>
            </w:r>
          </w:p>
        </w:tc>
        <w:tc>
          <w:tcPr>
            <w:tcW w:w="1146" w:type="pct"/>
            <w:tcBorders>
              <w:top w:val="nil"/>
              <w:left w:val="nil"/>
              <w:bottom w:val="nil"/>
              <w:right w:val="nil"/>
            </w:tcBorders>
          </w:tcPr>
          <w:p w14:paraId="3E9FF3B9"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2.01</w:t>
            </w:r>
          </w:p>
        </w:tc>
        <w:tc>
          <w:tcPr>
            <w:tcW w:w="1146" w:type="pct"/>
            <w:tcBorders>
              <w:top w:val="nil"/>
              <w:left w:val="nil"/>
              <w:bottom w:val="nil"/>
              <w:right w:val="nil"/>
            </w:tcBorders>
          </w:tcPr>
          <w:p w14:paraId="1955CD3C"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2.16</w:t>
            </w:r>
          </w:p>
        </w:tc>
        <w:tc>
          <w:tcPr>
            <w:tcW w:w="1066" w:type="pct"/>
            <w:tcBorders>
              <w:top w:val="nil"/>
              <w:left w:val="nil"/>
              <w:bottom w:val="nil"/>
              <w:right w:val="nil"/>
            </w:tcBorders>
          </w:tcPr>
          <w:p w14:paraId="0BAF4626"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0.34</w:t>
            </w:r>
          </w:p>
        </w:tc>
      </w:tr>
      <w:tr w:rsidR="00537A5B" w:rsidRPr="00785BF3" w14:paraId="3ACC428A" w14:textId="77777777" w:rsidTr="00537A5B">
        <w:trPr>
          <w:trHeight w:val="90"/>
        </w:trPr>
        <w:tc>
          <w:tcPr>
            <w:tcW w:w="1642" w:type="pct"/>
            <w:tcBorders>
              <w:top w:val="nil"/>
              <w:left w:val="nil"/>
              <w:bottom w:val="nil"/>
              <w:right w:val="nil"/>
            </w:tcBorders>
          </w:tcPr>
          <w:p w14:paraId="7B1E4B28"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Size</w:t>
            </w:r>
          </w:p>
        </w:tc>
        <w:tc>
          <w:tcPr>
            <w:tcW w:w="1146" w:type="pct"/>
            <w:tcBorders>
              <w:top w:val="nil"/>
              <w:left w:val="nil"/>
              <w:bottom w:val="nil"/>
              <w:right w:val="nil"/>
            </w:tcBorders>
          </w:tcPr>
          <w:p w14:paraId="54364A65"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7.35</w:t>
            </w:r>
          </w:p>
        </w:tc>
        <w:tc>
          <w:tcPr>
            <w:tcW w:w="1146" w:type="pct"/>
            <w:tcBorders>
              <w:top w:val="nil"/>
              <w:left w:val="nil"/>
              <w:bottom w:val="nil"/>
              <w:right w:val="nil"/>
            </w:tcBorders>
          </w:tcPr>
          <w:p w14:paraId="41D0F11D"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8.19</w:t>
            </w:r>
          </w:p>
        </w:tc>
        <w:tc>
          <w:tcPr>
            <w:tcW w:w="1066" w:type="pct"/>
            <w:tcBorders>
              <w:top w:val="nil"/>
              <w:left w:val="nil"/>
              <w:bottom w:val="nil"/>
              <w:right w:val="nil"/>
            </w:tcBorders>
          </w:tcPr>
          <w:p w14:paraId="07BEB902"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tc>
      </w:tr>
      <w:tr w:rsidR="00537A5B" w:rsidRPr="00785BF3" w14:paraId="77EDEB7D" w14:textId="77777777" w:rsidTr="00537A5B">
        <w:trPr>
          <w:trHeight w:val="90"/>
        </w:trPr>
        <w:tc>
          <w:tcPr>
            <w:tcW w:w="1642" w:type="pct"/>
            <w:tcBorders>
              <w:top w:val="nil"/>
              <w:left w:val="nil"/>
              <w:bottom w:val="nil"/>
              <w:right w:val="nil"/>
            </w:tcBorders>
          </w:tcPr>
          <w:p w14:paraId="4921868B"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Capital Expenditure</w:t>
            </w:r>
          </w:p>
        </w:tc>
        <w:tc>
          <w:tcPr>
            <w:tcW w:w="1146" w:type="pct"/>
            <w:tcBorders>
              <w:top w:val="nil"/>
              <w:left w:val="nil"/>
              <w:bottom w:val="nil"/>
              <w:right w:val="nil"/>
            </w:tcBorders>
          </w:tcPr>
          <w:p w14:paraId="2633573E"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1146" w:type="pct"/>
            <w:tcBorders>
              <w:top w:val="nil"/>
              <w:left w:val="nil"/>
              <w:bottom w:val="nil"/>
              <w:right w:val="nil"/>
            </w:tcBorders>
          </w:tcPr>
          <w:p w14:paraId="1AA6A9B6"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1066" w:type="pct"/>
            <w:tcBorders>
              <w:top w:val="nil"/>
              <w:left w:val="nil"/>
              <w:bottom w:val="nil"/>
              <w:right w:val="nil"/>
            </w:tcBorders>
          </w:tcPr>
          <w:p w14:paraId="06C969D6"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0.09</w:t>
            </w:r>
          </w:p>
        </w:tc>
      </w:tr>
      <w:tr w:rsidR="00537A5B" w:rsidRPr="00785BF3" w14:paraId="470C1680" w14:textId="77777777" w:rsidTr="00537A5B">
        <w:trPr>
          <w:trHeight w:val="90"/>
        </w:trPr>
        <w:tc>
          <w:tcPr>
            <w:tcW w:w="1642" w:type="pct"/>
            <w:tcBorders>
              <w:top w:val="nil"/>
              <w:left w:val="nil"/>
              <w:bottom w:val="nil"/>
              <w:right w:val="nil"/>
            </w:tcBorders>
          </w:tcPr>
          <w:p w14:paraId="7D7015D0"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R&amp;D Expenditure</w:t>
            </w:r>
          </w:p>
        </w:tc>
        <w:tc>
          <w:tcPr>
            <w:tcW w:w="1146" w:type="pct"/>
            <w:tcBorders>
              <w:top w:val="nil"/>
              <w:left w:val="nil"/>
              <w:bottom w:val="nil"/>
              <w:right w:val="nil"/>
            </w:tcBorders>
          </w:tcPr>
          <w:p w14:paraId="5001D30F"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tc>
        <w:tc>
          <w:tcPr>
            <w:tcW w:w="1146" w:type="pct"/>
            <w:tcBorders>
              <w:top w:val="nil"/>
              <w:left w:val="nil"/>
              <w:bottom w:val="nil"/>
              <w:right w:val="nil"/>
            </w:tcBorders>
          </w:tcPr>
          <w:p w14:paraId="710AC215"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c>
          <w:tcPr>
            <w:tcW w:w="1066" w:type="pct"/>
            <w:tcBorders>
              <w:top w:val="nil"/>
              <w:left w:val="nil"/>
              <w:bottom w:val="nil"/>
              <w:right w:val="nil"/>
            </w:tcBorders>
          </w:tcPr>
          <w:p w14:paraId="44C4A573"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0.22</w:t>
            </w:r>
          </w:p>
        </w:tc>
      </w:tr>
      <w:tr w:rsidR="00537A5B" w:rsidRPr="00785BF3" w14:paraId="0A6D8572" w14:textId="77777777" w:rsidTr="00537A5B">
        <w:trPr>
          <w:trHeight w:val="90"/>
        </w:trPr>
        <w:tc>
          <w:tcPr>
            <w:tcW w:w="1642" w:type="pct"/>
            <w:tcBorders>
              <w:top w:val="nil"/>
              <w:left w:val="nil"/>
              <w:bottom w:val="nil"/>
              <w:right w:val="nil"/>
            </w:tcBorders>
          </w:tcPr>
          <w:p w14:paraId="35C811A7"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Cash Holdings</w:t>
            </w:r>
          </w:p>
        </w:tc>
        <w:tc>
          <w:tcPr>
            <w:tcW w:w="1146" w:type="pct"/>
            <w:tcBorders>
              <w:top w:val="nil"/>
              <w:left w:val="nil"/>
              <w:bottom w:val="nil"/>
              <w:right w:val="nil"/>
            </w:tcBorders>
          </w:tcPr>
          <w:p w14:paraId="575A15BF"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0.12</w:t>
            </w:r>
          </w:p>
        </w:tc>
        <w:tc>
          <w:tcPr>
            <w:tcW w:w="1146" w:type="pct"/>
            <w:tcBorders>
              <w:top w:val="nil"/>
              <w:left w:val="nil"/>
              <w:bottom w:val="nil"/>
              <w:right w:val="nil"/>
            </w:tcBorders>
          </w:tcPr>
          <w:p w14:paraId="360137AC"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0.13</w:t>
            </w:r>
          </w:p>
        </w:tc>
        <w:tc>
          <w:tcPr>
            <w:tcW w:w="1066" w:type="pct"/>
            <w:tcBorders>
              <w:top w:val="nil"/>
              <w:left w:val="nil"/>
              <w:bottom w:val="nil"/>
              <w:right w:val="nil"/>
            </w:tcBorders>
          </w:tcPr>
          <w:p w14:paraId="67C1A1EA"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0.47</w:t>
            </w:r>
          </w:p>
        </w:tc>
      </w:tr>
      <w:tr w:rsidR="00537A5B" w:rsidRPr="00785BF3" w14:paraId="412FB0F2" w14:textId="77777777" w:rsidTr="00537A5B">
        <w:trPr>
          <w:trHeight w:val="90"/>
        </w:trPr>
        <w:tc>
          <w:tcPr>
            <w:tcW w:w="1642" w:type="pct"/>
            <w:tcBorders>
              <w:top w:val="nil"/>
              <w:left w:val="nil"/>
              <w:bottom w:val="nil"/>
              <w:right w:val="nil"/>
            </w:tcBorders>
          </w:tcPr>
          <w:p w14:paraId="26A52E6C"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Earnings AR(1)</w:t>
            </w:r>
          </w:p>
        </w:tc>
        <w:tc>
          <w:tcPr>
            <w:tcW w:w="1146" w:type="pct"/>
            <w:tcBorders>
              <w:top w:val="nil"/>
              <w:left w:val="nil"/>
              <w:bottom w:val="nil"/>
              <w:right w:val="nil"/>
            </w:tcBorders>
          </w:tcPr>
          <w:p w14:paraId="29F2AE11"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-0.25</w:t>
            </w:r>
          </w:p>
        </w:tc>
        <w:tc>
          <w:tcPr>
            <w:tcW w:w="1146" w:type="pct"/>
            <w:tcBorders>
              <w:top w:val="nil"/>
              <w:left w:val="nil"/>
              <w:bottom w:val="nil"/>
              <w:right w:val="nil"/>
            </w:tcBorders>
          </w:tcPr>
          <w:p w14:paraId="5E0C8AEE"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-0.35</w:t>
            </w:r>
          </w:p>
        </w:tc>
        <w:tc>
          <w:tcPr>
            <w:tcW w:w="1066" w:type="pct"/>
            <w:tcBorders>
              <w:top w:val="nil"/>
              <w:left w:val="nil"/>
              <w:bottom w:val="nil"/>
              <w:right w:val="nil"/>
            </w:tcBorders>
          </w:tcPr>
          <w:p w14:paraId="223AB49D"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tc>
      </w:tr>
      <w:tr w:rsidR="00537A5B" w:rsidRPr="00785BF3" w14:paraId="412DF302" w14:textId="77777777" w:rsidTr="00537A5B">
        <w:trPr>
          <w:trHeight w:val="90"/>
        </w:trPr>
        <w:tc>
          <w:tcPr>
            <w:tcW w:w="1642" w:type="pct"/>
            <w:tcBorders>
              <w:top w:val="nil"/>
              <w:left w:val="nil"/>
              <w:bottom w:val="nil"/>
              <w:right w:val="nil"/>
            </w:tcBorders>
          </w:tcPr>
          <w:p w14:paraId="5DA3F972"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Herfindahl-Hirschman Index</w:t>
            </w:r>
          </w:p>
        </w:tc>
        <w:tc>
          <w:tcPr>
            <w:tcW w:w="1146" w:type="pct"/>
            <w:tcBorders>
              <w:top w:val="nil"/>
              <w:left w:val="nil"/>
              <w:bottom w:val="nil"/>
              <w:right w:val="nil"/>
            </w:tcBorders>
          </w:tcPr>
          <w:p w14:paraId="76A579D4"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0.17</w:t>
            </w:r>
          </w:p>
        </w:tc>
        <w:tc>
          <w:tcPr>
            <w:tcW w:w="1146" w:type="pct"/>
            <w:tcBorders>
              <w:top w:val="nil"/>
              <w:left w:val="nil"/>
              <w:bottom w:val="nil"/>
              <w:right w:val="nil"/>
            </w:tcBorders>
          </w:tcPr>
          <w:p w14:paraId="453FBE0A"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0.19</w:t>
            </w:r>
          </w:p>
        </w:tc>
        <w:tc>
          <w:tcPr>
            <w:tcW w:w="1066" w:type="pct"/>
            <w:tcBorders>
              <w:top w:val="nil"/>
              <w:left w:val="nil"/>
              <w:bottom w:val="nil"/>
              <w:right w:val="nil"/>
            </w:tcBorders>
          </w:tcPr>
          <w:p w14:paraId="396A6192"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0.27</w:t>
            </w:r>
          </w:p>
        </w:tc>
      </w:tr>
      <w:tr w:rsidR="00537A5B" w:rsidRPr="00785BF3" w14:paraId="30EAAF63" w14:textId="77777777" w:rsidTr="00537A5B">
        <w:trPr>
          <w:trHeight w:val="90"/>
        </w:trPr>
        <w:tc>
          <w:tcPr>
            <w:tcW w:w="1642" w:type="pct"/>
            <w:tcBorders>
              <w:top w:val="nil"/>
              <w:left w:val="nil"/>
              <w:bottom w:val="nil"/>
              <w:right w:val="nil"/>
            </w:tcBorders>
          </w:tcPr>
          <w:p w14:paraId="1AD06CD2"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Sales Growth</w:t>
            </w:r>
          </w:p>
        </w:tc>
        <w:tc>
          <w:tcPr>
            <w:tcW w:w="1146" w:type="pct"/>
            <w:tcBorders>
              <w:top w:val="nil"/>
              <w:left w:val="nil"/>
              <w:bottom w:val="nil"/>
              <w:right w:val="nil"/>
            </w:tcBorders>
          </w:tcPr>
          <w:p w14:paraId="48EB66A4"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3.16</w:t>
            </w:r>
          </w:p>
        </w:tc>
        <w:tc>
          <w:tcPr>
            <w:tcW w:w="1146" w:type="pct"/>
            <w:tcBorders>
              <w:top w:val="nil"/>
              <w:left w:val="nil"/>
              <w:bottom w:val="nil"/>
              <w:right w:val="nil"/>
            </w:tcBorders>
          </w:tcPr>
          <w:p w14:paraId="09CD7DD2"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3.23</w:t>
            </w:r>
          </w:p>
        </w:tc>
        <w:tc>
          <w:tcPr>
            <w:tcW w:w="1066" w:type="pct"/>
            <w:tcBorders>
              <w:top w:val="nil"/>
              <w:left w:val="nil"/>
              <w:bottom w:val="nil"/>
              <w:right w:val="nil"/>
            </w:tcBorders>
          </w:tcPr>
          <w:p w14:paraId="2B608568"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0.93</w:t>
            </w:r>
          </w:p>
        </w:tc>
      </w:tr>
      <w:tr w:rsidR="00537A5B" w:rsidRPr="00785BF3" w14:paraId="4B56EFCC" w14:textId="77777777" w:rsidTr="00537A5B">
        <w:trPr>
          <w:trHeight w:val="90"/>
        </w:trPr>
        <w:tc>
          <w:tcPr>
            <w:tcW w:w="1642" w:type="pct"/>
            <w:tcBorders>
              <w:top w:val="nil"/>
              <w:left w:val="nil"/>
              <w:bottom w:val="nil"/>
              <w:right w:val="nil"/>
            </w:tcBorders>
          </w:tcPr>
          <w:p w14:paraId="3657432E"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Leverage</w:t>
            </w:r>
          </w:p>
        </w:tc>
        <w:tc>
          <w:tcPr>
            <w:tcW w:w="1146" w:type="pct"/>
            <w:tcBorders>
              <w:top w:val="nil"/>
              <w:left w:val="nil"/>
              <w:bottom w:val="nil"/>
              <w:right w:val="nil"/>
            </w:tcBorders>
          </w:tcPr>
          <w:p w14:paraId="4CB909DC"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0.28</w:t>
            </w:r>
          </w:p>
        </w:tc>
        <w:tc>
          <w:tcPr>
            <w:tcW w:w="1146" w:type="pct"/>
            <w:tcBorders>
              <w:top w:val="nil"/>
              <w:left w:val="nil"/>
              <w:bottom w:val="nil"/>
              <w:right w:val="nil"/>
            </w:tcBorders>
          </w:tcPr>
          <w:p w14:paraId="71BC2811"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0.40</w:t>
            </w:r>
          </w:p>
        </w:tc>
        <w:tc>
          <w:tcPr>
            <w:tcW w:w="1066" w:type="pct"/>
            <w:tcBorders>
              <w:top w:val="nil"/>
              <w:left w:val="nil"/>
              <w:bottom w:val="nil"/>
              <w:right w:val="nil"/>
            </w:tcBorders>
          </w:tcPr>
          <w:p w14:paraId="5A5A0AA3"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tc>
      </w:tr>
      <w:tr w:rsidR="00537A5B" w:rsidRPr="00785BF3" w14:paraId="596F848B" w14:textId="77777777" w:rsidTr="00537A5B">
        <w:trPr>
          <w:trHeight w:val="189"/>
        </w:trPr>
        <w:tc>
          <w:tcPr>
            <w:tcW w:w="1642" w:type="pct"/>
            <w:tcBorders>
              <w:top w:val="nil"/>
              <w:left w:val="nil"/>
              <w:bottom w:val="single" w:sz="4" w:space="0" w:color="auto"/>
              <w:right w:val="nil"/>
            </w:tcBorders>
          </w:tcPr>
          <w:p w14:paraId="613A441E" w14:textId="77777777" w:rsidR="00537A5B" w:rsidRPr="00785BF3" w:rsidRDefault="00537A5B" w:rsidP="00537A5B">
            <w:pPr>
              <w:rPr>
                <w:rFonts w:ascii="Times New Roman" w:hAnsi="Times New Roman" w:cs="Times New Roman"/>
                <w:sz w:val="19"/>
                <w:szCs w:val="19"/>
                <w:lang w:val="en-US"/>
              </w:rPr>
            </w:pPr>
            <w:r w:rsidRPr="00785BF3">
              <w:rPr>
                <w:rFonts w:ascii="Times New Roman" w:hAnsi="Times New Roman" w:cs="Times New Roman"/>
                <w:sz w:val="19"/>
                <w:szCs w:val="19"/>
                <w:lang w:val="en-US"/>
              </w:rPr>
              <w:t>Firm Age</w:t>
            </w:r>
          </w:p>
        </w:tc>
        <w:tc>
          <w:tcPr>
            <w:tcW w:w="1146" w:type="pct"/>
            <w:tcBorders>
              <w:top w:val="nil"/>
              <w:left w:val="nil"/>
              <w:bottom w:val="single" w:sz="4" w:space="0" w:color="auto"/>
              <w:right w:val="nil"/>
            </w:tcBorders>
          </w:tcPr>
          <w:p w14:paraId="13541907"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37.87</w:t>
            </w:r>
          </w:p>
        </w:tc>
        <w:tc>
          <w:tcPr>
            <w:tcW w:w="1146" w:type="pct"/>
            <w:tcBorders>
              <w:top w:val="nil"/>
              <w:left w:val="nil"/>
              <w:bottom w:val="single" w:sz="4" w:space="0" w:color="auto"/>
              <w:right w:val="nil"/>
            </w:tcBorders>
          </w:tcPr>
          <w:p w14:paraId="1C50EB20"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41.47</w:t>
            </w:r>
          </w:p>
        </w:tc>
        <w:tc>
          <w:tcPr>
            <w:tcW w:w="1066" w:type="pct"/>
            <w:tcBorders>
              <w:top w:val="nil"/>
              <w:left w:val="nil"/>
              <w:bottom w:val="single" w:sz="4" w:space="0" w:color="auto"/>
              <w:right w:val="nil"/>
            </w:tcBorders>
          </w:tcPr>
          <w:p w14:paraId="6758EC56" w14:textId="77777777" w:rsidR="00537A5B" w:rsidRPr="00785BF3" w:rsidRDefault="00537A5B" w:rsidP="00537A5B">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tc>
      </w:tr>
    </w:tbl>
    <w:p w14:paraId="50C449CF" w14:textId="77777777" w:rsidR="00106CFF" w:rsidRDefault="00106CFF" w:rsidP="00083D72">
      <w:pPr>
        <w:rPr>
          <w:rFonts w:ascii="Times New Roman" w:hAnsi="Times New Roman" w:cs="Times New Roman"/>
          <w:sz w:val="19"/>
          <w:szCs w:val="19"/>
        </w:rPr>
      </w:pPr>
    </w:p>
    <w:p w14:paraId="49037AD4" w14:textId="77777777" w:rsidR="00106CFF" w:rsidRDefault="00106CFF" w:rsidP="00083D72">
      <w:pPr>
        <w:rPr>
          <w:rFonts w:ascii="Times New Roman" w:hAnsi="Times New Roman" w:cs="Times New Roman"/>
          <w:sz w:val="19"/>
          <w:szCs w:val="19"/>
        </w:rPr>
      </w:pPr>
    </w:p>
    <w:p w14:paraId="064A6039" w14:textId="77777777" w:rsidR="00106CFF" w:rsidRDefault="00106CFF" w:rsidP="00083D72">
      <w:pPr>
        <w:rPr>
          <w:rFonts w:ascii="Times New Roman" w:hAnsi="Times New Roman" w:cs="Times New Roman"/>
          <w:sz w:val="19"/>
          <w:szCs w:val="19"/>
        </w:rPr>
      </w:pPr>
    </w:p>
    <w:p w14:paraId="136715B0" w14:textId="77777777" w:rsidR="00106CFF" w:rsidRDefault="00106CFF" w:rsidP="00083D72">
      <w:pPr>
        <w:rPr>
          <w:rFonts w:ascii="Times New Roman" w:hAnsi="Times New Roman" w:cs="Times New Roman"/>
          <w:sz w:val="19"/>
          <w:szCs w:val="19"/>
        </w:rPr>
      </w:pPr>
    </w:p>
    <w:p w14:paraId="47600EDE" w14:textId="77777777" w:rsidR="00106CFF" w:rsidRPr="00785BF3" w:rsidRDefault="00106CFF" w:rsidP="00083D72">
      <w:pPr>
        <w:rPr>
          <w:rFonts w:ascii="Times New Roman" w:hAnsi="Times New Roman" w:cs="Times New Roman"/>
          <w:sz w:val="19"/>
          <w:szCs w:val="19"/>
        </w:rPr>
      </w:pPr>
    </w:p>
    <w:p w14:paraId="6ACAB61C" w14:textId="77777777" w:rsidR="00083D72" w:rsidRPr="00785BF3" w:rsidRDefault="00083D72" w:rsidP="00083D72">
      <w:pPr>
        <w:rPr>
          <w:rFonts w:ascii="Times New Roman" w:hAnsi="Times New Roman" w:cs="Times New Roman"/>
          <w:sz w:val="19"/>
          <w:szCs w:val="19"/>
        </w:rPr>
      </w:pPr>
    </w:p>
    <w:p w14:paraId="1C93140B" w14:textId="77777777" w:rsidR="004E76A6" w:rsidRPr="00785BF3" w:rsidRDefault="004E76A6" w:rsidP="00083D72">
      <w:pPr>
        <w:rPr>
          <w:rFonts w:ascii="Times New Roman" w:hAnsi="Times New Roman" w:cs="Times New Roman"/>
          <w:sz w:val="19"/>
          <w:szCs w:val="19"/>
        </w:rPr>
      </w:pPr>
    </w:p>
    <w:p w14:paraId="051FB639" w14:textId="77777777" w:rsidR="004E76A6" w:rsidRPr="00785BF3" w:rsidRDefault="004E76A6" w:rsidP="00083D72">
      <w:pPr>
        <w:rPr>
          <w:rFonts w:ascii="Times New Roman" w:hAnsi="Times New Roman" w:cs="Times New Roman"/>
          <w:sz w:val="19"/>
          <w:szCs w:val="19"/>
        </w:rPr>
      </w:pPr>
    </w:p>
    <w:p w14:paraId="52BEE32F" w14:textId="77777777" w:rsidR="004E76A6" w:rsidRPr="00785BF3" w:rsidRDefault="004E76A6" w:rsidP="00083D72">
      <w:pPr>
        <w:rPr>
          <w:rFonts w:ascii="Times New Roman" w:hAnsi="Times New Roman" w:cs="Times New Roman"/>
          <w:sz w:val="19"/>
          <w:szCs w:val="19"/>
        </w:rPr>
      </w:pPr>
    </w:p>
    <w:p w14:paraId="29D8393D" w14:textId="77777777" w:rsidR="004E76A6" w:rsidRDefault="004E76A6" w:rsidP="00083D72">
      <w:pPr>
        <w:rPr>
          <w:rFonts w:ascii="Times New Roman" w:hAnsi="Times New Roman" w:cs="Times New Roman"/>
          <w:sz w:val="19"/>
          <w:szCs w:val="19"/>
        </w:rPr>
      </w:pPr>
    </w:p>
    <w:p w14:paraId="2F40E056" w14:textId="77777777" w:rsidR="00106CFF" w:rsidRDefault="00106CFF" w:rsidP="00083D72">
      <w:pPr>
        <w:rPr>
          <w:rFonts w:ascii="Times New Roman" w:hAnsi="Times New Roman" w:cs="Times New Roman"/>
          <w:sz w:val="19"/>
          <w:szCs w:val="19"/>
        </w:rPr>
      </w:pPr>
    </w:p>
    <w:p w14:paraId="63E18AA5" w14:textId="77777777" w:rsidR="00106CFF" w:rsidRDefault="00106CFF" w:rsidP="00083D72">
      <w:pPr>
        <w:rPr>
          <w:rFonts w:ascii="Times New Roman" w:hAnsi="Times New Roman" w:cs="Times New Roman"/>
          <w:sz w:val="19"/>
          <w:szCs w:val="19"/>
        </w:rPr>
      </w:pPr>
    </w:p>
    <w:p w14:paraId="73F324C9" w14:textId="77777777" w:rsidR="00106CFF" w:rsidRDefault="00106CFF" w:rsidP="00083D72">
      <w:pPr>
        <w:rPr>
          <w:rFonts w:ascii="Times New Roman" w:hAnsi="Times New Roman" w:cs="Times New Roman"/>
          <w:sz w:val="19"/>
          <w:szCs w:val="19"/>
        </w:rPr>
      </w:pPr>
    </w:p>
    <w:p w14:paraId="47B26501" w14:textId="77777777" w:rsidR="00106CFF" w:rsidRDefault="00106CFF" w:rsidP="00083D72">
      <w:pPr>
        <w:rPr>
          <w:rFonts w:ascii="Times New Roman" w:hAnsi="Times New Roman" w:cs="Times New Roman"/>
          <w:sz w:val="19"/>
          <w:szCs w:val="19"/>
        </w:rPr>
      </w:pPr>
    </w:p>
    <w:p w14:paraId="3A136B2C" w14:textId="77777777" w:rsidR="00106CFF" w:rsidRDefault="00106CFF" w:rsidP="00083D72">
      <w:pPr>
        <w:rPr>
          <w:rFonts w:ascii="Times New Roman" w:hAnsi="Times New Roman" w:cs="Times New Roman"/>
          <w:sz w:val="19"/>
          <w:szCs w:val="19"/>
        </w:rPr>
      </w:pPr>
    </w:p>
    <w:p w14:paraId="16C7F145" w14:textId="77777777" w:rsidR="00106CFF" w:rsidRDefault="00106CFF" w:rsidP="00083D72">
      <w:pPr>
        <w:rPr>
          <w:rFonts w:ascii="Times New Roman" w:hAnsi="Times New Roman" w:cs="Times New Roman"/>
          <w:sz w:val="19"/>
          <w:szCs w:val="19"/>
        </w:rPr>
      </w:pPr>
    </w:p>
    <w:p w14:paraId="1F7D4FB1" w14:textId="77777777" w:rsidR="00106CFF" w:rsidRPr="00785BF3" w:rsidRDefault="00106CFF" w:rsidP="00083D72">
      <w:pPr>
        <w:rPr>
          <w:rFonts w:ascii="Times New Roman" w:hAnsi="Times New Roman" w:cs="Times New Roman"/>
          <w:sz w:val="19"/>
          <w:szCs w:val="19"/>
        </w:rPr>
      </w:pPr>
    </w:p>
    <w:p w14:paraId="37C91BE1" w14:textId="77777777" w:rsidR="004E76A6" w:rsidRPr="00785BF3" w:rsidRDefault="004E76A6" w:rsidP="00083D72">
      <w:pPr>
        <w:rPr>
          <w:rFonts w:ascii="Times New Roman" w:hAnsi="Times New Roman" w:cs="Times New Roman"/>
          <w:sz w:val="19"/>
          <w:szCs w:val="19"/>
        </w:rPr>
      </w:pPr>
    </w:p>
    <w:p w14:paraId="232667F5" w14:textId="77777777" w:rsidR="00083D72" w:rsidRPr="00785BF3" w:rsidRDefault="00083D72" w:rsidP="00083D72">
      <w:pPr>
        <w:rPr>
          <w:rFonts w:ascii="Times New Roman" w:hAnsi="Times New Roman" w:cs="Times New Roman"/>
        </w:rPr>
      </w:pPr>
    </w:p>
    <w:p w14:paraId="2133DC80" w14:textId="77777777" w:rsidR="00083D72" w:rsidRPr="00785BF3" w:rsidRDefault="00083D72" w:rsidP="00083D72">
      <w:pPr>
        <w:rPr>
          <w:rFonts w:ascii="Times New Roman" w:hAnsi="Times New Roman" w:cs="Times New Roman"/>
        </w:rPr>
      </w:pPr>
    </w:p>
    <w:tbl>
      <w:tblPr>
        <w:tblStyle w:val="TableGrid"/>
        <w:tblpPr w:leftFromText="180" w:rightFromText="180" w:horzAnchor="margin" w:tblpY="-393"/>
        <w:tblW w:w="5172" w:type="pct"/>
        <w:tblLook w:val="04A0" w:firstRow="1" w:lastRow="0" w:firstColumn="1" w:lastColumn="0" w:noHBand="0" w:noVBand="1"/>
      </w:tblPr>
      <w:tblGrid>
        <w:gridCol w:w="2267"/>
        <w:gridCol w:w="4822"/>
        <w:gridCol w:w="2241"/>
      </w:tblGrid>
      <w:tr w:rsidR="00083D72" w:rsidRPr="00785BF3" w14:paraId="3275C8CB" w14:textId="77777777" w:rsidTr="00106CFF">
        <w:trPr>
          <w:trHeight w:val="198"/>
        </w:trPr>
        <w:tc>
          <w:tcPr>
            <w:tcW w:w="5000" w:type="pct"/>
            <w:gridSpan w:val="3"/>
            <w:tcBorders>
              <w:left w:val="nil"/>
              <w:bottom w:val="single" w:sz="4" w:space="0" w:color="auto"/>
              <w:right w:val="nil"/>
            </w:tcBorders>
          </w:tcPr>
          <w:p w14:paraId="5D9EDC49" w14:textId="649CA3C5" w:rsidR="00083D72" w:rsidRPr="00537A5B" w:rsidRDefault="00537A5B" w:rsidP="00537A5B">
            <w:pPr>
              <w:jc w:val="center"/>
              <w:rPr>
                <w:rFonts w:ascii="Times New Roman" w:hAnsi="Times New Roman" w:cs="Times New Roman"/>
                <w:b/>
                <w:bCs/>
                <w:sz w:val="19"/>
                <w:szCs w:val="19"/>
                <w:lang w:val="en-US"/>
              </w:rPr>
            </w:pPr>
            <w:bookmarkStart w:id="31" w:name="_Toc167763060"/>
            <w:r>
              <w:rPr>
                <w:rStyle w:val="Heading2Char"/>
                <w:rFonts w:ascii="Times New Roman" w:hAnsi="Times New Roman" w:cs="Times New Roman"/>
                <w:b/>
                <w:bCs/>
                <w:color w:val="auto"/>
                <w:sz w:val="19"/>
                <w:szCs w:val="19"/>
              </w:rPr>
              <w:lastRenderedPageBreak/>
              <w:t>T</w:t>
            </w:r>
            <w:r w:rsidR="00083D72" w:rsidRPr="00537A5B">
              <w:rPr>
                <w:rStyle w:val="Heading2Char"/>
                <w:rFonts w:ascii="Times New Roman" w:hAnsi="Times New Roman" w:cs="Times New Roman"/>
                <w:b/>
                <w:bCs/>
                <w:color w:val="auto"/>
                <w:sz w:val="19"/>
                <w:szCs w:val="19"/>
              </w:rPr>
              <w:t>able 3</w:t>
            </w:r>
            <w:bookmarkEnd w:id="31"/>
            <w:r w:rsidR="00083D72" w:rsidRPr="00537A5B">
              <w:rPr>
                <w:rFonts w:ascii="Times New Roman" w:hAnsi="Times New Roman" w:cs="Times New Roman"/>
                <w:b/>
                <w:bCs/>
                <w:sz w:val="19"/>
                <w:szCs w:val="19"/>
                <w:lang w:val="en-US"/>
              </w:rPr>
              <w:t xml:space="preserve">: </w:t>
            </w:r>
            <w:r w:rsidR="00083D72" w:rsidRPr="00537A5B">
              <w:rPr>
                <w:rFonts w:ascii="Times New Roman" w:hAnsi="Times New Roman" w:cs="Times New Roman"/>
                <w:sz w:val="19"/>
                <w:szCs w:val="19"/>
                <w:lang w:val="en-US"/>
              </w:rPr>
              <w:t>The Impact of Accounting Fraud on Dividend Smoothing</w:t>
            </w:r>
          </w:p>
        </w:tc>
      </w:tr>
      <w:tr w:rsidR="00083D72" w:rsidRPr="00785BF3" w14:paraId="2E306836" w14:textId="77777777" w:rsidTr="00106CFF">
        <w:trPr>
          <w:trHeight w:val="210"/>
        </w:trPr>
        <w:tc>
          <w:tcPr>
            <w:tcW w:w="5000" w:type="pct"/>
            <w:gridSpan w:val="3"/>
            <w:tcBorders>
              <w:left w:val="nil"/>
              <w:bottom w:val="single" w:sz="4" w:space="0" w:color="auto"/>
              <w:right w:val="nil"/>
            </w:tcBorders>
          </w:tcPr>
          <w:p w14:paraId="6BA4D947"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 xml:space="preserve">Using Ordinary Least Square (OLS) regressions, this table </w:t>
            </w:r>
            <w:r w:rsidRPr="00785BF3">
              <w:rPr>
                <w:rFonts w:ascii="Times New Roman" w:hAnsi="Times New Roman" w:cs="Times New Roman"/>
                <w:sz w:val="19"/>
                <w:szCs w:val="19"/>
              </w:rPr>
              <w:t xml:space="preserve">examined the impact of </w:t>
            </w:r>
            <w:r w:rsidRPr="00785BF3">
              <w:rPr>
                <w:rFonts w:ascii="Times New Roman" w:hAnsi="Times New Roman" w:cs="Times New Roman"/>
                <w:sz w:val="19"/>
                <w:szCs w:val="19"/>
                <w:lang w:val="en-US"/>
              </w:rPr>
              <w:t xml:space="preserve"> Accounting Fraud on the Speed of Adjustment (SOA), inversely related to dividend smoothing. T-statistics are </w:t>
            </w:r>
            <w:r w:rsidRPr="00785BF3">
              <w:rPr>
                <w:rFonts w:ascii="Times New Roman" w:hAnsi="Times New Roman" w:cs="Times New Roman"/>
                <w:sz w:val="19"/>
                <w:szCs w:val="19"/>
              </w:rPr>
              <w:t>robust standard errors clustered by industry fixed effects and are adjusted for heteroscedasticity (presented in brackets). The significance is indicated at the 1%, 5% and 10% levels represented by ***,** and * respectively. All variables are identified and defined in Appendix A.</w:t>
            </w:r>
          </w:p>
        </w:tc>
      </w:tr>
      <w:tr w:rsidR="00083D72" w:rsidRPr="00785BF3" w14:paraId="14858D6F" w14:textId="77777777" w:rsidTr="00106CFF">
        <w:trPr>
          <w:trHeight w:val="74"/>
        </w:trPr>
        <w:tc>
          <w:tcPr>
            <w:tcW w:w="1215" w:type="pct"/>
            <w:tcBorders>
              <w:left w:val="nil"/>
              <w:bottom w:val="single" w:sz="4" w:space="0" w:color="auto"/>
              <w:right w:val="nil"/>
            </w:tcBorders>
          </w:tcPr>
          <w:p w14:paraId="121ABD5B" w14:textId="77777777" w:rsidR="00083D72" w:rsidRPr="00785BF3" w:rsidRDefault="00083D72" w:rsidP="00106CFF">
            <w:pP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Variables</w:t>
            </w:r>
          </w:p>
        </w:tc>
        <w:tc>
          <w:tcPr>
            <w:tcW w:w="2584" w:type="pct"/>
            <w:tcBorders>
              <w:left w:val="nil"/>
              <w:bottom w:val="single" w:sz="4" w:space="0" w:color="auto"/>
              <w:right w:val="nil"/>
            </w:tcBorders>
          </w:tcPr>
          <w:p w14:paraId="26DF0874" w14:textId="77777777" w:rsidR="00083D72" w:rsidRPr="00785BF3" w:rsidRDefault="00083D72"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(1)</w:t>
            </w:r>
          </w:p>
        </w:tc>
        <w:tc>
          <w:tcPr>
            <w:tcW w:w="1201" w:type="pct"/>
            <w:tcBorders>
              <w:left w:val="nil"/>
              <w:bottom w:val="single" w:sz="4" w:space="0" w:color="auto"/>
              <w:right w:val="nil"/>
            </w:tcBorders>
          </w:tcPr>
          <w:p w14:paraId="55540D0D" w14:textId="77777777" w:rsidR="00083D72" w:rsidRPr="00785BF3" w:rsidRDefault="00083D72" w:rsidP="00106CFF">
            <w:pPr>
              <w:jc w:val="center"/>
              <w:rPr>
                <w:rFonts w:ascii="Times New Roman" w:hAnsi="Times New Roman" w:cs="Times New Roman"/>
                <w:b/>
                <w:bCs/>
                <w:sz w:val="19"/>
                <w:szCs w:val="19"/>
                <w:lang w:val="en-US"/>
              </w:rPr>
            </w:pPr>
            <w:r w:rsidRPr="00785BF3">
              <w:rPr>
                <w:rFonts w:ascii="Times New Roman" w:hAnsi="Times New Roman" w:cs="Times New Roman"/>
                <w:b/>
                <w:bCs/>
                <w:sz w:val="19"/>
                <w:szCs w:val="19"/>
                <w:lang w:val="en-US"/>
              </w:rPr>
              <w:t>(2)</w:t>
            </w:r>
          </w:p>
        </w:tc>
      </w:tr>
      <w:tr w:rsidR="00083D72" w:rsidRPr="00785BF3" w14:paraId="48B4E387" w14:textId="77777777" w:rsidTr="00106CFF">
        <w:trPr>
          <w:trHeight w:val="91"/>
        </w:trPr>
        <w:tc>
          <w:tcPr>
            <w:tcW w:w="1215" w:type="pct"/>
            <w:tcBorders>
              <w:top w:val="single" w:sz="4" w:space="0" w:color="auto"/>
              <w:left w:val="nil"/>
              <w:bottom w:val="nil"/>
              <w:right w:val="nil"/>
            </w:tcBorders>
          </w:tcPr>
          <w:p w14:paraId="628F8967"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Fraud</w:t>
            </w:r>
          </w:p>
        </w:tc>
        <w:tc>
          <w:tcPr>
            <w:tcW w:w="2584" w:type="pct"/>
            <w:tcBorders>
              <w:top w:val="single" w:sz="4" w:space="0" w:color="auto"/>
              <w:left w:val="nil"/>
              <w:bottom w:val="nil"/>
              <w:right w:val="nil"/>
            </w:tcBorders>
          </w:tcPr>
          <w:p w14:paraId="3797297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-0.12**</w:t>
            </w:r>
          </w:p>
          <w:p w14:paraId="3D1E3CB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(-2.37)</w:t>
            </w:r>
          </w:p>
        </w:tc>
        <w:tc>
          <w:tcPr>
            <w:tcW w:w="1201" w:type="pct"/>
            <w:tcBorders>
              <w:top w:val="single" w:sz="4" w:space="0" w:color="auto"/>
              <w:left w:val="nil"/>
              <w:bottom w:val="nil"/>
              <w:right w:val="nil"/>
            </w:tcBorders>
          </w:tcPr>
          <w:p w14:paraId="4C0B9F0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-0.19***</w:t>
            </w:r>
          </w:p>
          <w:p w14:paraId="74DFCC7E"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(-3.05)</w:t>
            </w:r>
          </w:p>
        </w:tc>
      </w:tr>
      <w:tr w:rsidR="00083D72" w:rsidRPr="00785BF3" w14:paraId="699A1A36" w14:textId="77777777" w:rsidTr="00106CFF">
        <w:trPr>
          <w:trHeight w:val="97"/>
        </w:trPr>
        <w:tc>
          <w:tcPr>
            <w:tcW w:w="1215" w:type="pct"/>
            <w:tcBorders>
              <w:top w:val="nil"/>
              <w:left w:val="nil"/>
              <w:bottom w:val="nil"/>
              <w:right w:val="nil"/>
            </w:tcBorders>
          </w:tcPr>
          <w:p w14:paraId="5E897F4B"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Payout</w:t>
            </w:r>
          </w:p>
        </w:tc>
        <w:tc>
          <w:tcPr>
            <w:tcW w:w="2584" w:type="pct"/>
            <w:tcBorders>
              <w:top w:val="nil"/>
              <w:left w:val="nil"/>
              <w:bottom w:val="nil"/>
              <w:right w:val="nil"/>
            </w:tcBorders>
          </w:tcPr>
          <w:p w14:paraId="5BE54480"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0581BDB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-0.11**</w:t>
            </w:r>
          </w:p>
          <w:p w14:paraId="5D56E4F3"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(-2.41)</w:t>
            </w:r>
          </w:p>
        </w:tc>
      </w:tr>
      <w:tr w:rsidR="00083D72" w:rsidRPr="00785BF3" w14:paraId="384DA23C" w14:textId="77777777" w:rsidTr="00106CFF">
        <w:trPr>
          <w:trHeight w:val="97"/>
        </w:trPr>
        <w:tc>
          <w:tcPr>
            <w:tcW w:w="1215" w:type="pct"/>
            <w:tcBorders>
              <w:top w:val="nil"/>
              <w:left w:val="nil"/>
              <w:bottom w:val="nil"/>
              <w:right w:val="nil"/>
            </w:tcBorders>
          </w:tcPr>
          <w:p w14:paraId="57EC84F3"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EBITDA</w:t>
            </w:r>
          </w:p>
        </w:tc>
        <w:tc>
          <w:tcPr>
            <w:tcW w:w="2584" w:type="pct"/>
            <w:tcBorders>
              <w:top w:val="nil"/>
              <w:left w:val="nil"/>
              <w:bottom w:val="nil"/>
              <w:right w:val="nil"/>
            </w:tcBorders>
          </w:tcPr>
          <w:p w14:paraId="27B5375E"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6E19E9DC"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p w14:paraId="732D9F8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(-1.24)</w:t>
            </w:r>
          </w:p>
        </w:tc>
      </w:tr>
      <w:tr w:rsidR="00083D72" w:rsidRPr="00785BF3" w14:paraId="4E307F97" w14:textId="77777777" w:rsidTr="00106CFF">
        <w:trPr>
          <w:trHeight w:val="167"/>
        </w:trPr>
        <w:tc>
          <w:tcPr>
            <w:tcW w:w="1215" w:type="pct"/>
            <w:tcBorders>
              <w:top w:val="nil"/>
              <w:left w:val="nil"/>
              <w:bottom w:val="nil"/>
              <w:right w:val="nil"/>
            </w:tcBorders>
          </w:tcPr>
          <w:p w14:paraId="1555A773"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Asset tangibility</w:t>
            </w:r>
          </w:p>
        </w:tc>
        <w:tc>
          <w:tcPr>
            <w:tcW w:w="2584" w:type="pct"/>
            <w:tcBorders>
              <w:top w:val="nil"/>
              <w:left w:val="nil"/>
              <w:bottom w:val="nil"/>
              <w:right w:val="nil"/>
            </w:tcBorders>
          </w:tcPr>
          <w:p w14:paraId="12059D7A"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7C771BB9"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p w14:paraId="006F7036"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(-0.15)</w:t>
            </w:r>
          </w:p>
        </w:tc>
      </w:tr>
      <w:tr w:rsidR="00083D72" w:rsidRPr="00785BF3" w14:paraId="0D8727A3" w14:textId="77777777" w:rsidTr="00106CFF">
        <w:trPr>
          <w:trHeight w:val="103"/>
        </w:trPr>
        <w:tc>
          <w:tcPr>
            <w:tcW w:w="1215" w:type="pct"/>
            <w:tcBorders>
              <w:top w:val="nil"/>
              <w:left w:val="nil"/>
              <w:bottom w:val="nil"/>
              <w:right w:val="nil"/>
            </w:tcBorders>
          </w:tcPr>
          <w:p w14:paraId="359B91A2"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Market-to-Book ratio</w:t>
            </w:r>
          </w:p>
        </w:tc>
        <w:tc>
          <w:tcPr>
            <w:tcW w:w="2584" w:type="pct"/>
            <w:tcBorders>
              <w:top w:val="nil"/>
              <w:left w:val="nil"/>
              <w:bottom w:val="nil"/>
              <w:right w:val="nil"/>
            </w:tcBorders>
          </w:tcPr>
          <w:p w14:paraId="2C2EC79F"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19ACFB73"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0.07**</w:t>
            </w:r>
          </w:p>
          <w:p w14:paraId="1C3738B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(2.52)</w:t>
            </w:r>
          </w:p>
        </w:tc>
      </w:tr>
      <w:tr w:rsidR="00083D72" w:rsidRPr="00785BF3" w14:paraId="712BC330" w14:textId="77777777" w:rsidTr="00106CFF">
        <w:trPr>
          <w:trHeight w:val="159"/>
        </w:trPr>
        <w:tc>
          <w:tcPr>
            <w:tcW w:w="1215" w:type="pct"/>
            <w:tcBorders>
              <w:top w:val="nil"/>
              <w:left w:val="nil"/>
              <w:bottom w:val="nil"/>
              <w:right w:val="nil"/>
            </w:tcBorders>
          </w:tcPr>
          <w:p w14:paraId="15084E51"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Size</w:t>
            </w:r>
          </w:p>
        </w:tc>
        <w:tc>
          <w:tcPr>
            <w:tcW w:w="2584" w:type="pct"/>
            <w:tcBorders>
              <w:top w:val="nil"/>
              <w:left w:val="nil"/>
              <w:bottom w:val="nil"/>
              <w:right w:val="nil"/>
            </w:tcBorders>
          </w:tcPr>
          <w:p w14:paraId="7AB13271"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7AE9220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p w14:paraId="5CCAF527"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(-0.55)</w:t>
            </w:r>
          </w:p>
        </w:tc>
      </w:tr>
      <w:tr w:rsidR="00083D72" w:rsidRPr="00785BF3" w14:paraId="04833A0F" w14:textId="77777777" w:rsidTr="00106CFF">
        <w:trPr>
          <w:trHeight w:val="151"/>
        </w:trPr>
        <w:tc>
          <w:tcPr>
            <w:tcW w:w="1215" w:type="pct"/>
            <w:tcBorders>
              <w:top w:val="nil"/>
              <w:left w:val="nil"/>
              <w:bottom w:val="nil"/>
              <w:right w:val="nil"/>
            </w:tcBorders>
          </w:tcPr>
          <w:p w14:paraId="36EC0977"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Capital Expenditure</w:t>
            </w:r>
          </w:p>
        </w:tc>
        <w:tc>
          <w:tcPr>
            <w:tcW w:w="2584" w:type="pct"/>
            <w:tcBorders>
              <w:top w:val="nil"/>
              <w:left w:val="nil"/>
              <w:bottom w:val="nil"/>
              <w:right w:val="nil"/>
            </w:tcBorders>
          </w:tcPr>
          <w:p w14:paraId="1833EBFB"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1AF0B62E"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0.12***</w:t>
            </w:r>
          </w:p>
          <w:p w14:paraId="1F89CCD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(2.92)</w:t>
            </w:r>
          </w:p>
        </w:tc>
      </w:tr>
      <w:tr w:rsidR="00083D72" w:rsidRPr="00785BF3" w14:paraId="3DB78194" w14:textId="77777777" w:rsidTr="00106CFF">
        <w:trPr>
          <w:trHeight w:val="129"/>
        </w:trPr>
        <w:tc>
          <w:tcPr>
            <w:tcW w:w="1215" w:type="pct"/>
            <w:tcBorders>
              <w:top w:val="nil"/>
              <w:left w:val="nil"/>
              <w:bottom w:val="nil"/>
              <w:right w:val="nil"/>
            </w:tcBorders>
          </w:tcPr>
          <w:p w14:paraId="3956F38B"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R&amp;D Expenditure</w:t>
            </w:r>
          </w:p>
        </w:tc>
        <w:tc>
          <w:tcPr>
            <w:tcW w:w="2584" w:type="pct"/>
            <w:tcBorders>
              <w:top w:val="nil"/>
              <w:left w:val="nil"/>
              <w:bottom w:val="nil"/>
              <w:right w:val="nil"/>
            </w:tcBorders>
          </w:tcPr>
          <w:p w14:paraId="57C9E7C6"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77CD6D52"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p w14:paraId="1EE7CD3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(0.72)</w:t>
            </w:r>
          </w:p>
        </w:tc>
      </w:tr>
      <w:tr w:rsidR="00083D72" w:rsidRPr="00785BF3" w14:paraId="0646261B" w14:textId="77777777" w:rsidTr="00106CFF">
        <w:trPr>
          <w:trHeight w:val="263"/>
        </w:trPr>
        <w:tc>
          <w:tcPr>
            <w:tcW w:w="1215" w:type="pct"/>
            <w:tcBorders>
              <w:top w:val="nil"/>
              <w:left w:val="nil"/>
              <w:bottom w:val="nil"/>
              <w:right w:val="nil"/>
            </w:tcBorders>
          </w:tcPr>
          <w:p w14:paraId="43F2EE1F"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Cash Holdings</w:t>
            </w:r>
          </w:p>
        </w:tc>
        <w:tc>
          <w:tcPr>
            <w:tcW w:w="2584" w:type="pct"/>
            <w:tcBorders>
              <w:top w:val="nil"/>
              <w:left w:val="nil"/>
              <w:bottom w:val="nil"/>
              <w:right w:val="nil"/>
            </w:tcBorders>
          </w:tcPr>
          <w:p w14:paraId="59A5EF8E"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4DE401B0"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p w14:paraId="3F21946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(-0.56)</w:t>
            </w:r>
          </w:p>
        </w:tc>
      </w:tr>
      <w:tr w:rsidR="00083D72" w:rsidRPr="00785BF3" w14:paraId="27677B20" w14:textId="77777777" w:rsidTr="00106CFF">
        <w:trPr>
          <w:trHeight w:val="103"/>
        </w:trPr>
        <w:tc>
          <w:tcPr>
            <w:tcW w:w="1215" w:type="pct"/>
            <w:tcBorders>
              <w:top w:val="nil"/>
              <w:left w:val="nil"/>
              <w:bottom w:val="nil"/>
              <w:right w:val="nil"/>
            </w:tcBorders>
          </w:tcPr>
          <w:p w14:paraId="4C309D9E"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Earnings AR(1)</w:t>
            </w:r>
          </w:p>
        </w:tc>
        <w:tc>
          <w:tcPr>
            <w:tcW w:w="2584" w:type="pct"/>
            <w:tcBorders>
              <w:top w:val="nil"/>
              <w:left w:val="nil"/>
              <w:bottom w:val="nil"/>
              <w:right w:val="nil"/>
            </w:tcBorders>
          </w:tcPr>
          <w:p w14:paraId="001B9F01"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3EAF8C5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p w14:paraId="6FA8523A"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(0.21)</w:t>
            </w:r>
          </w:p>
        </w:tc>
      </w:tr>
      <w:tr w:rsidR="00083D72" w:rsidRPr="00785BF3" w14:paraId="5C18CE5D" w14:textId="77777777" w:rsidTr="00106CFF">
        <w:trPr>
          <w:trHeight w:val="103"/>
        </w:trPr>
        <w:tc>
          <w:tcPr>
            <w:tcW w:w="1215" w:type="pct"/>
            <w:tcBorders>
              <w:top w:val="nil"/>
              <w:left w:val="nil"/>
              <w:bottom w:val="nil"/>
              <w:right w:val="nil"/>
            </w:tcBorders>
          </w:tcPr>
          <w:p w14:paraId="47EB3E6F"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HHI</w:t>
            </w:r>
          </w:p>
        </w:tc>
        <w:tc>
          <w:tcPr>
            <w:tcW w:w="2584" w:type="pct"/>
            <w:tcBorders>
              <w:top w:val="nil"/>
              <w:left w:val="nil"/>
              <w:bottom w:val="nil"/>
              <w:right w:val="nil"/>
            </w:tcBorders>
          </w:tcPr>
          <w:p w14:paraId="26C710ED"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3DE11D7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p w14:paraId="0033BE5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(-1.11)</w:t>
            </w:r>
          </w:p>
        </w:tc>
      </w:tr>
      <w:tr w:rsidR="00083D72" w:rsidRPr="00785BF3" w14:paraId="4A598E04" w14:textId="77777777" w:rsidTr="00106CFF">
        <w:trPr>
          <w:trHeight w:val="434"/>
        </w:trPr>
        <w:tc>
          <w:tcPr>
            <w:tcW w:w="1215" w:type="pct"/>
            <w:tcBorders>
              <w:top w:val="nil"/>
              <w:left w:val="nil"/>
              <w:bottom w:val="nil"/>
              <w:right w:val="nil"/>
            </w:tcBorders>
          </w:tcPr>
          <w:p w14:paraId="3EB1B4AE"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Sales Growth</w:t>
            </w:r>
          </w:p>
        </w:tc>
        <w:tc>
          <w:tcPr>
            <w:tcW w:w="2584" w:type="pct"/>
            <w:tcBorders>
              <w:top w:val="nil"/>
              <w:left w:val="nil"/>
              <w:bottom w:val="nil"/>
              <w:right w:val="nil"/>
            </w:tcBorders>
          </w:tcPr>
          <w:p w14:paraId="426D58D8"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77F623F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w:t>
            </w:r>
          </w:p>
          <w:p w14:paraId="38CDCDB6"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(0.32)</w:t>
            </w:r>
          </w:p>
        </w:tc>
      </w:tr>
      <w:tr w:rsidR="00083D72" w:rsidRPr="00785BF3" w14:paraId="5FD6538E" w14:textId="77777777" w:rsidTr="00106CFF">
        <w:trPr>
          <w:trHeight w:val="103"/>
        </w:trPr>
        <w:tc>
          <w:tcPr>
            <w:tcW w:w="1215" w:type="pct"/>
            <w:tcBorders>
              <w:top w:val="nil"/>
              <w:left w:val="nil"/>
              <w:bottom w:val="nil"/>
              <w:right w:val="nil"/>
            </w:tcBorders>
          </w:tcPr>
          <w:p w14:paraId="68AA138E"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Leverage</w:t>
            </w:r>
          </w:p>
        </w:tc>
        <w:tc>
          <w:tcPr>
            <w:tcW w:w="2584" w:type="pct"/>
            <w:tcBorders>
              <w:top w:val="nil"/>
              <w:left w:val="nil"/>
              <w:bottom w:val="nil"/>
              <w:right w:val="nil"/>
            </w:tcBorders>
          </w:tcPr>
          <w:p w14:paraId="5FBD2233"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75D5E2C7"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p w14:paraId="2969EDD8"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(1.46)</w:t>
            </w:r>
          </w:p>
        </w:tc>
      </w:tr>
      <w:tr w:rsidR="00083D72" w:rsidRPr="00785BF3" w14:paraId="492ED613" w14:textId="77777777" w:rsidTr="00106CFF">
        <w:trPr>
          <w:trHeight w:val="103"/>
        </w:trPr>
        <w:tc>
          <w:tcPr>
            <w:tcW w:w="1215" w:type="pct"/>
            <w:tcBorders>
              <w:top w:val="nil"/>
              <w:left w:val="nil"/>
              <w:bottom w:val="single" w:sz="4" w:space="0" w:color="auto"/>
              <w:right w:val="nil"/>
            </w:tcBorders>
          </w:tcPr>
          <w:p w14:paraId="3C50517E"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Firm Age</w:t>
            </w:r>
          </w:p>
        </w:tc>
        <w:tc>
          <w:tcPr>
            <w:tcW w:w="2584" w:type="pct"/>
            <w:tcBorders>
              <w:top w:val="nil"/>
              <w:left w:val="nil"/>
              <w:bottom w:val="single" w:sz="4" w:space="0" w:color="auto"/>
              <w:right w:val="nil"/>
            </w:tcBorders>
          </w:tcPr>
          <w:p w14:paraId="70531F9E"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single" w:sz="4" w:space="0" w:color="auto"/>
              <w:right w:val="nil"/>
            </w:tcBorders>
          </w:tcPr>
          <w:p w14:paraId="3FF0F03A"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p w14:paraId="193CB66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(0.08)</w:t>
            </w:r>
          </w:p>
        </w:tc>
      </w:tr>
      <w:tr w:rsidR="00083D72" w:rsidRPr="00785BF3" w14:paraId="0F3E6C67" w14:textId="77777777" w:rsidTr="00106CFF">
        <w:trPr>
          <w:trHeight w:val="93"/>
        </w:trPr>
        <w:tc>
          <w:tcPr>
            <w:tcW w:w="1215" w:type="pct"/>
            <w:tcBorders>
              <w:top w:val="single" w:sz="4" w:space="0" w:color="auto"/>
              <w:left w:val="nil"/>
              <w:bottom w:val="nil"/>
              <w:right w:val="nil"/>
            </w:tcBorders>
          </w:tcPr>
          <w:p w14:paraId="24D78161"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Year FE</w:t>
            </w:r>
          </w:p>
        </w:tc>
        <w:tc>
          <w:tcPr>
            <w:tcW w:w="2584" w:type="pct"/>
            <w:tcBorders>
              <w:top w:val="single" w:sz="4" w:space="0" w:color="auto"/>
              <w:left w:val="nil"/>
              <w:bottom w:val="nil"/>
              <w:right w:val="nil"/>
            </w:tcBorders>
          </w:tcPr>
          <w:p w14:paraId="7A8B1DF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c>
          <w:tcPr>
            <w:tcW w:w="1201" w:type="pct"/>
            <w:tcBorders>
              <w:top w:val="single" w:sz="4" w:space="0" w:color="auto"/>
              <w:left w:val="nil"/>
              <w:bottom w:val="nil"/>
              <w:right w:val="nil"/>
            </w:tcBorders>
          </w:tcPr>
          <w:p w14:paraId="460A2BC8"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r>
      <w:tr w:rsidR="00083D72" w:rsidRPr="00785BF3" w14:paraId="469FDB4A" w14:textId="77777777" w:rsidTr="00106CFF">
        <w:trPr>
          <w:trHeight w:val="84"/>
        </w:trPr>
        <w:tc>
          <w:tcPr>
            <w:tcW w:w="1215" w:type="pct"/>
            <w:tcBorders>
              <w:top w:val="nil"/>
              <w:left w:val="nil"/>
              <w:bottom w:val="nil"/>
              <w:right w:val="nil"/>
            </w:tcBorders>
          </w:tcPr>
          <w:p w14:paraId="68D16F9A"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Industry FE</w:t>
            </w:r>
          </w:p>
        </w:tc>
        <w:tc>
          <w:tcPr>
            <w:tcW w:w="2584" w:type="pct"/>
            <w:tcBorders>
              <w:top w:val="nil"/>
              <w:left w:val="nil"/>
              <w:bottom w:val="nil"/>
              <w:right w:val="nil"/>
            </w:tcBorders>
          </w:tcPr>
          <w:p w14:paraId="45B34C06"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c>
          <w:tcPr>
            <w:tcW w:w="1201" w:type="pct"/>
            <w:tcBorders>
              <w:top w:val="nil"/>
              <w:left w:val="nil"/>
              <w:bottom w:val="nil"/>
              <w:right w:val="nil"/>
            </w:tcBorders>
          </w:tcPr>
          <w:p w14:paraId="0A785D4C"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r>
      <w:tr w:rsidR="00083D72" w:rsidRPr="00785BF3" w14:paraId="119022EB" w14:textId="77777777" w:rsidTr="00106CFF">
        <w:trPr>
          <w:trHeight w:val="84"/>
        </w:trPr>
        <w:tc>
          <w:tcPr>
            <w:tcW w:w="1215" w:type="pct"/>
            <w:tcBorders>
              <w:top w:val="nil"/>
              <w:left w:val="nil"/>
              <w:bottom w:val="nil"/>
              <w:right w:val="nil"/>
            </w:tcBorders>
          </w:tcPr>
          <w:p w14:paraId="7DAC85F0"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Adjusted R</w:t>
            </w:r>
            <w:r w:rsidRPr="00785BF3">
              <w:rPr>
                <w:rFonts w:ascii="Times New Roman" w:hAnsi="Times New Roman" w:cs="Times New Roman"/>
                <w:sz w:val="19"/>
                <w:szCs w:val="19"/>
                <w:vertAlign w:val="superscript"/>
                <w:lang w:val="en-US"/>
              </w:rPr>
              <w:t>2</w:t>
            </w:r>
          </w:p>
        </w:tc>
        <w:tc>
          <w:tcPr>
            <w:tcW w:w="2584" w:type="pct"/>
            <w:tcBorders>
              <w:top w:val="nil"/>
              <w:left w:val="nil"/>
              <w:bottom w:val="nil"/>
              <w:right w:val="nil"/>
            </w:tcBorders>
          </w:tcPr>
          <w:p w14:paraId="5E9B432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0.0284</w:t>
            </w:r>
          </w:p>
        </w:tc>
        <w:tc>
          <w:tcPr>
            <w:tcW w:w="1201" w:type="pct"/>
            <w:tcBorders>
              <w:top w:val="nil"/>
              <w:left w:val="nil"/>
              <w:bottom w:val="nil"/>
              <w:right w:val="nil"/>
            </w:tcBorders>
          </w:tcPr>
          <w:p w14:paraId="056BBF22"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0.0795</w:t>
            </w:r>
          </w:p>
        </w:tc>
      </w:tr>
      <w:tr w:rsidR="00083D72" w:rsidRPr="00785BF3" w14:paraId="007C121C" w14:textId="77777777" w:rsidTr="00106CFF">
        <w:trPr>
          <w:trHeight w:val="84"/>
        </w:trPr>
        <w:tc>
          <w:tcPr>
            <w:tcW w:w="1215" w:type="pct"/>
            <w:tcBorders>
              <w:top w:val="nil"/>
              <w:left w:val="nil"/>
              <w:bottom w:val="single" w:sz="4" w:space="0" w:color="auto"/>
              <w:right w:val="nil"/>
            </w:tcBorders>
          </w:tcPr>
          <w:p w14:paraId="61984140"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 xml:space="preserve">Number of Obs. </w:t>
            </w:r>
          </w:p>
        </w:tc>
        <w:tc>
          <w:tcPr>
            <w:tcW w:w="2584" w:type="pct"/>
            <w:tcBorders>
              <w:top w:val="nil"/>
              <w:left w:val="nil"/>
              <w:bottom w:val="single" w:sz="4" w:space="0" w:color="auto"/>
              <w:right w:val="nil"/>
            </w:tcBorders>
          </w:tcPr>
          <w:p w14:paraId="290C10B7"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9,166</w:t>
            </w:r>
          </w:p>
        </w:tc>
        <w:tc>
          <w:tcPr>
            <w:tcW w:w="1201" w:type="pct"/>
            <w:tcBorders>
              <w:top w:val="nil"/>
              <w:left w:val="nil"/>
              <w:bottom w:val="single" w:sz="4" w:space="0" w:color="auto"/>
              <w:right w:val="nil"/>
            </w:tcBorders>
          </w:tcPr>
          <w:p w14:paraId="4EE9F580"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2,866</w:t>
            </w:r>
          </w:p>
        </w:tc>
      </w:tr>
    </w:tbl>
    <w:p w14:paraId="32CF7126" w14:textId="77777777" w:rsidR="00083D72" w:rsidRPr="00785BF3" w:rsidRDefault="00083D72" w:rsidP="00083D72">
      <w:pPr>
        <w:rPr>
          <w:rFonts w:ascii="Times New Roman" w:hAnsi="Times New Roman" w:cs="Times New Roman"/>
        </w:rPr>
      </w:pPr>
    </w:p>
    <w:p w14:paraId="5F9ABFF5" w14:textId="77777777" w:rsidR="00083D72" w:rsidRPr="00785BF3" w:rsidRDefault="00083D72" w:rsidP="00083D72">
      <w:pPr>
        <w:pStyle w:val="paragraph"/>
        <w:spacing w:before="0" w:beforeAutospacing="0" w:after="0" w:afterAutospacing="0"/>
        <w:jc w:val="both"/>
        <w:textAlignment w:val="baseline"/>
      </w:pPr>
    </w:p>
    <w:p w14:paraId="25996FED" w14:textId="77777777" w:rsidR="00083D72" w:rsidRPr="00785BF3" w:rsidRDefault="00083D72" w:rsidP="00083D72">
      <w:pPr>
        <w:pStyle w:val="paragraph"/>
        <w:spacing w:before="0" w:beforeAutospacing="0" w:after="0" w:afterAutospacing="0"/>
        <w:jc w:val="both"/>
        <w:textAlignment w:val="baseline"/>
      </w:pPr>
    </w:p>
    <w:p w14:paraId="4283AC55" w14:textId="77777777" w:rsidR="00083D72" w:rsidRPr="00785BF3" w:rsidRDefault="00083D72" w:rsidP="00083D72">
      <w:pPr>
        <w:pStyle w:val="paragraph"/>
        <w:spacing w:before="0" w:beforeAutospacing="0" w:after="0" w:afterAutospacing="0"/>
        <w:jc w:val="both"/>
        <w:textAlignment w:val="baseline"/>
      </w:pPr>
    </w:p>
    <w:p w14:paraId="43CBA0CC" w14:textId="77777777" w:rsidR="00083D72" w:rsidRPr="00785BF3" w:rsidRDefault="00083D72" w:rsidP="00083D72">
      <w:pPr>
        <w:pStyle w:val="paragraph"/>
        <w:spacing w:before="0" w:beforeAutospacing="0" w:after="0" w:afterAutospacing="0"/>
        <w:jc w:val="both"/>
        <w:textAlignment w:val="baseline"/>
      </w:pPr>
    </w:p>
    <w:p w14:paraId="5EB2F7AB" w14:textId="77777777" w:rsidR="00083D72" w:rsidRPr="00785BF3" w:rsidRDefault="00083D72" w:rsidP="00083D72">
      <w:pPr>
        <w:pStyle w:val="paragraph"/>
        <w:spacing w:before="0" w:beforeAutospacing="0" w:after="0" w:afterAutospacing="0"/>
        <w:jc w:val="both"/>
        <w:textAlignment w:val="baseline"/>
      </w:pPr>
    </w:p>
    <w:p w14:paraId="4EAE5F2C" w14:textId="77777777" w:rsidR="00083D72" w:rsidRPr="00785BF3" w:rsidRDefault="00083D72" w:rsidP="00083D72">
      <w:pPr>
        <w:pStyle w:val="paragraph"/>
        <w:spacing w:before="0" w:beforeAutospacing="0" w:after="0" w:afterAutospacing="0"/>
        <w:jc w:val="both"/>
        <w:textAlignment w:val="baseline"/>
      </w:pPr>
    </w:p>
    <w:p w14:paraId="3CAA9831" w14:textId="77777777" w:rsidR="00083D72" w:rsidRPr="00785BF3" w:rsidRDefault="00083D72" w:rsidP="00083D72">
      <w:pPr>
        <w:pStyle w:val="paragraph"/>
        <w:spacing w:before="0" w:beforeAutospacing="0" w:after="0" w:afterAutospacing="0"/>
        <w:jc w:val="both"/>
        <w:textAlignment w:val="baseline"/>
      </w:pPr>
    </w:p>
    <w:p w14:paraId="74EFC026" w14:textId="77777777" w:rsidR="00083D72" w:rsidRPr="00785BF3" w:rsidRDefault="00083D72" w:rsidP="00083D72">
      <w:pPr>
        <w:pStyle w:val="paragraph"/>
        <w:spacing w:before="0" w:beforeAutospacing="0" w:after="0" w:afterAutospacing="0"/>
        <w:jc w:val="both"/>
        <w:textAlignment w:val="baseline"/>
      </w:pPr>
    </w:p>
    <w:p w14:paraId="0EB1367F" w14:textId="77777777" w:rsidR="00083D72" w:rsidRPr="00785BF3" w:rsidRDefault="00083D72" w:rsidP="00083D72">
      <w:pPr>
        <w:pStyle w:val="paragraph"/>
        <w:spacing w:before="0" w:beforeAutospacing="0" w:after="0" w:afterAutospacing="0"/>
        <w:jc w:val="both"/>
        <w:textAlignment w:val="baseline"/>
      </w:pPr>
    </w:p>
    <w:p w14:paraId="377A786F" w14:textId="77777777" w:rsidR="00083D72" w:rsidRPr="00785BF3" w:rsidRDefault="00083D72" w:rsidP="00083D72">
      <w:pPr>
        <w:pStyle w:val="paragraph"/>
        <w:spacing w:before="0" w:beforeAutospacing="0" w:after="0" w:afterAutospacing="0"/>
        <w:jc w:val="both"/>
        <w:textAlignment w:val="baseline"/>
      </w:pPr>
    </w:p>
    <w:p w14:paraId="07B47212" w14:textId="77777777" w:rsidR="00083D72" w:rsidRDefault="00083D72" w:rsidP="00083D72">
      <w:pPr>
        <w:pStyle w:val="paragraph"/>
        <w:spacing w:before="0" w:beforeAutospacing="0" w:after="0" w:afterAutospacing="0"/>
        <w:jc w:val="both"/>
        <w:textAlignment w:val="baseline"/>
      </w:pPr>
    </w:p>
    <w:p w14:paraId="169962B5" w14:textId="77777777" w:rsidR="00106CFF" w:rsidRDefault="00106CFF" w:rsidP="00083D72">
      <w:pPr>
        <w:pStyle w:val="paragraph"/>
        <w:spacing w:before="0" w:beforeAutospacing="0" w:after="0" w:afterAutospacing="0"/>
        <w:jc w:val="both"/>
        <w:textAlignment w:val="baseline"/>
      </w:pPr>
    </w:p>
    <w:p w14:paraId="7B0EE8F5" w14:textId="77777777" w:rsidR="00106CFF" w:rsidRDefault="00106CFF" w:rsidP="00083D72">
      <w:pPr>
        <w:pStyle w:val="paragraph"/>
        <w:spacing w:before="0" w:beforeAutospacing="0" w:after="0" w:afterAutospacing="0"/>
        <w:jc w:val="both"/>
        <w:textAlignment w:val="baseline"/>
      </w:pPr>
    </w:p>
    <w:p w14:paraId="1375DB02" w14:textId="77777777" w:rsidR="00106CFF" w:rsidRPr="00785BF3" w:rsidRDefault="00106CFF" w:rsidP="00083D72">
      <w:pPr>
        <w:pStyle w:val="paragraph"/>
        <w:spacing w:before="0" w:beforeAutospacing="0" w:after="0" w:afterAutospacing="0"/>
        <w:jc w:val="both"/>
        <w:textAlignment w:val="baseline"/>
      </w:pPr>
    </w:p>
    <w:p w14:paraId="305A914F" w14:textId="77777777" w:rsidR="004E76A6" w:rsidRPr="00785BF3" w:rsidRDefault="004E76A6" w:rsidP="00083D72">
      <w:pPr>
        <w:pStyle w:val="paragraph"/>
        <w:spacing w:before="0" w:beforeAutospacing="0" w:after="0" w:afterAutospacing="0"/>
        <w:jc w:val="both"/>
        <w:textAlignment w:val="baseline"/>
      </w:pPr>
    </w:p>
    <w:p w14:paraId="3AB351CD" w14:textId="77777777" w:rsidR="00083D72" w:rsidRPr="00785BF3" w:rsidRDefault="00083D72" w:rsidP="00083D72">
      <w:pPr>
        <w:pStyle w:val="paragraph"/>
        <w:spacing w:before="0" w:beforeAutospacing="0" w:after="0" w:afterAutospacing="0"/>
        <w:jc w:val="both"/>
        <w:textAlignment w:val="baseline"/>
      </w:pPr>
    </w:p>
    <w:p w14:paraId="5D82F5A9" w14:textId="77777777" w:rsidR="00083D72" w:rsidRPr="00785BF3" w:rsidRDefault="00083D72" w:rsidP="00083D72">
      <w:pPr>
        <w:pStyle w:val="paragraph"/>
        <w:spacing w:before="0" w:beforeAutospacing="0" w:after="0" w:afterAutospacing="0"/>
        <w:jc w:val="both"/>
        <w:textAlignment w:val="baseline"/>
      </w:pPr>
    </w:p>
    <w:p w14:paraId="298A0633" w14:textId="77777777" w:rsidR="00083D72" w:rsidRPr="00785BF3" w:rsidRDefault="00083D72" w:rsidP="00083D72">
      <w:pPr>
        <w:rPr>
          <w:rFonts w:ascii="Times New Roman" w:hAnsi="Times New Roman" w:cs="Times New Roman"/>
        </w:rPr>
      </w:pPr>
    </w:p>
    <w:tbl>
      <w:tblPr>
        <w:tblStyle w:val="TableGrid"/>
        <w:tblpPr w:leftFromText="180" w:rightFromText="180" w:vertAnchor="page" w:horzAnchor="margin" w:tblpY="885"/>
        <w:tblW w:w="5172" w:type="pct"/>
        <w:tblLook w:val="04A0" w:firstRow="1" w:lastRow="0" w:firstColumn="1" w:lastColumn="0" w:noHBand="0" w:noVBand="1"/>
      </w:tblPr>
      <w:tblGrid>
        <w:gridCol w:w="2267"/>
        <w:gridCol w:w="4822"/>
        <w:gridCol w:w="2241"/>
      </w:tblGrid>
      <w:tr w:rsidR="00083D72" w:rsidRPr="00785BF3" w14:paraId="7991C961" w14:textId="77777777" w:rsidTr="00106CFF">
        <w:trPr>
          <w:trHeight w:val="198"/>
        </w:trPr>
        <w:tc>
          <w:tcPr>
            <w:tcW w:w="5000" w:type="pct"/>
            <w:gridSpan w:val="3"/>
            <w:tcBorders>
              <w:left w:val="nil"/>
              <w:bottom w:val="single" w:sz="4" w:space="0" w:color="auto"/>
              <w:right w:val="nil"/>
            </w:tcBorders>
          </w:tcPr>
          <w:p w14:paraId="2F1CA925" w14:textId="1CA827EF" w:rsidR="00083D72" w:rsidRPr="00537A5B" w:rsidRDefault="00537A5B" w:rsidP="00537A5B">
            <w:pPr>
              <w:jc w:val="center"/>
              <w:rPr>
                <w:rFonts w:ascii="Times New Roman" w:hAnsi="Times New Roman" w:cs="Times New Roman"/>
                <w:b/>
                <w:bCs/>
                <w:sz w:val="19"/>
                <w:szCs w:val="19"/>
                <w:lang w:val="en-US"/>
              </w:rPr>
            </w:pPr>
            <w:bookmarkStart w:id="32" w:name="_Toc167763061"/>
            <w:r>
              <w:rPr>
                <w:rStyle w:val="Heading2Char"/>
                <w:rFonts w:ascii="Times New Roman" w:hAnsi="Times New Roman" w:cs="Times New Roman"/>
                <w:b/>
                <w:bCs/>
                <w:color w:val="auto"/>
                <w:sz w:val="19"/>
                <w:szCs w:val="19"/>
              </w:rPr>
              <w:lastRenderedPageBreak/>
              <w:t>T</w:t>
            </w:r>
            <w:r w:rsidR="00083D72" w:rsidRPr="00537A5B">
              <w:rPr>
                <w:rStyle w:val="Heading2Char"/>
                <w:rFonts w:ascii="Times New Roman" w:hAnsi="Times New Roman" w:cs="Times New Roman"/>
                <w:b/>
                <w:bCs/>
                <w:color w:val="auto"/>
                <w:sz w:val="19"/>
                <w:szCs w:val="19"/>
              </w:rPr>
              <w:t>able 4</w:t>
            </w:r>
            <w:bookmarkEnd w:id="32"/>
            <w:r w:rsidR="00083D72" w:rsidRPr="00537A5B">
              <w:rPr>
                <w:rFonts w:ascii="Times New Roman" w:hAnsi="Times New Roman" w:cs="Times New Roman"/>
                <w:b/>
                <w:bCs/>
                <w:sz w:val="19"/>
                <w:szCs w:val="19"/>
                <w:lang w:val="en-US"/>
              </w:rPr>
              <w:t>:</w:t>
            </w:r>
            <w:r w:rsidR="00083D72" w:rsidRPr="00537A5B">
              <w:rPr>
                <w:rFonts w:ascii="Times New Roman" w:hAnsi="Times New Roman" w:cs="Times New Roman"/>
                <w:sz w:val="19"/>
                <w:szCs w:val="19"/>
                <w:lang w:val="en-US"/>
              </w:rPr>
              <w:t xml:space="preserve"> Robustness Test - The Impact of Accounting Fraud on Dividend Smoothing</w:t>
            </w:r>
          </w:p>
        </w:tc>
      </w:tr>
      <w:tr w:rsidR="00083D72" w:rsidRPr="00785BF3" w14:paraId="140E90DF" w14:textId="77777777" w:rsidTr="00106CFF">
        <w:trPr>
          <w:trHeight w:val="210"/>
        </w:trPr>
        <w:tc>
          <w:tcPr>
            <w:tcW w:w="5000" w:type="pct"/>
            <w:gridSpan w:val="3"/>
            <w:tcBorders>
              <w:left w:val="nil"/>
              <w:bottom w:val="single" w:sz="4" w:space="0" w:color="auto"/>
              <w:right w:val="nil"/>
            </w:tcBorders>
          </w:tcPr>
          <w:p w14:paraId="68E77F61"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 xml:space="preserve">Using Ordinary Least Square (OLS) regressions, this table </w:t>
            </w:r>
            <w:r w:rsidRPr="00785BF3">
              <w:rPr>
                <w:rFonts w:ascii="Times New Roman" w:hAnsi="Times New Roman" w:cs="Times New Roman"/>
                <w:sz w:val="19"/>
                <w:szCs w:val="19"/>
              </w:rPr>
              <w:t xml:space="preserve">examined the impact of </w:t>
            </w:r>
            <w:r w:rsidRPr="00785BF3">
              <w:rPr>
                <w:rFonts w:ascii="Times New Roman" w:hAnsi="Times New Roman" w:cs="Times New Roman"/>
                <w:sz w:val="19"/>
                <w:szCs w:val="19"/>
                <w:lang w:val="en-US"/>
              </w:rPr>
              <w:t xml:space="preserve">Accounting Fraud on the Speed of Adjustment (SOA), inversely related to dividend smoothing. T-statistics are </w:t>
            </w:r>
            <w:r w:rsidRPr="00785BF3">
              <w:rPr>
                <w:rFonts w:ascii="Times New Roman" w:hAnsi="Times New Roman" w:cs="Times New Roman"/>
                <w:sz w:val="19"/>
                <w:szCs w:val="19"/>
              </w:rPr>
              <w:t>robust standard errors clustered by firm fixed effects and are adjusted for heteroscedasticity (presented in brackets). The significance is indicated at the 1%, 5% and 10% levels represented by ***,** and * respectively. All variables are identified and defined in Appendix A.</w:t>
            </w:r>
          </w:p>
        </w:tc>
      </w:tr>
      <w:tr w:rsidR="00083D72" w:rsidRPr="00785BF3" w14:paraId="3F1AF629" w14:textId="77777777" w:rsidTr="00106CFF">
        <w:trPr>
          <w:trHeight w:val="186"/>
        </w:trPr>
        <w:tc>
          <w:tcPr>
            <w:tcW w:w="1215" w:type="pct"/>
            <w:tcBorders>
              <w:left w:val="nil"/>
              <w:bottom w:val="single" w:sz="4" w:space="0" w:color="auto"/>
              <w:right w:val="nil"/>
            </w:tcBorders>
          </w:tcPr>
          <w:p w14:paraId="0DD86C51"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Variables</w:t>
            </w:r>
          </w:p>
        </w:tc>
        <w:tc>
          <w:tcPr>
            <w:tcW w:w="2584" w:type="pct"/>
            <w:tcBorders>
              <w:left w:val="nil"/>
              <w:bottom w:val="single" w:sz="4" w:space="0" w:color="auto"/>
              <w:right w:val="nil"/>
            </w:tcBorders>
          </w:tcPr>
          <w:p w14:paraId="42C026D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w:t>
            </w:r>
          </w:p>
        </w:tc>
        <w:tc>
          <w:tcPr>
            <w:tcW w:w="1201" w:type="pct"/>
            <w:tcBorders>
              <w:left w:val="nil"/>
              <w:bottom w:val="single" w:sz="4" w:space="0" w:color="auto"/>
              <w:right w:val="nil"/>
            </w:tcBorders>
          </w:tcPr>
          <w:p w14:paraId="609E9730"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w:t>
            </w:r>
          </w:p>
        </w:tc>
      </w:tr>
      <w:tr w:rsidR="00083D72" w:rsidRPr="00785BF3" w14:paraId="54A235CB" w14:textId="77777777" w:rsidTr="00106CFF">
        <w:trPr>
          <w:trHeight w:val="216"/>
        </w:trPr>
        <w:tc>
          <w:tcPr>
            <w:tcW w:w="1215" w:type="pct"/>
            <w:tcBorders>
              <w:top w:val="single" w:sz="4" w:space="0" w:color="auto"/>
              <w:left w:val="nil"/>
              <w:bottom w:val="nil"/>
              <w:right w:val="nil"/>
            </w:tcBorders>
          </w:tcPr>
          <w:p w14:paraId="0862680D"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Fraud</w:t>
            </w:r>
          </w:p>
        </w:tc>
        <w:tc>
          <w:tcPr>
            <w:tcW w:w="2584" w:type="pct"/>
            <w:tcBorders>
              <w:top w:val="single" w:sz="4" w:space="0" w:color="auto"/>
              <w:left w:val="nil"/>
              <w:bottom w:val="nil"/>
              <w:right w:val="nil"/>
            </w:tcBorders>
          </w:tcPr>
          <w:p w14:paraId="423E767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-0.05</w:t>
            </w:r>
          </w:p>
          <w:p w14:paraId="71529DF8"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(-1.01)</w:t>
            </w:r>
          </w:p>
        </w:tc>
        <w:tc>
          <w:tcPr>
            <w:tcW w:w="1201" w:type="pct"/>
            <w:tcBorders>
              <w:top w:val="single" w:sz="4" w:space="0" w:color="auto"/>
              <w:left w:val="nil"/>
              <w:bottom w:val="nil"/>
              <w:right w:val="nil"/>
            </w:tcBorders>
          </w:tcPr>
          <w:p w14:paraId="098339E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-0.11*</w:t>
            </w:r>
          </w:p>
          <w:p w14:paraId="0A50B0F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(-1.70)</w:t>
            </w:r>
          </w:p>
        </w:tc>
      </w:tr>
      <w:tr w:rsidR="00083D72" w:rsidRPr="00785BF3" w14:paraId="39000807" w14:textId="77777777" w:rsidTr="00106CFF">
        <w:trPr>
          <w:trHeight w:val="206"/>
        </w:trPr>
        <w:tc>
          <w:tcPr>
            <w:tcW w:w="1215" w:type="pct"/>
            <w:tcBorders>
              <w:top w:val="nil"/>
              <w:left w:val="nil"/>
              <w:bottom w:val="nil"/>
              <w:right w:val="nil"/>
            </w:tcBorders>
          </w:tcPr>
          <w:p w14:paraId="6DF697D1"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Payout</w:t>
            </w:r>
          </w:p>
        </w:tc>
        <w:tc>
          <w:tcPr>
            <w:tcW w:w="2584" w:type="pct"/>
            <w:tcBorders>
              <w:top w:val="nil"/>
              <w:left w:val="nil"/>
              <w:bottom w:val="nil"/>
              <w:right w:val="nil"/>
            </w:tcBorders>
          </w:tcPr>
          <w:p w14:paraId="282B1C6C"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18EE198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-0.08</w:t>
            </w:r>
          </w:p>
          <w:p w14:paraId="01551B2C"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(-1.35)</w:t>
            </w:r>
          </w:p>
        </w:tc>
      </w:tr>
      <w:tr w:rsidR="00083D72" w:rsidRPr="00785BF3" w14:paraId="0E6EC04A" w14:textId="77777777" w:rsidTr="00106CFF">
        <w:trPr>
          <w:trHeight w:val="122"/>
        </w:trPr>
        <w:tc>
          <w:tcPr>
            <w:tcW w:w="1215" w:type="pct"/>
            <w:tcBorders>
              <w:top w:val="nil"/>
              <w:left w:val="nil"/>
              <w:bottom w:val="nil"/>
              <w:right w:val="nil"/>
            </w:tcBorders>
          </w:tcPr>
          <w:p w14:paraId="5140D25B"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EBITDA</w:t>
            </w:r>
          </w:p>
        </w:tc>
        <w:tc>
          <w:tcPr>
            <w:tcW w:w="2584" w:type="pct"/>
            <w:tcBorders>
              <w:top w:val="nil"/>
              <w:left w:val="nil"/>
              <w:bottom w:val="nil"/>
              <w:right w:val="nil"/>
            </w:tcBorders>
          </w:tcPr>
          <w:p w14:paraId="3ED2BBE2"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357EAA3D"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-0.06***</w:t>
            </w:r>
          </w:p>
          <w:p w14:paraId="5755B788"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(-2.66)</w:t>
            </w:r>
          </w:p>
        </w:tc>
      </w:tr>
      <w:tr w:rsidR="00083D72" w:rsidRPr="00785BF3" w14:paraId="4B09F6CB" w14:textId="77777777" w:rsidTr="00106CFF">
        <w:trPr>
          <w:trHeight w:val="114"/>
        </w:trPr>
        <w:tc>
          <w:tcPr>
            <w:tcW w:w="1215" w:type="pct"/>
            <w:tcBorders>
              <w:top w:val="nil"/>
              <w:left w:val="nil"/>
              <w:bottom w:val="nil"/>
              <w:right w:val="nil"/>
            </w:tcBorders>
          </w:tcPr>
          <w:p w14:paraId="49D38F3B"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Asset tangibility</w:t>
            </w:r>
          </w:p>
        </w:tc>
        <w:tc>
          <w:tcPr>
            <w:tcW w:w="2584" w:type="pct"/>
            <w:tcBorders>
              <w:top w:val="nil"/>
              <w:left w:val="nil"/>
              <w:bottom w:val="nil"/>
              <w:right w:val="nil"/>
            </w:tcBorders>
          </w:tcPr>
          <w:p w14:paraId="542A94B0"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0096FE0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p w14:paraId="3B9B2C9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(-0.91)</w:t>
            </w:r>
          </w:p>
        </w:tc>
      </w:tr>
      <w:tr w:rsidR="00083D72" w:rsidRPr="00785BF3" w14:paraId="187325F5" w14:textId="77777777" w:rsidTr="00106CFF">
        <w:trPr>
          <w:trHeight w:val="96"/>
        </w:trPr>
        <w:tc>
          <w:tcPr>
            <w:tcW w:w="1215" w:type="pct"/>
            <w:tcBorders>
              <w:top w:val="nil"/>
              <w:left w:val="nil"/>
              <w:bottom w:val="nil"/>
              <w:right w:val="nil"/>
            </w:tcBorders>
          </w:tcPr>
          <w:p w14:paraId="584DA48F"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Market-to-Book ratio</w:t>
            </w:r>
          </w:p>
        </w:tc>
        <w:tc>
          <w:tcPr>
            <w:tcW w:w="2584" w:type="pct"/>
            <w:tcBorders>
              <w:top w:val="nil"/>
              <w:left w:val="nil"/>
              <w:bottom w:val="nil"/>
              <w:right w:val="nil"/>
            </w:tcBorders>
          </w:tcPr>
          <w:p w14:paraId="35AEE17C"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110D1C3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0.08**</w:t>
            </w:r>
          </w:p>
          <w:p w14:paraId="3F00B02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(2.19)</w:t>
            </w:r>
          </w:p>
        </w:tc>
      </w:tr>
      <w:tr w:rsidR="00083D72" w:rsidRPr="00785BF3" w14:paraId="5543A719" w14:textId="77777777" w:rsidTr="00106CFF">
        <w:trPr>
          <w:trHeight w:val="96"/>
        </w:trPr>
        <w:tc>
          <w:tcPr>
            <w:tcW w:w="1215" w:type="pct"/>
            <w:tcBorders>
              <w:top w:val="nil"/>
              <w:left w:val="nil"/>
              <w:bottom w:val="nil"/>
              <w:right w:val="nil"/>
            </w:tcBorders>
          </w:tcPr>
          <w:p w14:paraId="1483F4A9"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Size</w:t>
            </w:r>
          </w:p>
        </w:tc>
        <w:tc>
          <w:tcPr>
            <w:tcW w:w="2584" w:type="pct"/>
            <w:tcBorders>
              <w:top w:val="nil"/>
              <w:left w:val="nil"/>
              <w:bottom w:val="nil"/>
              <w:right w:val="nil"/>
            </w:tcBorders>
          </w:tcPr>
          <w:p w14:paraId="254DA3E7"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2E95AAB6"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p w14:paraId="3EC2E122"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(0.58)</w:t>
            </w:r>
          </w:p>
        </w:tc>
      </w:tr>
      <w:tr w:rsidR="00083D72" w:rsidRPr="00785BF3" w14:paraId="7AD6E778" w14:textId="77777777" w:rsidTr="00106CFF">
        <w:trPr>
          <w:trHeight w:val="96"/>
        </w:trPr>
        <w:tc>
          <w:tcPr>
            <w:tcW w:w="1215" w:type="pct"/>
            <w:tcBorders>
              <w:top w:val="nil"/>
              <w:left w:val="nil"/>
              <w:bottom w:val="nil"/>
              <w:right w:val="nil"/>
            </w:tcBorders>
          </w:tcPr>
          <w:p w14:paraId="1F6E4A71"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Capital Expenditure</w:t>
            </w:r>
          </w:p>
        </w:tc>
        <w:tc>
          <w:tcPr>
            <w:tcW w:w="2584" w:type="pct"/>
            <w:tcBorders>
              <w:top w:val="nil"/>
              <w:left w:val="nil"/>
              <w:bottom w:val="nil"/>
              <w:right w:val="nil"/>
            </w:tcBorders>
          </w:tcPr>
          <w:p w14:paraId="652A9B27"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2E8F19A9"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0.07</w:t>
            </w:r>
          </w:p>
          <w:p w14:paraId="42D830DA"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(1.28)</w:t>
            </w:r>
          </w:p>
        </w:tc>
      </w:tr>
      <w:tr w:rsidR="00083D72" w:rsidRPr="00785BF3" w14:paraId="1A6C837B" w14:textId="77777777" w:rsidTr="00106CFF">
        <w:trPr>
          <w:trHeight w:val="131"/>
        </w:trPr>
        <w:tc>
          <w:tcPr>
            <w:tcW w:w="1215" w:type="pct"/>
            <w:tcBorders>
              <w:top w:val="nil"/>
              <w:left w:val="nil"/>
              <w:bottom w:val="nil"/>
              <w:right w:val="nil"/>
            </w:tcBorders>
          </w:tcPr>
          <w:p w14:paraId="217AE35A"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R&amp;D Expenditure</w:t>
            </w:r>
          </w:p>
        </w:tc>
        <w:tc>
          <w:tcPr>
            <w:tcW w:w="2584" w:type="pct"/>
            <w:tcBorders>
              <w:top w:val="nil"/>
              <w:left w:val="nil"/>
              <w:bottom w:val="nil"/>
              <w:right w:val="nil"/>
            </w:tcBorders>
          </w:tcPr>
          <w:p w14:paraId="0270B7CF"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394837F2"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0.05</w:t>
            </w:r>
          </w:p>
          <w:p w14:paraId="22971E27"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(1.56)</w:t>
            </w:r>
          </w:p>
        </w:tc>
      </w:tr>
      <w:tr w:rsidR="00083D72" w:rsidRPr="00785BF3" w14:paraId="696E8A7D" w14:textId="77777777" w:rsidTr="00106CFF">
        <w:trPr>
          <w:trHeight w:val="96"/>
        </w:trPr>
        <w:tc>
          <w:tcPr>
            <w:tcW w:w="1215" w:type="pct"/>
            <w:tcBorders>
              <w:top w:val="nil"/>
              <w:left w:val="nil"/>
              <w:bottom w:val="nil"/>
              <w:right w:val="nil"/>
            </w:tcBorders>
          </w:tcPr>
          <w:p w14:paraId="4FFCB9D5"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Cash Holdings</w:t>
            </w:r>
          </w:p>
        </w:tc>
        <w:tc>
          <w:tcPr>
            <w:tcW w:w="2584" w:type="pct"/>
            <w:tcBorders>
              <w:top w:val="nil"/>
              <w:left w:val="nil"/>
              <w:bottom w:val="nil"/>
              <w:right w:val="nil"/>
            </w:tcBorders>
          </w:tcPr>
          <w:p w14:paraId="2D720A67"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0B05EC16"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p w14:paraId="7D3EB339"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(-0.33)</w:t>
            </w:r>
          </w:p>
        </w:tc>
      </w:tr>
      <w:tr w:rsidR="00083D72" w:rsidRPr="00785BF3" w14:paraId="01B245FA" w14:textId="77777777" w:rsidTr="00106CFF">
        <w:trPr>
          <w:trHeight w:val="96"/>
        </w:trPr>
        <w:tc>
          <w:tcPr>
            <w:tcW w:w="1215" w:type="pct"/>
            <w:tcBorders>
              <w:top w:val="nil"/>
              <w:left w:val="nil"/>
              <w:bottom w:val="nil"/>
              <w:right w:val="nil"/>
            </w:tcBorders>
          </w:tcPr>
          <w:p w14:paraId="50C3D61E"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Earnings AR(1)</w:t>
            </w:r>
          </w:p>
        </w:tc>
        <w:tc>
          <w:tcPr>
            <w:tcW w:w="2584" w:type="pct"/>
            <w:tcBorders>
              <w:top w:val="nil"/>
              <w:left w:val="nil"/>
              <w:bottom w:val="nil"/>
              <w:right w:val="nil"/>
            </w:tcBorders>
          </w:tcPr>
          <w:p w14:paraId="03FA2EA5"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2FDC191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-0.04</w:t>
            </w:r>
          </w:p>
          <w:p w14:paraId="29BAE36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(1.34)</w:t>
            </w:r>
          </w:p>
        </w:tc>
      </w:tr>
      <w:tr w:rsidR="00083D72" w:rsidRPr="00785BF3" w14:paraId="566ADF3A" w14:textId="77777777" w:rsidTr="00106CFF">
        <w:trPr>
          <w:trHeight w:val="96"/>
        </w:trPr>
        <w:tc>
          <w:tcPr>
            <w:tcW w:w="1215" w:type="pct"/>
            <w:tcBorders>
              <w:top w:val="nil"/>
              <w:left w:val="nil"/>
              <w:bottom w:val="nil"/>
              <w:right w:val="nil"/>
            </w:tcBorders>
          </w:tcPr>
          <w:p w14:paraId="2F3348B6"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HHI</w:t>
            </w:r>
          </w:p>
        </w:tc>
        <w:tc>
          <w:tcPr>
            <w:tcW w:w="2584" w:type="pct"/>
            <w:tcBorders>
              <w:top w:val="nil"/>
              <w:left w:val="nil"/>
              <w:bottom w:val="nil"/>
              <w:right w:val="nil"/>
            </w:tcBorders>
          </w:tcPr>
          <w:p w14:paraId="5D792D22"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0CC558F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p w14:paraId="09F350AE"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(-0.84)</w:t>
            </w:r>
          </w:p>
        </w:tc>
      </w:tr>
      <w:tr w:rsidR="00083D72" w:rsidRPr="00785BF3" w14:paraId="2D17C147" w14:textId="77777777" w:rsidTr="00106CFF">
        <w:trPr>
          <w:trHeight w:val="434"/>
        </w:trPr>
        <w:tc>
          <w:tcPr>
            <w:tcW w:w="1215" w:type="pct"/>
            <w:tcBorders>
              <w:top w:val="nil"/>
              <w:left w:val="nil"/>
              <w:bottom w:val="nil"/>
              <w:right w:val="nil"/>
            </w:tcBorders>
          </w:tcPr>
          <w:p w14:paraId="5D02A0DD"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Sales Growth</w:t>
            </w:r>
          </w:p>
        </w:tc>
        <w:tc>
          <w:tcPr>
            <w:tcW w:w="2584" w:type="pct"/>
            <w:tcBorders>
              <w:top w:val="nil"/>
              <w:left w:val="nil"/>
              <w:bottom w:val="nil"/>
              <w:right w:val="nil"/>
            </w:tcBorders>
          </w:tcPr>
          <w:p w14:paraId="48E23499"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2908A428"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0.00</w:t>
            </w:r>
          </w:p>
          <w:p w14:paraId="4B8E4C73"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tc>
      </w:tr>
      <w:tr w:rsidR="00083D72" w:rsidRPr="00785BF3" w14:paraId="759C0BB9" w14:textId="77777777" w:rsidTr="00106CFF">
        <w:trPr>
          <w:trHeight w:val="96"/>
        </w:trPr>
        <w:tc>
          <w:tcPr>
            <w:tcW w:w="1215" w:type="pct"/>
            <w:tcBorders>
              <w:top w:val="nil"/>
              <w:left w:val="nil"/>
              <w:bottom w:val="nil"/>
              <w:right w:val="nil"/>
            </w:tcBorders>
          </w:tcPr>
          <w:p w14:paraId="035E910C"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Leverage</w:t>
            </w:r>
          </w:p>
        </w:tc>
        <w:tc>
          <w:tcPr>
            <w:tcW w:w="2584" w:type="pct"/>
            <w:tcBorders>
              <w:top w:val="nil"/>
              <w:left w:val="nil"/>
              <w:bottom w:val="nil"/>
              <w:right w:val="nil"/>
            </w:tcBorders>
          </w:tcPr>
          <w:p w14:paraId="5DEF1B13"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nil"/>
              <w:right w:val="nil"/>
            </w:tcBorders>
          </w:tcPr>
          <w:p w14:paraId="38EE9E1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p w14:paraId="3532B6D0"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(-0.31)</w:t>
            </w:r>
          </w:p>
        </w:tc>
      </w:tr>
      <w:tr w:rsidR="00083D72" w:rsidRPr="00785BF3" w14:paraId="368ED339" w14:textId="77777777" w:rsidTr="00106CFF">
        <w:trPr>
          <w:trHeight w:val="123"/>
        </w:trPr>
        <w:tc>
          <w:tcPr>
            <w:tcW w:w="1215" w:type="pct"/>
            <w:tcBorders>
              <w:top w:val="nil"/>
              <w:left w:val="nil"/>
              <w:bottom w:val="single" w:sz="4" w:space="0" w:color="auto"/>
              <w:right w:val="nil"/>
            </w:tcBorders>
          </w:tcPr>
          <w:p w14:paraId="7E7AA0F4"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Firm Age</w:t>
            </w:r>
          </w:p>
        </w:tc>
        <w:tc>
          <w:tcPr>
            <w:tcW w:w="2584" w:type="pct"/>
            <w:tcBorders>
              <w:top w:val="nil"/>
              <w:left w:val="nil"/>
              <w:bottom w:val="single" w:sz="4" w:space="0" w:color="auto"/>
              <w:right w:val="nil"/>
            </w:tcBorders>
          </w:tcPr>
          <w:p w14:paraId="417DAE72" w14:textId="77777777" w:rsidR="00083D72" w:rsidRPr="00785BF3" w:rsidRDefault="00083D72" w:rsidP="00106CFF">
            <w:pPr>
              <w:jc w:val="center"/>
              <w:rPr>
                <w:rFonts w:ascii="Times New Roman" w:hAnsi="Times New Roman" w:cs="Times New Roman"/>
                <w:sz w:val="19"/>
                <w:szCs w:val="19"/>
                <w:lang w:val="en-US"/>
              </w:rPr>
            </w:pPr>
          </w:p>
        </w:tc>
        <w:tc>
          <w:tcPr>
            <w:tcW w:w="1201" w:type="pct"/>
            <w:tcBorders>
              <w:top w:val="nil"/>
              <w:left w:val="nil"/>
              <w:bottom w:val="single" w:sz="4" w:space="0" w:color="auto"/>
              <w:right w:val="nil"/>
            </w:tcBorders>
          </w:tcPr>
          <w:p w14:paraId="0D9A245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-0.33</w:t>
            </w:r>
          </w:p>
          <w:p w14:paraId="6D7181D6"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(-0.90)</w:t>
            </w:r>
          </w:p>
        </w:tc>
      </w:tr>
      <w:tr w:rsidR="00083D72" w:rsidRPr="00785BF3" w14:paraId="233DC9F2" w14:textId="77777777" w:rsidTr="00106CFF">
        <w:trPr>
          <w:trHeight w:val="138"/>
        </w:trPr>
        <w:tc>
          <w:tcPr>
            <w:tcW w:w="1215" w:type="pct"/>
            <w:tcBorders>
              <w:top w:val="single" w:sz="4" w:space="0" w:color="auto"/>
              <w:left w:val="nil"/>
              <w:bottom w:val="nil"/>
              <w:right w:val="nil"/>
            </w:tcBorders>
          </w:tcPr>
          <w:p w14:paraId="2049FB83"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Year FE</w:t>
            </w:r>
          </w:p>
        </w:tc>
        <w:tc>
          <w:tcPr>
            <w:tcW w:w="2584" w:type="pct"/>
            <w:tcBorders>
              <w:top w:val="single" w:sz="4" w:space="0" w:color="auto"/>
              <w:left w:val="nil"/>
              <w:bottom w:val="nil"/>
              <w:right w:val="nil"/>
            </w:tcBorders>
          </w:tcPr>
          <w:p w14:paraId="5142A735"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c>
          <w:tcPr>
            <w:tcW w:w="1201" w:type="pct"/>
            <w:tcBorders>
              <w:top w:val="single" w:sz="4" w:space="0" w:color="auto"/>
              <w:left w:val="nil"/>
              <w:bottom w:val="nil"/>
              <w:right w:val="nil"/>
            </w:tcBorders>
          </w:tcPr>
          <w:p w14:paraId="05157533"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r>
      <w:tr w:rsidR="00083D72" w:rsidRPr="00785BF3" w14:paraId="4C78C659" w14:textId="77777777" w:rsidTr="00106CFF">
        <w:trPr>
          <w:trHeight w:val="101"/>
        </w:trPr>
        <w:tc>
          <w:tcPr>
            <w:tcW w:w="1215" w:type="pct"/>
            <w:tcBorders>
              <w:top w:val="nil"/>
              <w:left w:val="nil"/>
              <w:bottom w:val="nil"/>
              <w:right w:val="nil"/>
            </w:tcBorders>
          </w:tcPr>
          <w:p w14:paraId="14790708"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Firm FE</w:t>
            </w:r>
          </w:p>
        </w:tc>
        <w:tc>
          <w:tcPr>
            <w:tcW w:w="2584" w:type="pct"/>
            <w:tcBorders>
              <w:top w:val="nil"/>
              <w:left w:val="nil"/>
              <w:bottom w:val="nil"/>
              <w:right w:val="nil"/>
            </w:tcBorders>
          </w:tcPr>
          <w:p w14:paraId="020F87A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c>
          <w:tcPr>
            <w:tcW w:w="1201" w:type="pct"/>
            <w:tcBorders>
              <w:top w:val="nil"/>
              <w:left w:val="nil"/>
              <w:bottom w:val="nil"/>
              <w:right w:val="nil"/>
            </w:tcBorders>
          </w:tcPr>
          <w:p w14:paraId="28D347DE"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Y</w:t>
            </w:r>
          </w:p>
        </w:tc>
      </w:tr>
      <w:tr w:rsidR="00083D72" w:rsidRPr="00785BF3" w14:paraId="2AF5D6F1" w14:textId="77777777" w:rsidTr="00106CFF">
        <w:trPr>
          <w:trHeight w:val="101"/>
        </w:trPr>
        <w:tc>
          <w:tcPr>
            <w:tcW w:w="1215" w:type="pct"/>
            <w:tcBorders>
              <w:top w:val="nil"/>
              <w:left w:val="nil"/>
              <w:bottom w:val="nil"/>
              <w:right w:val="nil"/>
            </w:tcBorders>
          </w:tcPr>
          <w:p w14:paraId="505E25BD"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Adjusted R</w:t>
            </w:r>
            <w:r w:rsidRPr="00785BF3">
              <w:rPr>
                <w:rFonts w:ascii="Times New Roman" w:hAnsi="Times New Roman" w:cs="Times New Roman"/>
                <w:sz w:val="19"/>
                <w:szCs w:val="19"/>
                <w:vertAlign w:val="superscript"/>
                <w:lang w:val="en-US"/>
              </w:rPr>
              <w:t>2</w:t>
            </w:r>
          </w:p>
        </w:tc>
        <w:tc>
          <w:tcPr>
            <w:tcW w:w="2584" w:type="pct"/>
            <w:tcBorders>
              <w:top w:val="nil"/>
              <w:left w:val="nil"/>
              <w:bottom w:val="nil"/>
              <w:right w:val="nil"/>
            </w:tcBorders>
          </w:tcPr>
          <w:p w14:paraId="46DAA298"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0.3228</w:t>
            </w:r>
          </w:p>
        </w:tc>
        <w:tc>
          <w:tcPr>
            <w:tcW w:w="1201" w:type="pct"/>
            <w:tcBorders>
              <w:top w:val="nil"/>
              <w:left w:val="nil"/>
              <w:bottom w:val="nil"/>
              <w:right w:val="nil"/>
            </w:tcBorders>
          </w:tcPr>
          <w:p w14:paraId="4C9C8061"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0.3983</w:t>
            </w:r>
          </w:p>
        </w:tc>
      </w:tr>
      <w:tr w:rsidR="00083D72" w:rsidRPr="00785BF3" w14:paraId="3C277440" w14:textId="77777777" w:rsidTr="00106CFF">
        <w:trPr>
          <w:trHeight w:val="101"/>
        </w:trPr>
        <w:tc>
          <w:tcPr>
            <w:tcW w:w="1215" w:type="pct"/>
            <w:tcBorders>
              <w:top w:val="nil"/>
              <w:left w:val="nil"/>
              <w:bottom w:val="single" w:sz="4" w:space="0" w:color="auto"/>
              <w:right w:val="nil"/>
            </w:tcBorders>
          </w:tcPr>
          <w:p w14:paraId="34439CE4" w14:textId="77777777" w:rsidR="00083D72" w:rsidRPr="00785BF3" w:rsidRDefault="00083D72" w:rsidP="00106CFF">
            <w:pPr>
              <w:rPr>
                <w:rFonts w:ascii="Times New Roman" w:hAnsi="Times New Roman" w:cs="Times New Roman"/>
                <w:sz w:val="19"/>
                <w:szCs w:val="19"/>
                <w:lang w:val="en-US"/>
              </w:rPr>
            </w:pPr>
            <w:r w:rsidRPr="00785BF3">
              <w:rPr>
                <w:rFonts w:ascii="Times New Roman" w:hAnsi="Times New Roman" w:cs="Times New Roman"/>
                <w:sz w:val="19"/>
                <w:szCs w:val="19"/>
                <w:lang w:val="en-US"/>
              </w:rPr>
              <w:t xml:space="preserve">Number of Obs. </w:t>
            </w:r>
          </w:p>
        </w:tc>
        <w:tc>
          <w:tcPr>
            <w:tcW w:w="2584" w:type="pct"/>
            <w:tcBorders>
              <w:top w:val="nil"/>
              <w:left w:val="nil"/>
              <w:bottom w:val="single" w:sz="4" w:space="0" w:color="auto"/>
              <w:right w:val="nil"/>
            </w:tcBorders>
          </w:tcPr>
          <w:p w14:paraId="20E6994B"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9,117</w:t>
            </w:r>
          </w:p>
        </w:tc>
        <w:tc>
          <w:tcPr>
            <w:tcW w:w="1201" w:type="pct"/>
            <w:tcBorders>
              <w:top w:val="nil"/>
              <w:left w:val="nil"/>
              <w:bottom w:val="single" w:sz="4" w:space="0" w:color="auto"/>
              <w:right w:val="nil"/>
            </w:tcBorders>
          </w:tcPr>
          <w:p w14:paraId="49938A24" w14:textId="77777777" w:rsidR="00083D72" w:rsidRPr="00785BF3" w:rsidRDefault="00083D72" w:rsidP="00106CFF">
            <w:pPr>
              <w:jc w:val="center"/>
              <w:rPr>
                <w:rFonts w:ascii="Times New Roman" w:hAnsi="Times New Roman" w:cs="Times New Roman"/>
                <w:sz w:val="19"/>
                <w:szCs w:val="19"/>
                <w:lang w:val="en-US"/>
              </w:rPr>
            </w:pPr>
            <w:r w:rsidRPr="00785BF3">
              <w:rPr>
                <w:rFonts w:ascii="Times New Roman" w:hAnsi="Times New Roman" w:cs="Times New Roman"/>
                <w:sz w:val="19"/>
                <w:szCs w:val="19"/>
                <w:lang w:val="en-US"/>
              </w:rPr>
              <w:t>2,847</w:t>
            </w:r>
          </w:p>
        </w:tc>
      </w:tr>
    </w:tbl>
    <w:p w14:paraId="50A387AD" w14:textId="77777777" w:rsidR="00083D72" w:rsidRPr="00785BF3" w:rsidRDefault="00083D72" w:rsidP="00083D72">
      <w:pPr>
        <w:rPr>
          <w:rFonts w:ascii="Times New Roman" w:hAnsi="Times New Roman" w:cs="Times New Roman"/>
        </w:rPr>
      </w:pPr>
    </w:p>
    <w:p w14:paraId="1CA655BD" w14:textId="77777777" w:rsidR="00083D72" w:rsidRPr="00785BF3" w:rsidRDefault="00083D72" w:rsidP="00083D72">
      <w:pPr>
        <w:rPr>
          <w:rFonts w:ascii="Times New Roman" w:hAnsi="Times New Roman" w:cs="Times New Roman"/>
        </w:rPr>
      </w:pPr>
    </w:p>
    <w:p w14:paraId="3C5ED0B5" w14:textId="77777777" w:rsidR="00083D72" w:rsidRPr="00785BF3" w:rsidRDefault="00083D72" w:rsidP="00083D72">
      <w:pPr>
        <w:rPr>
          <w:rFonts w:ascii="Times New Roman" w:hAnsi="Times New Roman" w:cs="Times New Roman"/>
        </w:rPr>
      </w:pPr>
    </w:p>
    <w:p w14:paraId="7D1943F7" w14:textId="77777777" w:rsidR="00083D72" w:rsidRPr="00785BF3" w:rsidRDefault="00083D72" w:rsidP="00083D72">
      <w:pPr>
        <w:rPr>
          <w:rFonts w:ascii="Times New Roman" w:hAnsi="Times New Roman" w:cs="Times New Roman"/>
        </w:rPr>
      </w:pPr>
    </w:p>
    <w:p w14:paraId="4550F230" w14:textId="77777777" w:rsidR="00083D72" w:rsidRPr="00785BF3" w:rsidRDefault="00083D72" w:rsidP="00083D72">
      <w:pPr>
        <w:rPr>
          <w:rFonts w:ascii="Times New Roman" w:hAnsi="Times New Roman" w:cs="Times New Roman"/>
        </w:rPr>
      </w:pPr>
    </w:p>
    <w:p w14:paraId="2A0281E7" w14:textId="77777777" w:rsidR="00083D72" w:rsidRPr="00785BF3" w:rsidRDefault="00083D72" w:rsidP="00083D72">
      <w:pPr>
        <w:rPr>
          <w:rFonts w:ascii="Times New Roman" w:hAnsi="Times New Roman" w:cs="Times New Roman"/>
        </w:rPr>
      </w:pPr>
    </w:p>
    <w:p w14:paraId="3433E843" w14:textId="77777777" w:rsidR="00083D72" w:rsidRDefault="00083D72" w:rsidP="00083D72">
      <w:pPr>
        <w:rPr>
          <w:rFonts w:ascii="Times New Roman" w:hAnsi="Times New Roman" w:cs="Times New Roman"/>
        </w:rPr>
      </w:pPr>
    </w:p>
    <w:p w14:paraId="0725627D" w14:textId="77777777" w:rsidR="00BE2019" w:rsidRDefault="00BE2019" w:rsidP="00083D72">
      <w:pPr>
        <w:rPr>
          <w:rFonts w:ascii="Times New Roman" w:hAnsi="Times New Roman" w:cs="Times New Roman"/>
        </w:rPr>
      </w:pPr>
    </w:p>
    <w:p w14:paraId="1133C1A6" w14:textId="77777777" w:rsidR="000215AD" w:rsidRDefault="000215AD" w:rsidP="00083D72">
      <w:pPr>
        <w:rPr>
          <w:rFonts w:ascii="Times New Roman" w:hAnsi="Times New Roman" w:cs="Times New Roman"/>
        </w:rPr>
      </w:pPr>
    </w:p>
    <w:p w14:paraId="41D9B94B" w14:textId="77777777" w:rsidR="000215AD" w:rsidRDefault="000215AD" w:rsidP="00083D72">
      <w:pPr>
        <w:rPr>
          <w:rFonts w:ascii="Times New Roman" w:hAnsi="Times New Roman" w:cs="Times New Roman"/>
        </w:rPr>
      </w:pPr>
    </w:p>
    <w:p w14:paraId="7F7F7120" w14:textId="77777777" w:rsidR="000215AD" w:rsidRDefault="000215AD" w:rsidP="00083D72">
      <w:pPr>
        <w:rPr>
          <w:rFonts w:ascii="Times New Roman" w:hAnsi="Times New Roman" w:cs="Times New Roman"/>
        </w:rPr>
      </w:pPr>
    </w:p>
    <w:p w14:paraId="14AC957E" w14:textId="77777777" w:rsidR="000215AD" w:rsidRDefault="000215AD" w:rsidP="00083D72">
      <w:pPr>
        <w:rPr>
          <w:rFonts w:ascii="Times New Roman" w:hAnsi="Times New Roman" w:cs="Times New Roman"/>
        </w:rPr>
      </w:pPr>
    </w:p>
    <w:p w14:paraId="74C83716" w14:textId="77777777" w:rsidR="000215AD" w:rsidRDefault="000215AD" w:rsidP="00083D72">
      <w:pPr>
        <w:rPr>
          <w:rFonts w:ascii="Times New Roman" w:hAnsi="Times New Roman" w:cs="Times New Roman"/>
        </w:rPr>
      </w:pPr>
    </w:p>
    <w:p w14:paraId="62BAA181" w14:textId="77777777" w:rsidR="000215AD" w:rsidRDefault="000215AD" w:rsidP="00083D72">
      <w:pPr>
        <w:rPr>
          <w:rFonts w:ascii="Times New Roman" w:hAnsi="Times New Roman" w:cs="Times New Roman"/>
        </w:rPr>
      </w:pPr>
    </w:p>
    <w:p w14:paraId="29B002F4" w14:textId="77777777" w:rsidR="000215AD" w:rsidRDefault="000215AD" w:rsidP="00083D72">
      <w:pPr>
        <w:rPr>
          <w:rFonts w:ascii="Times New Roman" w:hAnsi="Times New Roman" w:cs="Times New Roman"/>
        </w:rPr>
      </w:pPr>
    </w:p>
    <w:p w14:paraId="77307144" w14:textId="77777777" w:rsidR="000215AD" w:rsidRDefault="000215AD" w:rsidP="00083D72">
      <w:pPr>
        <w:rPr>
          <w:rFonts w:ascii="Times New Roman" w:hAnsi="Times New Roman" w:cs="Times New Roman"/>
        </w:rPr>
      </w:pPr>
    </w:p>
    <w:p w14:paraId="08CD7AA7" w14:textId="77777777" w:rsidR="000215AD" w:rsidRDefault="000215AD" w:rsidP="00083D72">
      <w:pPr>
        <w:rPr>
          <w:rFonts w:ascii="Times New Roman" w:hAnsi="Times New Roman" w:cs="Times New Roman"/>
        </w:rPr>
      </w:pPr>
    </w:p>
    <w:p w14:paraId="351FC9B9" w14:textId="77777777" w:rsidR="000215AD" w:rsidRDefault="000215AD" w:rsidP="00083D72">
      <w:pPr>
        <w:rPr>
          <w:rFonts w:ascii="Times New Roman" w:hAnsi="Times New Roman" w:cs="Times New Roman"/>
        </w:rPr>
      </w:pPr>
    </w:p>
    <w:p w14:paraId="2425A874" w14:textId="77777777" w:rsidR="000215AD" w:rsidRDefault="000215AD" w:rsidP="00083D72">
      <w:pPr>
        <w:rPr>
          <w:rFonts w:ascii="Times New Roman" w:hAnsi="Times New Roman" w:cs="Times New Roman"/>
        </w:rPr>
      </w:pPr>
    </w:p>
    <w:p w14:paraId="76DC791F" w14:textId="77777777" w:rsidR="000215AD" w:rsidRPr="00785BF3" w:rsidRDefault="000215AD" w:rsidP="00083D72">
      <w:pPr>
        <w:rPr>
          <w:rFonts w:ascii="Times New Roman" w:hAnsi="Times New Roman" w:cs="Times New Roman"/>
        </w:rPr>
      </w:pPr>
    </w:p>
    <w:p w14:paraId="46621972" w14:textId="77777777" w:rsidR="00083D72" w:rsidRPr="00785BF3" w:rsidRDefault="00083D72" w:rsidP="00083D72">
      <w:pPr>
        <w:rPr>
          <w:rFonts w:ascii="Times New Roman" w:hAnsi="Times New Roman" w:cs="Times New Roman"/>
          <w:b/>
          <w:bCs/>
        </w:rPr>
      </w:pPr>
    </w:p>
    <w:p w14:paraId="3F15CA53" w14:textId="77777777" w:rsidR="00083D72" w:rsidRPr="00785BF3" w:rsidRDefault="00083D72" w:rsidP="00083D72">
      <w:pPr>
        <w:rPr>
          <w:rFonts w:ascii="Times New Roman" w:hAnsi="Times New Roman" w:cs="Times New Roman"/>
        </w:rPr>
      </w:pPr>
    </w:p>
    <w:tbl>
      <w:tblPr>
        <w:tblStyle w:val="TableGrid"/>
        <w:tblW w:w="5172" w:type="pct"/>
        <w:jc w:val="center"/>
        <w:tblLook w:val="04A0" w:firstRow="1" w:lastRow="0" w:firstColumn="1" w:lastColumn="0" w:noHBand="0" w:noVBand="1"/>
      </w:tblPr>
      <w:tblGrid>
        <w:gridCol w:w="9330"/>
      </w:tblGrid>
      <w:tr w:rsidR="00083D72" w:rsidRPr="00785BF3" w14:paraId="09EE9002" w14:textId="77777777" w:rsidTr="00744119">
        <w:trPr>
          <w:trHeight w:val="132"/>
          <w:jc w:val="center"/>
        </w:trPr>
        <w:tc>
          <w:tcPr>
            <w:tcW w:w="5000" w:type="pct"/>
            <w:tcBorders>
              <w:left w:val="nil"/>
              <w:bottom w:val="single" w:sz="4" w:space="0" w:color="auto"/>
              <w:right w:val="nil"/>
            </w:tcBorders>
          </w:tcPr>
          <w:p w14:paraId="41FFB5CF" w14:textId="348CD1EE" w:rsidR="00083D72" w:rsidRPr="00537A5B" w:rsidRDefault="00537A5B" w:rsidP="00537A5B">
            <w:pPr>
              <w:jc w:val="center"/>
              <w:rPr>
                <w:rFonts w:ascii="Times New Roman" w:hAnsi="Times New Roman" w:cs="Times New Roman"/>
                <w:b/>
                <w:bCs/>
                <w:sz w:val="19"/>
                <w:szCs w:val="19"/>
                <w:lang w:val="en-US"/>
              </w:rPr>
            </w:pPr>
            <w:bookmarkStart w:id="33" w:name="_Toc167763062"/>
            <w:r>
              <w:rPr>
                <w:rStyle w:val="Heading2Char"/>
                <w:rFonts w:ascii="Times New Roman" w:hAnsi="Times New Roman" w:cs="Times New Roman"/>
                <w:b/>
                <w:bCs/>
                <w:color w:val="auto"/>
                <w:sz w:val="19"/>
                <w:szCs w:val="19"/>
              </w:rPr>
              <w:lastRenderedPageBreak/>
              <w:t>T</w:t>
            </w:r>
            <w:r w:rsidR="00083D72" w:rsidRPr="00537A5B">
              <w:rPr>
                <w:rStyle w:val="Heading2Char"/>
                <w:rFonts w:ascii="Times New Roman" w:hAnsi="Times New Roman" w:cs="Times New Roman"/>
                <w:b/>
                <w:bCs/>
                <w:color w:val="auto"/>
                <w:sz w:val="19"/>
                <w:szCs w:val="19"/>
              </w:rPr>
              <w:t>able 5</w:t>
            </w:r>
            <w:bookmarkEnd w:id="33"/>
            <w:r w:rsidR="00083D72" w:rsidRPr="00537A5B">
              <w:rPr>
                <w:rFonts w:ascii="Times New Roman" w:hAnsi="Times New Roman" w:cs="Times New Roman"/>
                <w:b/>
                <w:bCs/>
                <w:sz w:val="19"/>
                <w:szCs w:val="19"/>
                <w:lang w:val="en-US"/>
              </w:rPr>
              <w:t>:</w:t>
            </w:r>
            <w:r w:rsidR="00083D72" w:rsidRPr="00537A5B">
              <w:rPr>
                <w:rFonts w:ascii="Times New Roman" w:hAnsi="Times New Roman" w:cs="Times New Roman"/>
                <w:sz w:val="19"/>
                <w:szCs w:val="19"/>
                <w:lang w:val="en-US"/>
              </w:rPr>
              <w:t xml:space="preserve"> E</w:t>
            </w:r>
            <w:r w:rsidR="00083D72" w:rsidRPr="00537A5B">
              <w:rPr>
                <w:rFonts w:ascii="Times New Roman" w:hAnsi="Times New Roman" w:cs="Times New Roman"/>
                <w:sz w:val="19"/>
                <w:szCs w:val="19"/>
              </w:rPr>
              <w:t>ntropy Balancing</w:t>
            </w:r>
          </w:p>
        </w:tc>
      </w:tr>
      <w:tr w:rsidR="00083D72" w:rsidRPr="00785BF3" w14:paraId="38F11220" w14:textId="77777777" w:rsidTr="00744119">
        <w:trPr>
          <w:trHeight w:val="210"/>
          <w:jc w:val="center"/>
        </w:trPr>
        <w:tc>
          <w:tcPr>
            <w:tcW w:w="5000" w:type="pct"/>
            <w:tcBorders>
              <w:left w:val="nil"/>
              <w:bottom w:val="single" w:sz="4" w:space="0" w:color="auto"/>
              <w:right w:val="nil"/>
            </w:tcBorders>
          </w:tcPr>
          <w:p w14:paraId="20174CFC" w14:textId="23BA0FA9" w:rsidR="00083D72" w:rsidRPr="00785BF3" w:rsidRDefault="00083D72" w:rsidP="00744119">
            <w:pPr>
              <w:rPr>
                <w:rFonts w:ascii="Times New Roman" w:hAnsi="Times New Roman" w:cs="Times New Roman"/>
                <w:sz w:val="19"/>
                <w:szCs w:val="19"/>
              </w:rPr>
            </w:pPr>
            <w:r w:rsidRPr="00785BF3">
              <w:rPr>
                <w:rFonts w:ascii="Times New Roman" w:hAnsi="Times New Roman" w:cs="Times New Roman"/>
                <w:sz w:val="19"/>
                <w:szCs w:val="19"/>
              </w:rPr>
              <w:t xml:space="preserve">This table displays the outcomes of </w:t>
            </w:r>
            <w:r w:rsidR="0009399F">
              <w:rPr>
                <w:rFonts w:ascii="Times New Roman" w:hAnsi="Times New Roman" w:cs="Times New Roman"/>
                <w:sz w:val="19"/>
                <w:szCs w:val="19"/>
              </w:rPr>
              <w:t>my</w:t>
            </w:r>
            <w:r w:rsidRPr="00785BF3">
              <w:rPr>
                <w:rFonts w:ascii="Times New Roman" w:hAnsi="Times New Roman" w:cs="Times New Roman"/>
                <w:sz w:val="19"/>
                <w:szCs w:val="19"/>
              </w:rPr>
              <w:t xml:space="preserve"> entropy balancing matching estimation. The method aims to enhance the covariate balance between the treatment group and the control group, representing </w:t>
            </w:r>
            <w:r w:rsidR="0063616A">
              <w:rPr>
                <w:rFonts w:ascii="Times New Roman" w:hAnsi="Times New Roman" w:cs="Times New Roman"/>
                <w:sz w:val="19"/>
                <w:szCs w:val="19"/>
              </w:rPr>
              <w:t>h</w:t>
            </w:r>
            <w:r w:rsidRPr="00785BF3">
              <w:rPr>
                <w:rFonts w:ascii="Times New Roman" w:hAnsi="Times New Roman" w:cs="Times New Roman"/>
                <w:sz w:val="19"/>
                <w:szCs w:val="19"/>
              </w:rPr>
              <w:t xml:space="preserve">igh </w:t>
            </w:r>
            <w:r w:rsidR="0063616A">
              <w:rPr>
                <w:rFonts w:ascii="Times New Roman" w:hAnsi="Times New Roman" w:cs="Times New Roman"/>
                <w:sz w:val="19"/>
                <w:szCs w:val="19"/>
              </w:rPr>
              <w:t>a</w:t>
            </w:r>
            <w:r w:rsidRPr="00785BF3">
              <w:rPr>
                <w:rFonts w:ascii="Times New Roman" w:hAnsi="Times New Roman" w:cs="Times New Roman"/>
                <w:sz w:val="19"/>
                <w:szCs w:val="19"/>
              </w:rPr>
              <w:t xml:space="preserve">ccounting Fraud and </w:t>
            </w:r>
            <w:r w:rsidR="0063616A">
              <w:rPr>
                <w:rFonts w:ascii="Times New Roman" w:hAnsi="Times New Roman" w:cs="Times New Roman"/>
                <w:sz w:val="19"/>
                <w:szCs w:val="19"/>
              </w:rPr>
              <w:t>l</w:t>
            </w:r>
            <w:r w:rsidRPr="00785BF3">
              <w:rPr>
                <w:rFonts w:ascii="Times New Roman" w:hAnsi="Times New Roman" w:cs="Times New Roman"/>
                <w:sz w:val="19"/>
                <w:szCs w:val="19"/>
              </w:rPr>
              <w:t>ow Accounting Fraud</w:t>
            </w:r>
            <w:r w:rsidR="0063616A">
              <w:rPr>
                <w:rFonts w:ascii="Times New Roman" w:hAnsi="Times New Roman" w:cs="Times New Roman"/>
                <w:sz w:val="19"/>
                <w:szCs w:val="19"/>
              </w:rPr>
              <w:t xml:space="preserve">, </w:t>
            </w:r>
            <w:r w:rsidRPr="00785BF3">
              <w:rPr>
                <w:rFonts w:ascii="Times New Roman" w:hAnsi="Times New Roman" w:cs="Times New Roman"/>
                <w:sz w:val="19"/>
                <w:szCs w:val="19"/>
              </w:rPr>
              <w:t xml:space="preserve">respectively. This is executed by assigning weights to observations in such a way whereby the mean and variance of the treated and control samples are equal after weighting along the estimation. The descriptive statistics before employing the balance method are displayed in Panel A, whilst the post-balance method descriptive statistics are presented in Panel B. The effect of Accounting Fraud on SOA after </w:t>
            </w:r>
            <w:proofErr w:type="spellStart"/>
            <w:r w:rsidRPr="00785BF3">
              <w:rPr>
                <w:rFonts w:ascii="Times New Roman" w:hAnsi="Times New Roman" w:cs="Times New Roman"/>
                <w:sz w:val="19"/>
                <w:szCs w:val="19"/>
              </w:rPr>
              <w:t>Hainmueller’s</w:t>
            </w:r>
            <w:proofErr w:type="spellEnd"/>
            <w:r w:rsidRPr="00785BF3">
              <w:rPr>
                <w:rFonts w:ascii="Times New Roman" w:hAnsi="Times New Roman" w:cs="Times New Roman"/>
                <w:sz w:val="19"/>
                <w:szCs w:val="19"/>
              </w:rPr>
              <w:t xml:space="preserve"> (2012), the entropy balancing </w:t>
            </w:r>
            <w:r w:rsidRPr="00785BF3">
              <w:rPr>
                <w:rFonts w:ascii="Times New Roman" w:hAnsi="Times New Roman" w:cs="Times New Roman"/>
                <w:sz w:val="19"/>
                <w:szCs w:val="19"/>
                <w:lang w:val="en-US"/>
              </w:rPr>
              <w:t>(</w:t>
            </w:r>
            <w:proofErr w:type="spellStart"/>
            <w:r w:rsidRPr="00785BF3">
              <w:rPr>
                <w:rFonts w:ascii="Times New Roman" w:hAnsi="Times New Roman" w:cs="Times New Roman"/>
                <w:sz w:val="19"/>
                <w:szCs w:val="19"/>
                <w:lang w:val="en-US"/>
              </w:rPr>
              <w:t>Hainmueller</w:t>
            </w:r>
            <w:proofErr w:type="spellEnd"/>
            <w:r w:rsidRPr="00785BF3">
              <w:rPr>
                <w:rFonts w:ascii="Times New Roman" w:hAnsi="Times New Roman" w:cs="Times New Roman"/>
                <w:sz w:val="19"/>
                <w:szCs w:val="19"/>
                <w:lang w:val="en-US"/>
              </w:rPr>
              <w:t>, 2012), are displayed in Panel C.</w:t>
            </w:r>
            <w:r w:rsidRPr="00785BF3">
              <w:rPr>
                <w:rFonts w:ascii="Times New Roman" w:hAnsi="Times New Roman" w:cs="Times New Roman"/>
                <w:sz w:val="19"/>
                <w:szCs w:val="19"/>
              </w:rPr>
              <w:t xml:space="preserve"> The significance is indicated at the 1%, 5% and 10% levels represented by ***,** and * respectively. All variables are identified and defined in Appendix A.</w:t>
            </w:r>
          </w:p>
        </w:tc>
      </w:tr>
    </w:tbl>
    <w:p w14:paraId="2A54F3E6" w14:textId="77777777" w:rsidR="00083D72" w:rsidRPr="00785BF3" w:rsidRDefault="00083D72" w:rsidP="00083D72">
      <w:pPr>
        <w:rPr>
          <w:rFonts w:ascii="Times New Roman" w:hAnsi="Times New Roman" w:cs="Times New Roman"/>
          <w:b/>
          <w:bCs/>
          <w:sz w:val="19"/>
          <w:szCs w:val="19"/>
          <w:lang w:val="en-US"/>
        </w:rPr>
      </w:pPr>
    </w:p>
    <w:tbl>
      <w:tblPr>
        <w:tblStyle w:val="TableGrid"/>
        <w:tblW w:w="9356" w:type="dxa"/>
        <w:tblInd w:w="-142" w:type="dxa"/>
        <w:tblLayout w:type="fixed"/>
        <w:tblLook w:val="04A0" w:firstRow="1" w:lastRow="0" w:firstColumn="1" w:lastColumn="0" w:noHBand="0" w:noVBand="1"/>
      </w:tblPr>
      <w:tblGrid>
        <w:gridCol w:w="1276"/>
        <w:gridCol w:w="993"/>
        <w:gridCol w:w="850"/>
        <w:gridCol w:w="709"/>
        <w:gridCol w:w="992"/>
        <w:gridCol w:w="992"/>
        <w:gridCol w:w="709"/>
        <w:gridCol w:w="992"/>
        <w:gridCol w:w="993"/>
        <w:gridCol w:w="850"/>
      </w:tblGrid>
      <w:tr w:rsidR="00083D72" w:rsidRPr="00785BF3" w14:paraId="4002282B" w14:textId="77777777" w:rsidTr="002834B0">
        <w:tc>
          <w:tcPr>
            <w:tcW w:w="9356" w:type="dxa"/>
            <w:gridSpan w:val="10"/>
            <w:tcBorders>
              <w:left w:val="nil"/>
              <w:bottom w:val="single" w:sz="4" w:space="0" w:color="auto"/>
              <w:right w:val="nil"/>
            </w:tcBorders>
            <w:vAlign w:val="center"/>
          </w:tcPr>
          <w:p w14:paraId="181D884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b/>
                <w:sz w:val="19"/>
                <w:szCs w:val="19"/>
                <w:lang w:val="en-US"/>
              </w:rPr>
              <w:t>Panel A</w:t>
            </w:r>
            <w:r w:rsidRPr="00785BF3">
              <w:rPr>
                <w:rFonts w:ascii="Times New Roman" w:hAnsi="Times New Roman"/>
                <w:sz w:val="19"/>
                <w:szCs w:val="19"/>
                <w:lang w:val="en-US"/>
              </w:rPr>
              <w:t>: Differences in Observables (covariates) Pre-Entropy Balancing</w:t>
            </w:r>
          </w:p>
        </w:tc>
      </w:tr>
      <w:tr w:rsidR="00083D72" w:rsidRPr="00785BF3" w14:paraId="1CA5FB80" w14:textId="77777777" w:rsidTr="002834B0">
        <w:tc>
          <w:tcPr>
            <w:tcW w:w="1276" w:type="dxa"/>
            <w:tcBorders>
              <w:left w:val="nil"/>
              <w:bottom w:val="nil"/>
              <w:right w:val="nil"/>
            </w:tcBorders>
            <w:vAlign w:val="center"/>
          </w:tcPr>
          <w:p w14:paraId="2DCBD6AF" w14:textId="77777777" w:rsidR="00083D72" w:rsidRPr="00785BF3" w:rsidRDefault="00083D72" w:rsidP="00744119">
            <w:pPr>
              <w:pStyle w:val="NoSpacing"/>
              <w:rPr>
                <w:rFonts w:ascii="Times New Roman" w:hAnsi="Times New Roman"/>
                <w:sz w:val="19"/>
                <w:szCs w:val="19"/>
                <w:lang w:val="en-US"/>
              </w:rPr>
            </w:pPr>
          </w:p>
        </w:tc>
        <w:tc>
          <w:tcPr>
            <w:tcW w:w="993" w:type="dxa"/>
            <w:tcBorders>
              <w:left w:val="nil"/>
              <w:bottom w:val="nil"/>
              <w:right w:val="nil"/>
            </w:tcBorders>
            <w:vAlign w:val="center"/>
          </w:tcPr>
          <w:p w14:paraId="7FF7C1F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Mean</w:t>
            </w:r>
          </w:p>
        </w:tc>
        <w:tc>
          <w:tcPr>
            <w:tcW w:w="850" w:type="dxa"/>
            <w:tcBorders>
              <w:left w:val="nil"/>
              <w:bottom w:val="nil"/>
              <w:right w:val="nil"/>
            </w:tcBorders>
            <w:vAlign w:val="center"/>
          </w:tcPr>
          <w:p w14:paraId="5ED97BD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Mean</w:t>
            </w:r>
          </w:p>
        </w:tc>
        <w:tc>
          <w:tcPr>
            <w:tcW w:w="709" w:type="dxa"/>
            <w:vMerge w:val="restart"/>
            <w:tcBorders>
              <w:left w:val="nil"/>
              <w:right w:val="nil"/>
            </w:tcBorders>
            <w:vAlign w:val="center"/>
          </w:tcPr>
          <w:p w14:paraId="5870059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Diff.</w:t>
            </w:r>
          </w:p>
        </w:tc>
        <w:tc>
          <w:tcPr>
            <w:tcW w:w="992" w:type="dxa"/>
            <w:tcBorders>
              <w:left w:val="nil"/>
              <w:bottom w:val="nil"/>
              <w:right w:val="nil"/>
            </w:tcBorders>
            <w:vAlign w:val="center"/>
          </w:tcPr>
          <w:p w14:paraId="5C9498E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Variance</w:t>
            </w:r>
          </w:p>
        </w:tc>
        <w:tc>
          <w:tcPr>
            <w:tcW w:w="992" w:type="dxa"/>
            <w:tcBorders>
              <w:left w:val="nil"/>
              <w:bottom w:val="nil"/>
              <w:right w:val="nil"/>
            </w:tcBorders>
            <w:vAlign w:val="center"/>
          </w:tcPr>
          <w:p w14:paraId="4BBA9E3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Variance</w:t>
            </w:r>
          </w:p>
        </w:tc>
        <w:tc>
          <w:tcPr>
            <w:tcW w:w="709" w:type="dxa"/>
            <w:vMerge w:val="restart"/>
            <w:tcBorders>
              <w:left w:val="nil"/>
              <w:right w:val="nil"/>
            </w:tcBorders>
            <w:vAlign w:val="center"/>
          </w:tcPr>
          <w:p w14:paraId="5154D56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Diff.</w:t>
            </w:r>
          </w:p>
        </w:tc>
        <w:tc>
          <w:tcPr>
            <w:tcW w:w="992" w:type="dxa"/>
            <w:tcBorders>
              <w:left w:val="nil"/>
              <w:bottom w:val="nil"/>
              <w:right w:val="nil"/>
            </w:tcBorders>
            <w:vAlign w:val="center"/>
          </w:tcPr>
          <w:p w14:paraId="3E8BFBC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Skewness</w:t>
            </w:r>
          </w:p>
        </w:tc>
        <w:tc>
          <w:tcPr>
            <w:tcW w:w="993" w:type="dxa"/>
            <w:tcBorders>
              <w:left w:val="nil"/>
              <w:bottom w:val="nil"/>
              <w:right w:val="nil"/>
            </w:tcBorders>
            <w:vAlign w:val="center"/>
          </w:tcPr>
          <w:p w14:paraId="1B46EAF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Skewness</w:t>
            </w:r>
          </w:p>
        </w:tc>
        <w:tc>
          <w:tcPr>
            <w:tcW w:w="850" w:type="dxa"/>
            <w:vMerge w:val="restart"/>
            <w:tcBorders>
              <w:left w:val="nil"/>
              <w:right w:val="nil"/>
            </w:tcBorders>
            <w:vAlign w:val="center"/>
          </w:tcPr>
          <w:p w14:paraId="0AAFFDB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Diff.</w:t>
            </w:r>
          </w:p>
        </w:tc>
      </w:tr>
      <w:tr w:rsidR="00083D72" w:rsidRPr="00785BF3" w14:paraId="4250A4EB" w14:textId="77777777" w:rsidTr="002834B0">
        <w:tc>
          <w:tcPr>
            <w:tcW w:w="1276" w:type="dxa"/>
            <w:tcBorders>
              <w:top w:val="nil"/>
              <w:left w:val="nil"/>
              <w:bottom w:val="single" w:sz="4" w:space="0" w:color="auto"/>
              <w:right w:val="nil"/>
            </w:tcBorders>
            <w:vAlign w:val="center"/>
          </w:tcPr>
          <w:p w14:paraId="26AE2E0D"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Covariates</w:t>
            </w:r>
          </w:p>
        </w:tc>
        <w:tc>
          <w:tcPr>
            <w:tcW w:w="993" w:type="dxa"/>
            <w:tcBorders>
              <w:top w:val="nil"/>
              <w:left w:val="nil"/>
              <w:bottom w:val="single" w:sz="4" w:space="0" w:color="auto"/>
              <w:right w:val="nil"/>
            </w:tcBorders>
            <w:vAlign w:val="center"/>
          </w:tcPr>
          <w:p w14:paraId="0329665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Treated</w:t>
            </w:r>
          </w:p>
        </w:tc>
        <w:tc>
          <w:tcPr>
            <w:tcW w:w="850" w:type="dxa"/>
            <w:tcBorders>
              <w:top w:val="nil"/>
              <w:left w:val="nil"/>
              <w:bottom w:val="single" w:sz="4" w:space="0" w:color="auto"/>
              <w:right w:val="nil"/>
            </w:tcBorders>
            <w:vAlign w:val="center"/>
          </w:tcPr>
          <w:p w14:paraId="6646F0B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Control</w:t>
            </w:r>
          </w:p>
        </w:tc>
        <w:tc>
          <w:tcPr>
            <w:tcW w:w="709" w:type="dxa"/>
            <w:vMerge/>
            <w:tcBorders>
              <w:left w:val="nil"/>
              <w:bottom w:val="single" w:sz="4" w:space="0" w:color="auto"/>
              <w:right w:val="nil"/>
            </w:tcBorders>
            <w:vAlign w:val="center"/>
          </w:tcPr>
          <w:p w14:paraId="4A8E6F29"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554B42F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Treated</w:t>
            </w:r>
          </w:p>
        </w:tc>
        <w:tc>
          <w:tcPr>
            <w:tcW w:w="992" w:type="dxa"/>
            <w:tcBorders>
              <w:top w:val="nil"/>
              <w:left w:val="nil"/>
              <w:bottom w:val="single" w:sz="4" w:space="0" w:color="auto"/>
              <w:right w:val="nil"/>
            </w:tcBorders>
            <w:vAlign w:val="center"/>
          </w:tcPr>
          <w:p w14:paraId="4355247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Control</w:t>
            </w:r>
          </w:p>
        </w:tc>
        <w:tc>
          <w:tcPr>
            <w:tcW w:w="709" w:type="dxa"/>
            <w:vMerge/>
            <w:tcBorders>
              <w:left w:val="nil"/>
              <w:bottom w:val="single" w:sz="4" w:space="0" w:color="auto"/>
              <w:right w:val="nil"/>
            </w:tcBorders>
            <w:vAlign w:val="center"/>
          </w:tcPr>
          <w:p w14:paraId="34640906"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7CBAFC5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Treated</w:t>
            </w:r>
          </w:p>
        </w:tc>
        <w:tc>
          <w:tcPr>
            <w:tcW w:w="993" w:type="dxa"/>
            <w:tcBorders>
              <w:top w:val="nil"/>
              <w:left w:val="nil"/>
              <w:bottom w:val="single" w:sz="4" w:space="0" w:color="auto"/>
              <w:right w:val="nil"/>
            </w:tcBorders>
            <w:vAlign w:val="center"/>
          </w:tcPr>
          <w:p w14:paraId="2C6EF17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Control</w:t>
            </w:r>
          </w:p>
        </w:tc>
        <w:tc>
          <w:tcPr>
            <w:tcW w:w="850" w:type="dxa"/>
            <w:vMerge/>
            <w:tcBorders>
              <w:left w:val="nil"/>
              <w:bottom w:val="single" w:sz="4" w:space="0" w:color="auto"/>
              <w:right w:val="nil"/>
            </w:tcBorders>
            <w:vAlign w:val="center"/>
          </w:tcPr>
          <w:p w14:paraId="373333A2" w14:textId="77777777" w:rsidR="00083D72" w:rsidRPr="00785BF3" w:rsidRDefault="00083D72" w:rsidP="00744119">
            <w:pPr>
              <w:pStyle w:val="NoSpacing"/>
              <w:jc w:val="center"/>
              <w:rPr>
                <w:rFonts w:ascii="Times New Roman" w:hAnsi="Times New Roman"/>
                <w:sz w:val="19"/>
                <w:szCs w:val="19"/>
                <w:lang w:val="en-US"/>
              </w:rPr>
            </w:pPr>
          </w:p>
        </w:tc>
      </w:tr>
      <w:tr w:rsidR="00083D72" w:rsidRPr="00785BF3" w14:paraId="3A262232" w14:textId="77777777" w:rsidTr="002834B0">
        <w:tc>
          <w:tcPr>
            <w:tcW w:w="1276" w:type="dxa"/>
            <w:tcBorders>
              <w:top w:val="single" w:sz="4" w:space="0" w:color="auto"/>
              <w:left w:val="nil"/>
              <w:bottom w:val="nil"/>
              <w:right w:val="nil"/>
            </w:tcBorders>
            <w:vAlign w:val="center"/>
          </w:tcPr>
          <w:p w14:paraId="2AD3A7C2"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Size</w:t>
            </w:r>
          </w:p>
        </w:tc>
        <w:tc>
          <w:tcPr>
            <w:tcW w:w="993" w:type="dxa"/>
            <w:tcBorders>
              <w:top w:val="single" w:sz="4" w:space="0" w:color="auto"/>
              <w:left w:val="nil"/>
              <w:bottom w:val="nil"/>
              <w:right w:val="nil"/>
            </w:tcBorders>
            <w:vAlign w:val="center"/>
          </w:tcPr>
          <w:p w14:paraId="14D795E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7.96</w:t>
            </w:r>
          </w:p>
        </w:tc>
        <w:tc>
          <w:tcPr>
            <w:tcW w:w="850" w:type="dxa"/>
            <w:tcBorders>
              <w:top w:val="single" w:sz="4" w:space="0" w:color="auto"/>
              <w:left w:val="nil"/>
              <w:bottom w:val="nil"/>
              <w:right w:val="nil"/>
            </w:tcBorders>
            <w:vAlign w:val="center"/>
          </w:tcPr>
          <w:p w14:paraId="2D9E328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7.16</w:t>
            </w:r>
          </w:p>
        </w:tc>
        <w:tc>
          <w:tcPr>
            <w:tcW w:w="709" w:type="dxa"/>
            <w:tcBorders>
              <w:top w:val="single" w:sz="4" w:space="0" w:color="auto"/>
              <w:left w:val="nil"/>
              <w:bottom w:val="nil"/>
              <w:right w:val="nil"/>
            </w:tcBorders>
            <w:vAlign w:val="center"/>
          </w:tcPr>
          <w:p w14:paraId="29064C8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0.80</w:t>
            </w:r>
          </w:p>
        </w:tc>
        <w:tc>
          <w:tcPr>
            <w:tcW w:w="992" w:type="dxa"/>
            <w:tcBorders>
              <w:top w:val="single" w:sz="4" w:space="0" w:color="auto"/>
              <w:left w:val="nil"/>
              <w:bottom w:val="nil"/>
              <w:right w:val="nil"/>
            </w:tcBorders>
            <w:vAlign w:val="center"/>
          </w:tcPr>
          <w:p w14:paraId="71B3845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3.48</w:t>
            </w:r>
          </w:p>
        </w:tc>
        <w:tc>
          <w:tcPr>
            <w:tcW w:w="992" w:type="dxa"/>
            <w:tcBorders>
              <w:top w:val="single" w:sz="4" w:space="0" w:color="auto"/>
              <w:left w:val="nil"/>
              <w:bottom w:val="nil"/>
              <w:right w:val="nil"/>
            </w:tcBorders>
            <w:vAlign w:val="center"/>
          </w:tcPr>
          <w:p w14:paraId="0EE872D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4.95</w:t>
            </w:r>
          </w:p>
        </w:tc>
        <w:tc>
          <w:tcPr>
            <w:tcW w:w="709" w:type="dxa"/>
            <w:tcBorders>
              <w:top w:val="single" w:sz="4" w:space="0" w:color="auto"/>
              <w:left w:val="nil"/>
              <w:bottom w:val="nil"/>
              <w:right w:val="nil"/>
            </w:tcBorders>
            <w:vAlign w:val="center"/>
          </w:tcPr>
          <w:p w14:paraId="06898FC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-1.47</w:t>
            </w:r>
          </w:p>
        </w:tc>
        <w:tc>
          <w:tcPr>
            <w:tcW w:w="992" w:type="dxa"/>
            <w:tcBorders>
              <w:top w:val="single" w:sz="4" w:space="0" w:color="auto"/>
              <w:left w:val="nil"/>
              <w:bottom w:val="nil"/>
              <w:right w:val="nil"/>
            </w:tcBorders>
            <w:vAlign w:val="center"/>
          </w:tcPr>
          <w:p w14:paraId="665D5C3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0.05</w:t>
            </w:r>
          </w:p>
        </w:tc>
        <w:tc>
          <w:tcPr>
            <w:tcW w:w="993" w:type="dxa"/>
            <w:tcBorders>
              <w:top w:val="single" w:sz="4" w:space="0" w:color="auto"/>
              <w:left w:val="nil"/>
              <w:bottom w:val="nil"/>
              <w:right w:val="nil"/>
            </w:tcBorders>
            <w:vAlign w:val="center"/>
          </w:tcPr>
          <w:p w14:paraId="26A7C08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-0.06</w:t>
            </w:r>
          </w:p>
        </w:tc>
        <w:tc>
          <w:tcPr>
            <w:tcW w:w="850" w:type="dxa"/>
            <w:tcBorders>
              <w:top w:val="single" w:sz="4" w:space="0" w:color="auto"/>
              <w:left w:val="nil"/>
              <w:bottom w:val="nil"/>
              <w:right w:val="nil"/>
            </w:tcBorders>
            <w:vAlign w:val="center"/>
          </w:tcPr>
          <w:p w14:paraId="0C91383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0.11</w:t>
            </w:r>
          </w:p>
        </w:tc>
      </w:tr>
      <w:tr w:rsidR="00083D72" w:rsidRPr="00785BF3" w14:paraId="75B45E02" w14:textId="77777777" w:rsidTr="002834B0">
        <w:tc>
          <w:tcPr>
            <w:tcW w:w="1276" w:type="dxa"/>
            <w:tcBorders>
              <w:top w:val="nil"/>
              <w:left w:val="nil"/>
              <w:bottom w:val="nil"/>
              <w:right w:val="nil"/>
            </w:tcBorders>
            <w:vAlign w:val="center"/>
          </w:tcPr>
          <w:p w14:paraId="63FAA2F1"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Firm Age</w:t>
            </w:r>
          </w:p>
        </w:tc>
        <w:tc>
          <w:tcPr>
            <w:tcW w:w="993" w:type="dxa"/>
            <w:tcBorders>
              <w:top w:val="nil"/>
              <w:left w:val="nil"/>
              <w:bottom w:val="nil"/>
              <w:right w:val="nil"/>
            </w:tcBorders>
            <w:vAlign w:val="center"/>
          </w:tcPr>
          <w:p w14:paraId="2149DC0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3.61</w:t>
            </w:r>
          </w:p>
        </w:tc>
        <w:tc>
          <w:tcPr>
            <w:tcW w:w="850" w:type="dxa"/>
            <w:tcBorders>
              <w:top w:val="nil"/>
              <w:left w:val="nil"/>
              <w:bottom w:val="nil"/>
              <w:right w:val="nil"/>
            </w:tcBorders>
            <w:vAlign w:val="center"/>
          </w:tcPr>
          <w:p w14:paraId="298AE8A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3.49</w:t>
            </w:r>
          </w:p>
        </w:tc>
        <w:tc>
          <w:tcPr>
            <w:tcW w:w="709" w:type="dxa"/>
            <w:tcBorders>
              <w:top w:val="nil"/>
              <w:left w:val="nil"/>
              <w:bottom w:val="nil"/>
              <w:right w:val="nil"/>
            </w:tcBorders>
            <w:vAlign w:val="center"/>
          </w:tcPr>
          <w:p w14:paraId="510B84D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rPr>
              <w:t>0.12</w:t>
            </w:r>
          </w:p>
        </w:tc>
        <w:tc>
          <w:tcPr>
            <w:tcW w:w="992" w:type="dxa"/>
            <w:tcBorders>
              <w:top w:val="nil"/>
              <w:left w:val="nil"/>
              <w:bottom w:val="nil"/>
              <w:right w:val="nil"/>
            </w:tcBorders>
            <w:vAlign w:val="center"/>
          </w:tcPr>
          <w:p w14:paraId="41F4EF5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0.14</w:t>
            </w:r>
          </w:p>
        </w:tc>
        <w:tc>
          <w:tcPr>
            <w:tcW w:w="992" w:type="dxa"/>
            <w:tcBorders>
              <w:top w:val="nil"/>
              <w:left w:val="nil"/>
              <w:bottom w:val="nil"/>
              <w:right w:val="nil"/>
            </w:tcBorders>
            <w:vAlign w:val="center"/>
          </w:tcPr>
          <w:p w14:paraId="6C8EF3B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0.19</w:t>
            </w:r>
          </w:p>
        </w:tc>
        <w:tc>
          <w:tcPr>
            <w:tcW w:w="709" w:type="dxa"/>
            <w:tcBorders>
              <w:top w:val="nil"/>
              <w:left w:val="nil"/>
              <w:bottom w:val="nil"/>
              <w:right w:val="nil"/>
            </w:tcBorders>
            <w:vAlign w:val="center"/>
          </w:tcPr>
          <w:p w14:paraId="43295B4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-0.05</w:t>
            </w:r>
          </w:p>
        </w:tc>
        <w:tc>
          <w:tcPr>
            <w:tcW w:w="992" w:type="dxa"/>
            <w:tcBorders>
              <w:top w:val="nil"/>
              <w:left w:val="nil"/>
              <w:bottom w:val="nil"/>
              <w:right w:val="nil"/>
            </w:tcBorders>
            <w:vAlign w:val="center"/>
          </w:tcPr>
          <w:p w14:paraId="24A050F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-1.14</w:t>
            </w:r>
          </w:p>
        </w:tc>
        <w:tc>
          <w:tcPr>
            <w:tcW w:w="993" w:type="dxa"/>
            <w:tcBorders>
              <w:top w:val="nil"/>
              <w:left w:val="nil"/>
              <w:bottom w:val="nil"/>
              <w:right w:val="nil"/>
            </w:tcBorders>
            <w:vAlign w:val="center"/>
          </w:tcPr>
          <w:p w14:paraId="354E21B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-0.57</w:t>
            </w:r>
          </w:p>
        </w:tc>
        <w:tc>
          <w:tcPr>
            <w:tcW w:w="850" w:type="dxa"/>
            <w:tcBorders>
              <w:top w:val="nil"/>
              <w:left w:val="nil"/>
              <w:bottom w:val="nil"/>
              <w:right w:val="nil"/>
            </w:tcBorders>
            <w:vAlign w:val="center"/>
          </w:tcPr>
          <w:p w14:paraId="116F4B9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-0.57</w:t>
            </w:r>
          </w:p>
        </w:tc>
      </w:tr>
      <w:tr w:rsidR="00083D72" w:rsidRPr="00785BF3" w14:paraId="57EC3CB1" w14:textId="77777777" w:rsidTr="002834B0">
        <w:tc>
          <w:tcPr>
            <w:tcW w:w="1276" w:type="dxa"/>
            <w:tcBorders>
              <w:top w:val="nil"/>
              <w:left w:val="nil"/>
              <w:bottom w:val="nil"/>
              <w:right w:val="nil"/>
            </w:tcBorders>
            <w:vAlign w:val="center"/>
          </w:tcPr>
          <w:p w14:paraId="238777BA"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MB</w:t>
            </w:r>
          </w:p>
        </w:tc>
        <w:tc>
          <w:tcPr>
            <w:tcW w:w="993" w:type="dxa"/>
            <w:tcBorders>
              <w:top w:val="nil"/>
              <w:left w:val="nil"/>
              <w:bottom w:val="nil"/>
              <w:right w:val="nil"/>
            </w:tcBorders>
            <w:vAlign w:val="center"/>
          </w:tcPr>
          <w:p w14:paraId="1F08DDE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1.92</w:t>
            </w:r>
          </w:p>
        </w:tc>
        <w:tc>
          <w:tcPr>
            <w:tcW w:w="850" w:type="dxa"/>
            <w:tcBorders>
              <w:top w:val="nil"/>
              <w:left w:val="nil"/>
              <w:bottom w:val="nil"/>
              <w:right w:val="nil"/>
            </w:tcBorders>
            <w:vAlign w:val="center"/>
          </w:tcPr>
          <w:p w14:paraId="3236D89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1.87</w:t>
            </w:r>
          </w:p>
        </w:tc>
        <w:tc>
          <w:tcPr>
            <w:tcW w:w="709" w:type="dxa"/>
            <w:tcBorders>
              <w:top w:val="nil"/>
              <w:left w:val="nil"/>
              <w:bottom w:val="nil"/>
              <w:right w:val="nil"/>
            </w:tcBorders>
            <w:vAlign w:val="center"/>
          </w:tcPr>
          <w:p w14:paraId="7D20E11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0.05</w:t>
            </w:r>
          </w:p>
        </w:tc>
        <w:tc>
          <w:tcPr>
            <w:tcW w:w="992" w:type="dxa"/>
            <w:tcBorders>
              <w:top w:val="nil"/>
              <w:left w:val="nil"/>
              <w:bottom w:val="nil"/>
              <w:right w:val="nil"/>
            </w:tcBorders>
            <w:vAlign w:val="center"/>
          </w:tcPr>
          <w:p w14:paraId="71690CD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2.89</w:t>
            </w:r>
          </w:p>
        </w:tc>
        <w:tc>
          <w:tcPr>
            <w:tcW w:w="992" w:type="dxa"/>
            <w:tcBorders>
              <w:top w:val="nil"/>
              <w:left w:val="nil"/>
              <w:bottom w:val="nil"/>
              <w:right w:val="nil"/>
            </w:tcBorders>
            <w:vAlign w:val="center"/>
          </w:tcPr>
          <w:p w14:paraId="661DB4B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1.34</w:t>
            </w:r>
          </w:p>
        </w:tc>
        <w:tc>
          <w:tcPr>
            <w:tcW w:w="709" w:type="dxa"/>
            <w:tcBorders>
              <w:top w:val="nil"/>
              <w:left w:val="nil"/>
              <w:bottom w:val="nil"/>
              <w:right w:val="nil"/>
            </w:tcBorders>
            <w:vAlign w:val="center"/>
          </w:tcPr>
          <w:p w14:paraId="1CAAEE5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1.55</w:t>
            </w:r>
          </w:p>
        </w:tc>
        <w:tc>
          <w:tcPr>
            <w:tcW w:w="992" w:type="dxa"/>
            <w:tcBorders>
              <w:top w:val="nil"/>
              <w:left w:val="nil"/>
              <w:bottom w:val="nil"/>
              <w:right w:val="nil"/>
            </w:tcBorders>
            <w:vAlign w:val="center"/>
          </w:tcPr>
          <w:p w14:paraId="6486E80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3.43</w:t>
            </w:r>
          </w:p>
        </w:tc>
        <w:tc>
          <w:tcPr>
            <w:tcW w:w="993" w:type="dxa"/>
            <w:tcBorders>
              <w:top w:val="nil"/>
              <w:left w:val="nil"/>
              <w:bottom w:val="nil"/>
              <w:right w:val="nil"/>
            </w:tcBorders>
            <w:vAlign w:val="center"/>
          </w:tcPr>
          <w:p w14:paraId="268065F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2.90</w:t>
            </w:r>
          </w:p>
        </w:tc>
        <w:tc>
          <w:tcPr>
            <w:tcW w:w="850" w:type="dxa"/>
            <w:tcBorders>
              <w:top w:val="nil"/>
              <w:left w:val="nil"/>
              <w:bottom w:val="nil"/>
              <w:right w:val="nil"/>
            </w:tcBorders>
            <w:vAlign w:val="center"/>
          </w:tcPr>
          <w:p w14:paraId="26D5175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0.53</w:t>
            </w:r>
          </w:p>
        </w:tc>
      </w:tr>
      <w:tr w:rsidR="00083D72" w:rsidRPr="00785BF3" w14:paraId="7C4D6634" w14:textId="77777777" w:rsidTr="002834B0">
        <w:tc>
          <w:tcPr>
            <w:tcW w:w="1276" w:type="dxa"/>
            <w:tcBorders>
              <w:top w:val="nil"/>
              <w:left w:val="nil"/>
              <w:bottom w:val="nil"/>
              <w:right w:val="nil"/>
            </w:tcBorders>
            <w:shd w:val="clear" w:color="auto" w:fill="auto"/>
            <w:vAlign w:val="center"/>
          </w:tcPr>
          <w:p w14:paraId="1CE129F8"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EBITDA</w:t>
            </w:r>
          </w:p>
        </w:tc>
        <w:tc>
          <w:tcPr>
            <w:tcW w:w="993" w:type="dxa"/>
            <w:tcBorders>
              <w:top w:val="nil"/>
              <w:left w:val="nil"/>
              <w:bottom w:val="nil"/>
              <w:right w:val="nil"/>
            </w:tcBorders>
            <w:shd w:val="clear" w:color="auto" w:fill="auto"/>
            <w:vAlign w:val="center"/>
          </w:tcPr>
          <w:p w14:paraId="0513D68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0.13</w:t>
            </w:r>
          </w:p>
        </w:tc>
        <w:tc>
          <w:tcPr>
            <w:tcW w:w="850" w:type="dxa"/>
            <w:tcBorders>
              <w:top w:val="nil"/>
              <w:left w:val="nil"/>
              <w:bottom w:val="nil"/>
              <w:right w:val="nil"/>
            </w:tcBorders>
            <w:shd w:val="clear" w:color="auto" w:fill="auto"/>
            <w:vAlign w:val="center"/>
          </w:tcPr>
          <w:p w14:paraId="6518CA4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0.16</w:t>
            </w:r>
          </w:p>
        </w:tc>
        <w:tc>
          <w:tcPr>
            <w:tcW w:w="709" w:type="dxa"/>
            <w:tcBorders>
              <w:top w:val="nil"/>
              <w:left w:val="nil"/>
              <w:bottom w:val="nil"/>
              <w:right w:val="nil"/>
            </w:tcBorders>
            <w:shd w:val="clear" w:color="auto" w:fill="auto"/>
            <w:vAlign w:val="center"/>
          </w:tcPr>
          <w:p w14:paraId="0316226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-0.03</w:t>
            </w:r>
          </w:p>
        </w:tc>
        <w:tc>
          <w:tcPr>
            <w:tcW w:w="992" w:type="dxa"/>
            <w:tcBorders>
              <w:top w:val="nil"/>
              <w:left w:val="nil"/>
              <w:bottom w:val="nil"/>
              <w:right w:val="nil"/>
            </w:tcBorders>
            <w:shd w:val="clear" w:color="auto" w:fill="auto"/>
            <w:vAlign w:val="center"/>
          </w:tcPr>
          <w:p w14:paraId="03336E6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0.01</w:t>
            </w:r>
          </w:p>
        </w:tc>
        <w:tc>
          <w:tcPr>
            <w:tcW w:w="992" w:type="dxa"/>
            <w:tcBorders>
              <w:top w:val="nil"/>
              <w:left w:val="nil"/>
              <w:bottom w:val="nil"/>
              <w:right w:val="nil"/>
            </w:tcBorders>
            <w:shd w:val="clear" w:color="auto" w:fill="auto"/>
            <w:vAlign w:val="center"/>
          </w:tcPr>
          <w:p w14:paraId="671EAE0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0.01</w:t>
            </w:r>
          </w:p>
        </w:tc>
        <w:tc>
          <w:tcPr>
            <w:tcW w:w="709" w:type="dxa"/>
            <w:tcBorders>
              <w:top w:val="nil"/>
              <w:left w:val="nil"/>
              <w:bottom w:val="nil"/>
              <w:right w:val="nil"/>
            </w:tcBorders>
            <w:shd w:val="clear" w:color="auto" w:fill="auto"/>
            <w:vAlign w:val="center"/>
          </w:tcPr>
          <w:p w14:paraId="1F07EA4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shd w:val="clear" w:color="auto" w:fill="auto"/>
            <w:vAlign w:val="center"/>
          </w:tcPr>
          <w:p w14:paraId="0DB39BE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1.07</w:t>
            </w:r>
          </w:p>
        </w:tc>
        <w:tc>
          <w:tcPr>
            <w:tcW w:w="993" w:type="dxa"/>
            <w:tcBorders>
              <w:top w:val="nil"/>
              <w:left w:val="nil"/>
              <w:bottom w:val="nil"/>
              <w:right w:val="nil"/>
            </w:tcBorders>
            <w:shd w:val="clear" w:color="auto" w:fill="auto"/>
            <w:vAlign w:val="center"/>
          </w:tcPr>
          <w:p w14:paraId="3E6FEAC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0.36</w:t>
            </w:r>
          </w:p>
        </w:tc>
        <w:tc>
          <w:tcPr>
            <w:tcW w:w="850" w:type="dxa"/>
            <w:tcBorders>
              <w:top w:val="nil"/>
              <w:left w:val="nil"/>
              <w:bottom w:val="nil"/>
              <w:right w:val="nil"/>
            </w:tcBorders>
            <w:shd w:val="clear" w:color="auto" w:fill="auto"/>
            <w:vAlign w:val="center"/>
          </w:tcPr>
          <w:p w14:paraId="668E4DD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0.71</w:t>
            </w:r>
          </w:p>
        </w:tc>
      </w:tr>
      <w:tr w:rsidR="00083D72" w:rsidRPr="00785BF3" w14:paraId="0ED1DF0A" w14:textId="77777777" w:rsidTr="002834B0">
        <w:tc>
          <w:tcPr>
            <w:tcW w:w="1276" w:type="dxa"/>
            <w:tcBorders>
              <w:top w:val="nil"/>
              <w:left w:val="nil"/>
              <w:bottom w:val="nil"/>
              <w:right w:val="nil"/>
            </w:tcBorders>
            <w:vAlign w:val="center"/>
          </w:tcPr>
          <w:p w14:paraId="4056DA11" w14:textId="77777777" w:rsidR="00083D72" w:rsidRPr="00785BF3" w:rsidRDefault="00083D72" w:rsidP="00744119">
            <w:pPr>
              <w:pStyle w:val="NoSpacing"/>
              <w:rPr>
                <w:rFonts w:ascii="Times New Roman" w:hAnsi="Times New Roman"/>
                <w:sz w:val="19"/>
                <w:szCs w:val="19"/>
                <w:lang w:val="en-US"/>
              </w:rPr>
            </w:pPr>
            <w:proofErr w:type="spellStart"/>
            <w:r w:rsidRPr="00785BF3">
              <w:rPr>
                <w:rFonts w:ascii="Times New Roman" w:hAnsi="Times New Roman"/>
                <w:sz w:val="19"/>
                <w:szCs w:val="19"/>
                <w:lang w:val="en-US"/>
              </w:rPr>
              <w:t>EarningsAR</w:t>
            </w:r>
            <w:proofErr w:type="spellEnd"/>
          </w:p>
        </w:tc>
        <w:tc>
          <w:tcPr>
            <w:tcW w:w="993" w:type="dxa"/>
            <w:tcBorders>
              <w:top w:val="nil"/>
              <w:left w:val="nil"/>
              <w:bottom w:val="nil"/>
              <w:right w:val="nil"/>
            </w:tcBorders>
            <w:vAlign w:val="center"/>
          </w:tcPr>
          <w:p w14:paraId="5EF89DB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-0.31</w:t>
            </w:r>
          </w:p>
        </w:tc>
        <w:tc>
          <w:tcPr>
            <w:tcW w:w="850" w:type="dxa"/>
            <w:tcBorders>
              <w:top w:val="nil"/>
              <w:left w:val="nil"/>
              <w:bottom w:val="nil"/>
              <w:right w:val="nil"/>
            </w:tcBorders>
            <w:vAlign w:val="center"/>
          </w:tcPr>
          <w:p w14:paraId="02C7194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-0.24</w:t>
            </w:r>
          </w:p>
        </w:tc>
        <w:tc>
          <w:tcPr>
            <w:tcW w:w="709" w:type="dxa"/>
            <w:tcBorders>
              <w:top w:val="nil"/>
              <w:left w:val="nil"/>
              <w:bottom w:val="nil"/>
              <w:right w:val="nil"/>
            </w:tcBorders>
            <w:vAlign w:val="center"/>
          </w:tcPr>
          <w:p w14:paraId="2B224BB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-0.07</w:t>
            </w:r>
          </w:p>
        </w:tc>
        <w:tc>
          <w:tcPr>
            <w:tcW w:w="992" w:type="dxa"/>
            <w:tcBorders>
              <w:top w:val="nil"/>
              <w:left w:val="nil"/>
              <w:bottom w:val="nil"/>
              <w:right w:val="nil"/>
            </w:tcBorders>
            <w:vAlign w:val="center"/>
          </w:tcPr>
          <w:p w14:paraId="5DBF231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0.10</w:t>
            </w:r>
          </w:p>
        </w:tc>
        <w:tc>
          <w:tcPr>
            <w:tcW w:w="992" w:type="dxa"/>
            <w:tcBorders>
              <w:top w:val="nil"/>
              <w:left w:val="nil"/>
              <w:bottom w:val="nil"/>
              <w:right w:val="nil"/>
            </w:tcBorders>
            <w:vAlign w:val="center"/>
          </w:tcPr>
          <w:p w14:paraId="08B20D0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0.09</w:t>
            </w:r>
          </w:p>
        </w:tc>
        <w:tc>
          <w:tcPr>
            <w:tcW w:w="709" w:type="dxa"/>
            <w:tcBorders>
              <w:top w:val="nil"/>
              <w:left w:val="nil"/>
              <w:bottom w:val="nil"/>
              <w:right w:val="nil"/>
            </w:tcBorders>
            <w:vAlign w:val="center"/>
          </w:tcPr>
          <w:p w14:paraId="31A9F5E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c>
          <w:tcPr>
            <w:tcW w:w="992" w:type="dxa"/>
            <w:tcBorders>
              <w:top w:val="nil"/>
              <w:left w:val="nil"/>
              <w:bottom w:val="nil"/>
              <w:right w:val="nil"/>
            </w:tcBorders>
            <w:vAlign w:val="center"/>
          </w:tcPr>
          <w:p w14:paraId="604B28C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0.25</w:t>
            </w:r>
          </w:p>
        </w:tc>
        <w:tc>
          <w:tcPr>
            <w:tcW w:w="993" w:type="dxa"/>
            <w:tcBorders>
              <w:top w:val="nil"/>
              <w:left w:val="nil"/>
              <w:bottom w:val="nil"/>
              <w:right w:val="nil"/>
            </w:tcBorders>
            <w:vAlign w:val="center"/>
          </w:tcPr>
          <w:p w14:paraId="3E69662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0.30</w:t>
            </w:r>
          </w:p>
        </w:tc>
        <w:tc>
          <w:tcPr>
            <w:tcW w:w="850" w:type="dxa"/>
            <w:tcBorders>
              <w:top w:val="nil"/>
              <w:left w:val="nil"/>
              <w:bottom w:val="nil"/>
              <w:right w:val="nil"/>
            </w:tcBorders>
            <w:vAlign w:val="center"/>
          </w:tcPr>
          <w:p w14:paraId="6C803DD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-0.05</w:t>
            </w:r>
          </w:p>
        </w:tc>
      </w:tr>
      <w:tr w:rsidR="00083D72" w:rsidRPr="00785BF3" w14:paraId="72DE7FEE" w14:textId="77777777" w:rsidTr="002834B0">
        <w:tc>
          <w:tcPr>
            <w:tcW w:w="1276" w:type="dxa"/>
            <w:tcBorders>
              <w:top w:val="nil"/>
              <w:left w:val="nil"/>
              <w:bottom w:val="nil"/>
              <w:right w:val="nil"/>
            </w:tcBorders>
            <w:vAlign w:val="center"/>
          </w:tcPr>
          <w:p w14:paraId="24664C70"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Sales Growth</w:t>
            </w:r>
          </w:p>
        </w:tc>
        <w:tc>
          <w:tcPr>
            <w:tcW w:w="993" w:type="dxa"/>
            <w:tcBorders>
              <w:top w:val="nil"/>
              <w:left w:val="nil"/>
              <w:bottom w:val="nil"/>
              <w:right w:val="nil"/>
            </w:tcBorders>
            <w:vAlign w:val="center"/>
          </w:tcPr>
          <w:p w14:paraId="038F3B4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3.00</w:t>
            </w:r>
          </w:p>
        </w:tc>
        <w:tc>
          <w:tcPr>
            <w:tcW w:w="850" w:type="dxa"/>
            <w:tcBorders>
              <w:top w:val="nil"/>
              <w:left w:val="nil"/>
              <w:bottom w:val="nil"/>
              <w:right w:val="nil"/>
            </w:tcBorders>
            <w:vAlign w:val="center"/>
          </w:tcPr>
          <w:p w14:paraId="28E2F84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3.36</w:t>
            </w:r>
          </w:p>
        </w:tc>
        <w:tc>
          <w:tcPr>
            <w:tcW w:w="709" w:type="dxa"/>
            <w:tcBorders>
              <w:top w:val="nil"/>
              <w:left w:val="nil"/>
              <w:bottom w:val="nil"/>
              <w:right w:val="nil"/>
            </w:tcBorders>
            <w:vAlign w:val="center"/>
          </w:tcPr>
          <w:p w14:paraId="265B869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-0.36</w:t>
            </w:r>
          </w:p>
        </w:tc>
        <w:tc>
          <w:tcPr>
            <w:tcW w:w="992" w:type="dxa"/>
            <w:tcBorders>
              <w:top w:val="nil"/>
              <w:left w:val="nil"/>
              <w:bottom w:val="nil"/>
              <w:right w:val="nil"/>
            </w:tcBorders>
            <w:vAlign w:val="center"/>
          </w:tcPr>
          <w:p w14:paraId="2046738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31.12</w:t>
            </w:r>
          </w:p>
        </w:tc>
        <w:tc>
          <w:tcPr>
            <w:tcW w:w="992" w:type="dxa"/>
            <w:tcBorders>
              <w:top w:val="nil"/>
              <w:left w:val="nil"/>
              <w:bottom w:val="nil"/>
              <w:right w:val="nil"/>
            </w:tcBorders>
            <w:vAlign w:val="center"/>
          </w:tcPr>
          <w:p w14:paraId="49CA7F0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42.45</w:t>
            </w:r>
          </w:p>
        </w:tc>
        <w:tc>
          <w:tcPr>
            <w:tcW w:w="709" w:type="dxa"/>
            <w:tcBorders>
              <w:top w:val="nil"/>
              <w:left w:val="nil"/>
              <w:bottom w:val="nil"/>
              <w:right w:val="nil"/>
            </w:tcBorders>
            <w:vAlign w:val="center"/>
          </w:tcPr>
          <w:p w14:paraId="7878BF0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-11.33</w:t>
            </w:r>
          </w:p>
        </w:tc>
        <w:tc>
          <w:tcPr>
            <w:tcW w:w="992" w:type="dxa"/>
            <w:tcBorders>
              <w:top w:val="nil"/>
              <w:left w:val="nil"/>
              <w:bottom w:val="nil"/>
              <w:right w:val="nil"/>
            </w:tcBorders>
            <w:vAlign w:val="center"/>
          </w:tcPr>
          <w:p w14:paraId="4B448CC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5.35</w:t>
            </w:r>
          </w:p>
        </w:tc>
        <w:tc>
          <w:tcPr>
            <w:tcW w:w="993" w:type="dxa"/>
            <w:tcBorders>
              <w:top w:val="nil"/>
              <w:left w:val="nil"/>
              <w:bottom w:val="nil"/>
              <w:right w:val="nil"/>
            </w:tcBorders>
            <w:vAlign w:val="center"/>
          </w:tcPr>
          <w:p w14:paraId="1FD9EBF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4.35</w:t>
            </w:r>
          </w:p>
        </w:tc>
        <w:tc>
          <w:tcPr>
            <w:tcW w:w="850" w:type="dxa"/>
            <w:tcBorders>
              <w:top w:val="nil"/>
              <w:left w:val="nil"/>
              <w:bottom w:val="nil"/>
              <w:right w:val="nil"/>
            </w:tcBorders>
            <w:vAlign w:val="center"/>
          </w:tcPr>
          <w:p w14:paraId="063D25C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1.00</w:t>
            </w:r>
          </w:p>
        </w:tc>
      </w:tr>
      <w:tr w:rsidR="00083D72" w:rsidRPr="00785BF3" w14:paraId="4C861792" w14:textId="77777777" w:rsidTr="002834B0">
        <w:tc>
          <w:tcPr>
            <w:tcW w:w="1276" w:type="dxa"/>
            <w:tcBorders>
              <w:top w:val="nil"/>
              <w:left w:val="nil"/>
              <w:bottom w:val="nil"/>
              <w:right w:val="nil"/>
            </w:tcBorders>
            <w:vAlign w:val="center"/>
          </w:tcPr>
          <w:p w14:paraId="5CDEC259"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Leverage</w:t>
            </w:r>
          </w:p>
        </w:tc>
        <w:tc>
          <w:tcPr>
            <w:tcW w:w="993" w:type="dxa"/>
            <w:tcBorders>
              <w:top w:val="nil"/>
              <w:left w:val="nil"/>
              <w:bottom w:val="nil"/>
              <w:right w:val="nil"/>
            </w:tcBorders>
            <w:vAlign w:val="center"/>
          </w:tcPr>
          <w:p w14:paraId="68D2B7F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0.51</w:t>
            </w:r>
          </w:p>
        </w:tc>
        <w:tc>
          <w:tcPr>
            <w:tcW w:w="850" w:type="dxa"/>
            <w:tcBorders>
              <w:top w:val="nil"/>
              <w:left w:val="nil"/>
              <w:bottom w:val="nil"/>
              <w:right w:val="nil"/>
            </w:tcBorders>
            <w:vAlign w:val="center"/>
          </w:tcPr>
          <w:p w14:paraId="76E813D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0.33</w:t>
            </w:r>
          </w:p>
        </w:tc>
        <w:tc>
          <w:tcPr>
            <w:tcW w:w="709" w:type="dxa"/>
            <w:tcBorders>
              <w:top w:val="nil"/>
              <w:left w:val="nil"/>
              <w:bottom w:val="nil"/>
              <w:right w:val="nil"/>
            </w:tcBorders>
            <w:vAlign w:val="center"/>
          </w:tcPr>
          <w:p w14:paraId="404EC14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0.18</w:t>
            </w:r>
          </w:p>
        </w:tc>
        <w:tc>
          <w:tcPr>
            <w:tcW w:w="992" w:type="dxa"/>
            <w:tcBorders>
              <w:top w:val="nil"/>
              <w:left w:val="nil"/>
              <w:bottom w:val="nil"/>
              <w:right w:val="nil"/>
            </w:tcBorders>
            <w:vAlign w:val="center"/>
          </w:tcPr>
          <w:p w14:paraId="285A93D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0.44</w:t>
            </w:r>
          </w:p>
        </w:tc>
        <w:tc>
          <w:tcPr>
            <w:tcW w:w="992" w:type="dxa"/>
            <w:tcBorders>
              <w:top w:val="nil"/>
              <w:left w:val="nil"/>
              <w:bottom w:val="nil"/>
              <w:right w:val="nil"/>
            </w:tcBorders>
            <w:vAlign w:val="center"/>
          </w:tcPr>
          <w:p w14:paraId="35E69C6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0.26</w:t>
            </w:r>
          </w:p>
        </w:tc>
        <w:tc>
          <w:tcPr>
            <w:tcW w:w="709" w:type="dxa"/>
            <w:tcBorders>
              <w:top w:val="nil"/>
              <w:left w:val="nil"/>
              <w:bottom w:val="nil"/>
              <w:right w:val="nil"/>
            </w:tcBorders>
            <w:vAlign w:val="center"/>
          </w:tcPr>
          <w:p w14:paraId="6B0A506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0.18</w:t>
            </w:r>
          </w:p>
        </w:tc>
        <w:tc>
          <w:tcPr>
            <w:tcW w:w="992" w:type="dxa"/>
            <w:tcBorders>
              <w:top w:val="nil"/>
              <w:left w:val="nil"/>
              <w:bottom w:val="nil"/>
              <w:right w:val="nil"/>
            </w:tcBorders>
            <w:vAlign w:val="center"/>
          </w:tcPr>
          <w:p w14:paraId="05BBD32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2.64</w:t>
            </w:r>
          </w:p>
        </w:tc>
        <w:tc>
          <w:tcPr>
            <w:tcW w:w="993" w:type="dxa"/>
            <w:tcBorders>
              <w:top w:val="nil"/>
              <w:left w:val="nil"/>
              <w:bottom w:val="nil"/>
              <w:right w:val="nil"/>
            </w:tcBorders>
            <w:vAlign w:val="center"/>
          </w:tcPr>
          <w:p w14:paraId="11A0D86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3.76</w:t>
            </w:r>
          </w:p>
        </w:tc>
        <w:tc>
          <w:tcPr>
            <w:tcW w:w="850" w:type="dxa"/>
            <w:tcBorders>
              <w:top w:val="nil"/>
              <w:left w:val="nil"/>
              <w:bottom w:val="nil"/>
              <w:right w:val="nil"/>
            </w:tcBorders>
            <w:vAlign w:val="center"/>
          </w:tcPr>
          <w:p w14:paraId="629A178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-1.12</w:t>
            </w:r>
          </w:p>
        </w:tc>
      </w:tr>
      <w:tr w:rsidR="00083D72" w:rsidRPr="00785BF3" w14:paraId="4F340910" w14:textId="77777777" w:rsidTr="002834B0">
        <w:tc>
          <w:tcPr>
            <w:tcW w:w="1276" w:type="dxa"/>
            <w:tcBorders>
              <w:top w:val="nil"/>
              <w:left w:val="nil"/>
              <w:bottom w:val="nil"/>
              <w:right w:val="nil"/>
            </w:tcBorders>
            <w:vAlign w:val="center"/>
          </w:tcPr>
          <w:p w14:paraId="4F432157"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Tangibility</w:t>
            </w:r>
          </w:p>
        </w:tc>
        <w:tc>
          <w:tcPr>
            <w:tcW w:w="993" w:type="dxa"/>
            <w:tcBorders>
              <w:top w:val="nil"/>
              <w:left w:val="nil"/>
              <w:bottom w:val="nil"/>
              <w:right w:val="nil"/>
            </w:tcBorders>
            <w:vAlign w:val="center"/>
          </w:tcPr>
          <w:p w14:paraId="5D62F69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0.26</w:t>
            </w:r>
          </w:p>
        </w:tc>
        <w:tc>
          <w:tcPr>
            <w:tcW w:w="850" w:type="dxa"/>
            <w:tcBorders>
              <w:top w:val="nil"/>
              <w:left w:val="nil"/>
              <w:bottom w:val="nil"/>
              <w:right w:val="nil"/>
            </w:tcBorders>
            <w:vAlign w:val="center"/>
          </w:tcPr>
          <w:p w14:paraId="389C20C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0.31</w:t>
            </w:r>
          </w:p>
        </w:tc>
        <w:tc>
          <w:tcPr>
            <w:tcW w:w="709" w:type="dxa"/>
            <w:tcBorders>
              <w:top w:val="nil"/>
              <w:left w:val="nil"/>
              <w:bottom w:val="nil"/>
              <w:right w:val="nil"/>
            </w:tcBorders>
            <w:vAlign w:val="center"/>
          </w:tcPr>
          <w:p w14:paraId="58A3600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-0.05</w:t>
            </w:r>
          </w:p>
        </w:tc>
        <w:tc>
          <w:tcPr>
            <w:tcW w:w="992" w:type="dxa"/>
            <w:tcBorders>
              <w:top w:val="nil"/>
              <w:left w:val="nil"/>
              <w:bottom w:val="nil"/>
              <w:right w:val="nil"/>
            </w:tcBorders>
            <w:vAlign w:val="center"/>
          </w:tcPr>
          <w:p w14:paraId="0EA769D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0.05</w:t>
            </w:r>
          </w:p>
        </w:tc>
        <w:tc>
          <w:tcPr>
            <w:tcW w:w="992" w:type="dxa"/>
            <w:tcBorders>
              <w:top w:val="nil"/>
              <w:left w:val="nil"/>
              <w:bottom w:val="nil"/>
              <w:right w:val="nil"/>
            </w:tcBorders>
            <w:vAlign w:val="center"/>
          </w:tcPr>
          <w:p w14:paraId="47946EF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0.05</w:t>
            </w:r>
          </w:p>
        </w:tc>
        <w:tc>
          <w:tcPr>
            <w:tcW w:w="709" w:type="dxa"/>
            <w:tcBorders>
              <w:top w:val="nil"/>
              <w:left w:val="nil"/>
              <w:bottom w:val="nil"/>
              <w:right w:val="nil"/>
            </w:tcBorders>
            <w:vAlign w:val="center"/>
          </w:tcPr>
          <w:p w14:paraId="2472D2D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640FC11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1.30</w:t>
            </w:r>
          </w:p>
        </w:tc>
        <w:tc>
          <w:tcPr>
            <w:tcW w:w="993" w:type="dxa"/>
            <w:tcBorders>
              <w:top w:val="nil"/>
              <w:left w:val="nil"/>
              <w:bottom w:val="nil"/>
              <w:right w:val="nil"/>
            </w:tcBorders>
            <w:vAlign w:val="center"/>
          </w:tcPr>
          <w:p w14:paraId="4B6FB5F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0.98</w:t>
            </w:r>
          </w:p>
        </w:tc>
        <w:tc>
          <w:tcPr>
            <w:tcW w:w="850" w:type="dxa"/>
            <w:tcBorders>
              <w:top w:val="nil"/>
              <w:left w:val="nil"/>
              <w:bottom w:val="nil"/>
              <w:right w:val="nil"/>
            </w:tcBorders>
            <w:vAlign w:val="center"/>
          </w:tcPr>
          <w:p w14:paraId="17A5D04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0.32</w:t>
            </w:r>
          </w:p>
        </w:tc>
      </w:tr>
      <w:tr w:rsidR="00083D72" w:rsidRPr="00785BF3" w14:paraId="0DE480D5" w14:textId="77777777" w:rsidTr="002834B0">
        <w:tc>
          <w:tcPr>
            <w:tcW w:w="1276" w:type="dxa"/>
            <w:tcBorders>
              <w:top w:val="nil"/>
              <w:left w:val="nil"/>
              <w:bottom w:val="nil"/>
              <w:right w:val="nil"/>
            </w:tcBorders>
            <w:vAlign w:val="center"/>
          </w:tcPr>
          <w:p w14:paraId="1A4C796A"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Payout</w:t>
            </w:r>
          </w:p>
        </w:tc>
        <w:tc>
          <w:tcPr>
            <w:tcW w:w="993" w:type="dxa"/>
            <w:tcBorders>
              <w:top w:val="nil"/>
              <w:left w:val="nil"/>
              <w:bottom w:val="nil"/>
              <w:right w:val="nil"/>
            </w:tcBorders>
            <w:vAlign w:val="center"/>
          </w:tcPr>
          <w:p w14:paraId="02DA9FB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0.36</w:t>
            </w:r>
          </w:p>
        </w:tc>
        <w:tc>
          <w:tcPr>
            <w:tcW w:w="850" w:type="dxa"/>
            <w:tcBorders>
              <w:top w:val="nil"/>
              <w:left w:val="nil"/>
              <w:bottom w:val="nil"/>
              <w:right w:val="nil"/>
            </w:tcBorders>
            <w:vAlign w:val="center"/>
          </w:tcPr>
          <w:p w14:paraId="182EF36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0.27</w:t>
            </w:r>
          </w:p>
        </w:tc>
        <w:tc>
          <w:tcPr>
            <w:tcW w:w="709" w:type="dxa"/>
            <w:tcBorders>
              <w:top w:val="nil"/>
              <w:left w:val="nil"/>
              <w:bottom w:val="nil"/>
              <w:right w:val="nil"/>
            </w:tcBorders>
            <w:vAlign w:val="center"/>
          </w:tcPr>
          <w:p w14:paraId="5C3C4C7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0.09</w:t>
            </w:r>
          </w:p>
        </w:tc>
        <w:tc>
          <w:tcPr>
            <w:tcW w:w="992" w:type="dxa"/>
            <w:tcBorders>
              <w:top w:val="nil"/>
              <w:left w:val="nil"/>
              <w:bottom w:val="nil"/>
              <w:right w:val="nil"/>
            </w:tcBorders>
            <w:vAlign w:val="center"/>
          </w:tcPr>
          <w:p w14:paraId="104DB1B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0.75</w:t>
            </w:r>
          </w:p>
        </w:tc>
        <w:tc>
          <w:tcPr>
            <w:tcW w:w="992" w:type="dxa"/>
            <w:tcBorders>
              <w:top w:val="nil"/>
              <w:left w:val="nil"/>
              <w:bottom w:val="nil"/>
              <w:right w:val="nil"/>
            </w:tcBorders>
            <w:vAlign w:val="center"/>
          </w:tcPr>
          <w:p w14:paraId="0FA6ABF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0.35</w:t>
            </w:r>
          </w:p>
        </w:tc>
        <w:tc>
          <w:tcPr>
            <w:tcW w:w="709" w:type="dxa"/>
            <w:tcBorders>
              <w:top w:val="nil"/>
              <w:left w:val="nil"/>
              <w:bottom w:val="nil"/>
              <w:right w:val="nil"/>
            </w:tcBorders>
            <w:vAlign w:val="center"/>
          </w:tcPr>
          <w:p w14:paraId="081F11D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0.4</w:t>
            </w:r>
          </w:p>
        </w:tc>
        <w:tc>
          <w:tcPr>
            <w:tcW w:w="992" w:type="dxa"/>
            <w:tcBorders>
              <w:top w:val="nil"/>
              <w:left w:val="nil"/>
              <w:bottom w:val="nil"/>
              <w:right w:val="nil"/>
            </w:tcBorders>
            <w:vAlign w:val="center"/>
          </w:tcPr>
          <w:p w14:paraId="2AFB73E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0.87</w:t>
            </w:r>
          </w:p>
        </w:tc>
        <w:tc>
          <w:tcPr>
            <w:tcW w:w="993" w:type="dxa"/>
            <w:tcBorders>
              <w:top w:val="nil"/>
              <w:left w:val="nil"/>
              <w:bottom w:val="nil"/>
              <w:right w:val="nil"/>
            </w:tcBorders>
            <w:vAlign w:val="center"/>
          </w:tcPr>
          <w:p w14:paraId="0B99BA1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2.38</w:t>
            </w:r>
          </w:p>
        </w:tc>
        <w:tc>
          <w:tcPr>
            <w:tcW w:w="850" w:type="dxa"/>
            <w:tcBorders>
              <w:top w:val="nil"/>
              <w:left w:val="nil"/>
              <w:bottom w:val="nil"/>
              <w:right w:val="nil"/>
            </w:tcBorders>
            <w:vAlign w:val="center"/>
          </w:tcPr>
          <w:p w14:paraId="2383AF3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-1.51</w:t>
            </w:r>
          </w:p>
        </w:tc>
      </w:tr>
      <w:tr w:rsidR="00083D72" w:rsidRPr="00785BF3" w14:paraId="6CC3F33C" w14:textId="77777777" w:rsidTr="002834B0">
        <w:tc>
          <w:tcPr>
            <w:tcW w:w="1276" w:type="dxa"/>
            <w:tcBorders>
              <w:top w:val="nil"/>
              <w:left w:val="nil"/>
              <w:bottom w:val="nil"/>
              <w:right w:val="nil"/>
            </w:tcBorders>
            <w:vAlign w:val="center"/>
          </w:tcPr>
          <w:p w14:paraId="122F2E4B"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Cash Holdings</w:t>
            </w:r>
          </w:p>
        </w:tc>
        <w:tc>
          <w:tcPr>
            <w:tcW w:w="993" w:type="dxa"/>
            <w:tcBorders>
              <w:top w:val="nil"/>
              <w:left w:val="nil"/>
              <w:bottom w:val="nil"/>
              <w:right w:val="nil"/>
            </w:tcBorders>
            <w:vAlign w:val="center"/>
          </w:tcPr>
          <w:p w14:paraId="370FAE9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0.12</w:t>
            </w:r>
          </w:p>
        </w:tc>
        <w:tc>
          <w:tcPr>
            <w:tcW w:w="850" w:type="dxa"/>
            <w:tcBorders>
              <w:top w:val="nil"/>
              <w:left w:val="nil"/>
              <w:bottom w:val="nil"/>
              <w:right w:val="nil"/>
            </w:tcBorders>
            <w:vAlign w:val="center"/>
          </w:tcPr>
          <w:p w14:paraId="6FA9AB4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0.12</w:t>
            </w:r>
          </w:p>
        </w:tc>
        <w:tc>
          <w:tcPr>
            <w:tcW w:w="709" w:type="dxa"/>
            <w:tcBorders>
              <w:top w:val="nil"/>
              <w:left w:val="nil"/>
              <w:bottom w:val="nil"/>
              <w:right w:val="nil"/>
            </w:tcBorders>
            <w:vAlign w:val="center"/>
          </w:tcPr>
          <w:p w14:paraId="5B1D77A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1483EAA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992" w:type="dxa"/>
            <w:tcBorders>
              <w:top w:val="nil"/>
              <w:left w:val="nil"/>
              <w:bottom w:val="nil"/>
              <w:right w:val="nil"/>
            </w:tcBorders>
            <w:vAlign w:val="center"/>
          </w:tcPr>
          <w:p w14:paraId="23CDF03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709" w:type="dxa"/>
            <w:tcBorders>
              <w:top w:val="nil"/>
              <w:left w:val="nil"/>
              <w:bottom w:val="nil"/>
              <w:right w:val="nil"/>
            </w:tcBorders>
            <w:vAlign w:val="center"/>
          </w:tcPr>
          <w:p w14:paraId="2E856F3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500910E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2.20</w:t>
            </w:r>
          </w:p>
        </w:tc>
        <w:tc>
          <w:tcPr>
            <w:tcW w:w="993" w:type="dxa"/>
            <w:tcBorders>
              <w:top w:val="nil"/>
              <w:left w:val="nil"/>
              <w:bottom w:val="nil"/>
              <w:right w:val="nil"/>
            </w:tcBorders>
            <w:vAlign w:val="center"/>
          </w:tcPr>
          <w:p w14:paraId="06DB8D4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2.14</w:t>
            </w:r>
          </w:p>
        </w:tc>
        <w:tc>
          <w:tcPr>
            <w:tcW w:w="850" w:type="dxa"/>
            <w:tcBorders>
              <w:top w:val="nil"/>
              <w:left w:val="nil"/>
              <w:bottom w:val="nil"/>
              <w:right w:val="nil"/>
            </w:tcBorders>
            <w:vAlign w:val="center"/>
          </w:tcPr>
          <w:p w14:paraId="2FC67D5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0.06</w:t>
            </w:r>
          </w:p>
        </w:tc>
      </w:tr>
      <w:tr w:rsidR="00083D72" w:rsidRPr="00785BF3" w14:paraId="1A18A170" w14:textId="77777777" w:rsidTr="002834B0">
        <w:tc>
          <w:tcPr>
            <w:tcW w:w="1276" w:type="dxa"/>
            <w:tcBorders>
              <w:top w:val="nil"/>
              <w:left w:val="nil"/>
              <w:bottom w:val="nil"/>
              <w:right w:val="nil"/>
            </w:tcBorders>
            <w:vAlign w:val="center"/>
          </w:tcPr>
          <w:p w14:paraId="34572335"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R&amp;D Expenses</w:t>
            </w:r>
          </w:p>
        </w:tc>
        <w:tc>
          <w:tcPr>
            <w:tcW w:w="993" w:type="dxa"/>
            <w:tcBorders>
              <w:top w:val="nil"/>
              <w:left w:val="nil"/>
              <w:bottom w:val="nil"/>
              <w:right w:val="nil"/>
            </w:tcBorders>
            <w:vAlign w:val="center"/>
          </w:tcPr>
          <w:p w14:paraId="0DEE7D0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0.03</w:t>
            </w:r>
          </w:p>
        </w:tc>
        <w:tc>
          <w:tcPr>
            <w:tcW w:w="850" w:type="dxa"/>
            <w:tcBorders>
              <w:top w:val="nil"/>
              <w:left w:val="nil"/>
              <w:bottom w:val="nil"/>
              <w:right w:val="nil"/>
            </w:tcBorders>
            <w:vAlign w:val="center"/>
          </w:tcPr>
          <w:p w14:paraId="113E2D3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709" w:type="dxa"/>
            <w:tcBorders>
              <w:top w:val="nil"/>
              <w:left w:val="nil"/>
              <w:bottom w:val="nil"/>
              <w:right w:val="nil"/>
            </w:tcBorders>
            <w:vAlign w:val="center"/>
          </w:tcPr>
          <w:p w14:paraId="1958492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c>
          <w:tcPr>
            <w:tcW w:w="992" w:type="dxa"/>
            <w:tcBorders>
              <w:top w:val="nil"/>
              <w:left w:val="nil"/>
              <w:bottom w:val="nil"/>
              <w:right w:val="nil"/>
            </w:tcBorders>
            <w:vAlign w:val="center"/>
          </w:tcPr>
          <w:p w14:paraId="6AFB384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992" w:type="dxa"/>
            <w:tcBorders>
              <w:top w:val="nil"/>
              <w:left w:val="nil"/>
              <w:bottom w:val="nil"/>
              <w:right w:val="nil"/>
            </w:tcBorders>
            <w:vAlign w:val="center"/>
          </w:tcPr>
          <w:p w14:paraId="42AAF73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709" w:type="dxa"/>
            <w:tcBorders>
              <w:top w:val="nil"/>
              <w:left w:val="nil"/>
              <w:bottom w:val="nil"/>
              <w:right w:val="nil"/>
            </w:tcBorders>
            <w:vAlign w:val="center"/>
          </w:tcPr>
          <w:p w14:paraId="33DA3FA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56C911F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1.80</w:t>
            </w:r>
          </w:p>
        </w:tc>
        <w:tc>
          <w:tcPr>
            <w:tcW w:w="993" w:type="dxa"/>
            <w:tcBorders>
              <w:top w:val="nil"/>
              <w:left w:val="nil"/>
              <w:bottom w:val="nil"/>
              <w:right w:val="nil"/>
            </w:tcBorders>
            <w:vAlign w:val="center"/>
          </w:tcPr>
          <w:p w14:paraId="7AC2BC7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2.96</w:t>
            </w:r>
          </w:p>
        </w:tc>
        <w:tc>
          <w:tcPr>
            <w:tcW w:w="850" w:type="dxa"/>
            <w:tcBorders>
              <w:top w:val="nil"/>
              <w:left w:val="nil"/>
              <w:bottom w:val="nil"/>
              <w:right w:val="nil"/>
            </w:tcBorders>
            <w:vAlign w:val="center"/>
          </w:tcPr>
          <w:p w14:paraId="1BC61B7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-1.16</w:t>
            </w:r>
          </w:p>
        </w:tc>
      </w:tr>
      <w:tr w:rsidR="00083D72" w:rsidRPr="00785BF3" w14:paraId="2C53B584" w14:textId="77777777" w:rsidTr="002834B0">
        <w:tc>
          <w:tcPr>
            <w:tcW w:w="1276" w:type="dxa"/>
            <w:tcBorders>
              <w:top w:val="nil"/>
              <w:left w:val="nil"/>
              <w:bottom w:val="nil"/>
              <w:right w:val="nil"/>
            </w:tcBorders>
            <w:vAlign w:val="center"/>
          </w:tcPr>
          <w:p w14:paraId="3DF60D2B"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Capex</w:t>
            </w:r>
          </w:p>
        </w:tc>
        <w:tc>
          <w:tcPr>
            <w:tcW w:w="993" w:type="dxa"/>
            <w:tcBorders>
              <w:top w:val="nil"/>
              <w:left w:val="nil"/>
              <w:bottom w:val="nil"/>
              <w:right w:val="nil"/>
            </w:tcBorders>
            <w:vAlign w:val="center"/>
          </w:tcPr>
          <w:p w14:paraId="23640F6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0.04</w:t>
            </w:r>
          </w:p>
        </w:tc>
        <w:tc>
          <w:tcPr>
            <w:tcW w:w="850" w:type="dxa"/>
            <w:tcBorders>
              <w:top w:val="nil"/>
              <w:left w:val="nil"/>
              <w:bottom w:val="nil"/>
              <w:right w:val="nil"/>
            </w:tcBorders>
            <w:vAlign w:val="center"/>
          </w:tcPr>
          <w:p w14:paraId="50AFA1A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0.06</w:t>
            </w:r>
          </w:p>
        </w:tc>
        <w:tc>
          <w:tcPr>
            <w:tcW w:w="709" w:type="dxa"/>
            <w:tcBorders>
              <w:top w:val="nil"/>
              <w:left w:val="nil"/>
              <w:bottom w:val="nil"/>
              <w:right w:val="nil"/>
            </w:tcBorders>
            <w:vAlign w:val="center"/>
          </w:tcPr>
          <w:p w14:paraId="7CD98F8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-0.02</w:t>
            </w:r>
          </w:p>
        </w:tc>
        <w:tc>
          <w:tcPr>
            <w:tcW w:w="992" w:type="dxa"/>
            <w:tcBorders>
              <w:top w:val="nil"/>
              <w:left w:val="nil"/>
              <w:bottom w:val="nil"/>
              <w:right w:val="nil"/>
            </w:tcBorders>
            <w:vAlign w:val="center"/>
          </w:tcPr>
          <w:p w14:paraId="41653F8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992" w:type="dxa"/>
            <w:tcBorders>
              <w:top w:val="nil"/>
              <w:left w:val="nil"/>
              <w:bottom w:val="nil"/>
              <w:right w:val="nil"/>
            </w:tcBorders>
            <w:vAlign w:val="center"/>
          </w:tcPr>
          <w:p w14:paraId="6442410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709" w:type="dxa"/>
            <w:tcBorders>
              <w:top w:val="nil"/>
              <w:left w:val="nil"/>
              <w:bottom w:val="nil"/>
              <w:right w:val="nil"/>
            </w:tcBorders>
            <w:vAlign w:val="center"/>
          </w:tcPr>
          <w:p w14:paraId="5CC6A65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4BE7C21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2.30</w:t>
            </w:r>
          </w:p>
        </w:tc>
        <w:tc>
          <w:tcPr>
            <w:tcW w:w="993" w:type="dxa"/>
            <w:tcBorders>
              <w:top w:val="nil"/>
              <w:left w:val="nil"/>
              <w:bottom w:val="nil"/>
              <w:right w:val="nil"/>
            </w:tcBorders>
            <w:vAlign w:val="center"/>
          </w:tcPr>
          <w:p w14:paraId="150E344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2.39</w:t>
            </w:r>
          </w:p>
        </w:tc>
        <w:tc>
          <w:tcPr>
            <w:tcW w:w="850" w:type="dxa"/>
            <w:tcBorders>
              <w:top w:val="nil"/>
              <w:left w:val="nil"/>
              <w:bottom w:val="nil"/>
              <w:right w:val="nil"/>
            </w:tcBorders>
            <w:vAlign w:val="center"/>
          </w:tcPr>
          <w:p w14:paraId="5CF7DFD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-0.09</w:t>
            </w:r>
          </w:p>
        </w:tc>
      </w:tr>
      <w:tr w:rsidR="00083D72" w:rsidRPr="00785BF3" w14:paraId="45EFDF24" w14:textId="77777777" w:rsidTr="002834B0">
        <w:tc>
          <w:tcPr>
            <w:tcW w:w="1276" w:type="dxa"/>
            <w:tcBorders>
              <w:top w:val="nil"/>
              <w:left w:val="nil"/>
              <w:bottom w:val="single" w:sz="4" w:space="0" w:color="auto"/>
              <w:right w:val="nil"/>
            </w:tcBorders>
            <w:vAlign w:val="center"/>
          </w:tcPr>
          <w:p w14:paraId="22676471"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HHI</w:t>
            </w:r>
          </w:p>
        </w:tc>
        <w:tc>
          <w:tcPr>
            <w:tcW w:w="993" w:type="dxa"/>
            <w:tcBorders>
              <w:top w:val="nil"/>
              <w:left w:val="nil"/>
              <w:bottom w:val="single" w:sz="4" w:space="0" w:color="auto"/>
              <w:right w:val="nil"/>
            </w:tcBorders>
            <w:vAlign w:val="center"/>
          </w:tcPr>
          <w:p w14:paraId="7385149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0.17</w:t>
            </w:r>
          </w:p>
        </w:tc>
        <w:tc>
          <w:tcPr>
            <w:tcW w:w="850" w:type="dxa"/>
            <w:tcBorders>
              <w:top w:val="nil"/>
              <w:left w:val="nil"/>
              <w:bottom w:val="single" w:sz="4" w:space="0" w:color="auto"/>
              <w:right w:val="nil"/>
            </w:tcBorders>
            <w:vAlign w:val="center"/>
          </w:tcPr>
          <w:p w14:paraId="537316D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0.16</w:t>
            </w:r>
          </w:p>
        </w:tc>
        <w:tc>
          <w:tcPr>
            <w:tcW w:w="709" w:type="dxa"/>
            <w:tcBorders>
              <w:top w:val="nil"/>
              <w:left w:val="nil"/>
              <w:bottom w:val="single" w:sz="4" w:space="0" w:color="auto"/>
              <w:right w:val="nil"/>
            </w:tcBorders>
            <w:vAlign w:val="center"/>
          </w:tcPr>
          <w:p w14:paraId="0140A61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c>
          <w:tcPr>
            <w:tcW w:w="992" w:type="dxa"/>
            <w:tcBorders>
              <w:top w:val="nil"/>
              <w:left w:val="nil"/>
              <w:bottom w:val="single" w:sz="4" w:space="0" w:color="auto"/>
              <w:right w:val="nil"/>
            </w:tcBorders>
            <w:vAlign w:val="center"/>
          </w:tcPr>
          <w:p w14:paraId="2831056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992" w:type="dxa"/>
            <w:tcBorders>
              <w:top w:val="nil"/>
              <w:left w:val="nil"/>
              <w:bottom w:val="single" w:sz="4" w:space="0" w:color="auto"/>
              <w:right w:val="nil"/>
            </w:tcBorders>
            <w:vAlign w:val="center"/>
          </w:tcPr>
          <w:p w14:paraId="7BA9A8C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0.01</w:t>
            </w:r>
          </w:p>
        </w:tc>
        <w:tc>
          <w:tcPr>
            <w:tcW w:w="709" w:type="dxa"/>
            <w:tcBorders>
              <w:top w:val="nil"/>
              <w:left w:val="nil"/>
              <w:bottom w:val="single" w:sz="4" w:space="0" w:color="auto"/>
              <w:right w:val="nil"/>
            </w:tcBorders>
            <w:vAlign w:val="center"/>
          </w:tcPr>
          <w:p w14:paraId="36BC7D2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c>
          <w:tcPr>
            <w:tcW w:w="992" w:type="dxa"/>
            <w:tcBorders>
              <w:top w:val="nil"/>
              <w:left w:val="nil"/>
              <w:bottom w:val="single" w:sz="4" w:space="0" w:color="auto"/>
              <w:right w:val="nil"/>
            </w:tcBorders>
            <w:vAlign w:val="center"/>
          </w:tcPr>
          <w:p w14:paraId="781ADCE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2.63</w:t>
            </w:r>
          </w:p>
        </w:tc>
        <w:tc>
          <w:tcPr>
            <w:tcW w:w="993" w:type="dxa"/>
            <w:tcBorders>
              <w:top w:val="nil"/>
              <w:left w:val="nil"/>
              <w:bottom w:val="single" w:sz="4" w:space="0" w:color="auto"/>
              <w:right w:val="nil"/>
            </w:tcBorders>
            <w:vAlign w:val="center"/>
          </w:tcPr>
          <w:p w14:paraId="399A1EB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3.69</w:t>
            </w:r>
          </w:p>
        </w:tc>
        <w:tc>
          <w:tcPr>
            <w:tcW w:w="850" w:type="dxa"/>
            <w:tcBorders>
              <w:top w:val="nil"/>
              <w:left w:val="nil"/>
              <w:bottom w:val="single" w:sz="4" w:space="0" w:color="auto"/>
              <w:right w:val="nil"/>
            </w:tcBorders>
            <w:vAlign w:val="center"/>
          </w:tcPr>
          <w:p w14:paraId="6898B8A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-1.06</w:t>
            </w:r>
          </w:p>
        </w:tc>
      </w:tr>
    </w:tbl>
    <w:p w14:paraId="1E503C13" w14:textId="77777777" w:rsidR="00083D72" w:rsidRPr="00785BF3" w:rsidRDefault="00083D72" w:rsidP="00083D72">
      <w:pPr>
        <w:rPr>
          <w:rFonts w:ascii="Times New Roman" w:hAnsi="Times New Roman" w:cs="Times New Roman"/>
          <w:sz w:val="19"/>
          <w:szCs w:val="19"/>
        </w:rPr>
      </w:pPr>
    </w:p>
    <w:tbl>
      <w:tblPr>
        <w:tblStyle w:val="TableGrid"/>
        <w:tblW w:w="9356" w:type="dxa"/>
        <w:tblInd w:w="-142" w:type="dxa"/>
        <w:tblLayout w:type="fixed"/>
        <w:tblLook w:val="04A0" w:firstRow="1" w:lastRow="0" w:firstColumn="1" w:lastColumn="0" w:noHBand="0" w:noVBand="1"/>
      </w:tblPr>
      <w:tblGrid>
        <w:gridCol w:w="1276"/>
        <w:gridCol w:w="993"/>
        <w:gridCol w:w="850"/>
        <w:gridCol w:w="709"/>
        <w:gridCol w:w="992"/>
        <w:gridCol w:w="992"/>
        <w:gridCol w:w="709"/>
        <w:gridCol w:w="992"/>
        <w:gridCol w:w="993"/>
        <w:gridCol w:w="850"/>
      </w:tblGrid>
      <w:tr w:rsidR="00083D72" w:rsidRPr="00785BF3" w14:paraId="0F6389EB" w14:textId="77777777" w:rsidTr="002834B0">
        <w:tc>
          <w:tcPr>
            <w:tcW w:w="9356" w:type="dxa"/>
            <w:gridSpan w:val="10"/>
            <w:tcBorders>
              <w:left w:val="nil"/>
              <w:bottom w:val="single" w:sz="4" w:space="0" w:color="auto"/>
              <w:right w:val="nil"/>
            </w:tcBorders>
            <w:vAlign w:val="center"/>
          </w:tcPr>
          <w:p w14:paraId="071D702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b/>
                <w:sz w:val="19"/>
                <w:szCs w:val="19"/>
                <w:lang w:val="en-US"/>
              </w:rPr>
              <w:t>Panel B</w:t>
            </w:r>
            <w:r w:rsidRPr="00785BF3">
              <w:rPr>
                <w:rFonts w:ascii="Times New Roman" w:hAnsi="Times New Roman"/>
                <w:sz w:val="19"/>
                <w:szCs w:val="19"/>
                <w:lang w:val="en-US"/>
              </w:rPr>
              <w:t>: Differences in Observables (covariates) Post-Entropy Balancing</w:t>
            </w:r>
          </w:p>
        </w:tc>
      </w:tr>
      <w:tr w:rsidR="00083D72" w:rsidRPr="00785BF3" w14:paraId="3FCDB262" w14:textId="77777777" w:rsidTr="002834B0">
        <w:tc>
          <w:tcPr>
            <w:tcW w:w="1276" w:type="dxa"/>
            <w:tcBorders>
              <w:left w:val="nil"/>
              <w:bottom w:val="nil"/>
              <w:right w:val="nil"/>
            </w:tcBorders>
            <w:vAlign w:val="center"/>
          </w:tcPr>
          <w:p w14:paraId="78AEAD5F" w14:textId="77777777" w:rsidR="00083D72" w:rsidRPr="00785BF3" w:rsidRDefault="00083D72" w:rsidP="00744119">
            <w:pPr>
              <w:pStyle w:val="NoSpacing"/>
              <w:rPr>
                <w:rFonts w:ascii="Times New Roman" w:hAnsi="Times New Roman"/>
                <w:sz w:val="19"/>
                <w:szCs w:val="19"/>
                <w:lang w:val="en-US"/>
              </w:rPr>
            </w:pPr>
          </w:p>
        </w:tc>
        <w:tc>
          <w:tcPr>
            <w:tcW w:w="993" w:type="dxa"/>
            <w:tcBorders>
              <w:left w:val="nil"/>
              <w:bottom w:val="nil"/>
              <w:right w:val="nil"/>
            </w:tcBorders>
            <w:vAlign w:val="center"/>
          </w:tcPr>
          <w:p w14:paraId="603E0DC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Mean</w:t>
            </w:r>
          </w:p>
        </w:tc>
        <w:tc>
          <w:tcPr>
            <w:tcW w:w="850" w:type="dxa"/>
            <w:tcBorders>
              <w:left w:val="nil"/>
              <w:bottom w:val="nil"/>
              <w:right w:val="nil"/>
            </w:tcBorders>
            <w:vAlign w:val="center"/>
          </w:tcPr>
          <w:p w14:paraId="47A32CF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Mean</w:t>
            </w:r>
          </w:p>
        </w:tc>
        <w:tc>
          <w:tcPr>
            <w:tcW w:w="709" w:type="dxa"/>
            <w:vMerge w:val="restart"/>
            <w:tcBorders>
              <w:left w:val="nil"/>
              <w:right w:val="nil"/>
            </w:tcBorders>
            <w:vAlign w:val="center"/>
          </w:tcPr>
          <w:p w14:paraId="59FFBC0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Diff.</w:t>
            </w:r>
          </w:p>
        </w:tc>
        <w:tc>
          <w:tcPr>
            <w:tcW w:w="992" w:type="dxa"/>
            <w:tcBorders>
              <w:left w:val="nil"/>
              <w:bottom w:val="nil"/>
              <w:right w:val="nil"/>
            </w:tcBorders>
            <w:vAlign w:val="center"/>
          </w:tcPr>
          <w:p w14:paraId="42DCD49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Variance</w:t>
            </w:r>
          </w:p>
        </w:tc>
        <w:tc>
          <w:tcPr>
            <w:tcW w:w="992" w:type="dxa"/>
            <w:tcBorders>
              <w:left w:val="nil"/>
              <w:bottom w:val="nil"/>
              <w:right w:val="nil"/>
            </w:tcBorders>
            <w:vAlign w:val="center"/>
          </w:tcPr>
          <w:p w14:paraId="2CD3CD3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Variance</w:t>
            </w:r>
          </w:p>
        </w:tc>
        <w:tc>
          <w:tcPr>
            <w:tcW w:w="709" w:type="dxa"/>
            <w:vMerge w:val="restart"/>
            <w:tcBorders>
              <w:left w:val="nil"/>
              <w:right w:val="nil"/>
            </w:tcBorders>
            <w:vAlign w:val="center"/>
          </w:tcPr>
          <w:p w14:paraId="547396B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Diff.</w:t>
            </w:r>
          </w:p>
        </w:tc>
        <w:tc>
          <w:tcPr>
            <w:tcW w:w="992" w:type="dxa"/>
            <w:tcBorders>
              <w:left w:val="nil"/>
              <w:bottom w:val="nil"/>
              <w:right w:val="nil"/>
            </w:tcBorders>
            <w:vAlign w:val="center"/>
          </w:tcPr>
          <w:p w14:paraId="716989A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Skewness</w:t>
            </w:r>
          </w:p>
        </w:tc>
        <w:tc>
          <w:tcPr>
            <w:tcW w:w="993" w:type="dxa"/>
            <w:tcBorders>
              <w:left w:val="nil"/>
              <w:bottom w:val="nil"/>
              <w:right w:val="nil"/>
            </w:tcBorders>
            <w:vAlign w:val="center"/>
          </w:tcPr>
          <w:p w14:paraId="78D294B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Skewness</w:t>
            </w:r>
          </w:p>
        </w:tc>
        <w:tc>
          <w:tcPr>
            <w:tcW w:w="850" w:type="dxa"/>
            <w:vMerge w:val="restart"/>
            <w:tcBorders>
              <w:left w:val="nil"/>
              <w:right w:val="nil"/>
            </w:tcBorders>
            <w:vAlign w:val="center"/>
          </w:tcPr>
          <w:p w14:paraId="41A05AF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Diff.</w:t>
            </w:r>
          </w:p>
        </w:tc>
      </w:tr>
      <w:tr w:rsidR="00083D72" w:rsidRPr="00785BF3" w14:paraId="4F357BB5" w14:textId="77777777" w:rsidTr="002834B0">
        <w:tc>
          <w:tcPr>
            <w:tcW w:w="1276" w:type="dxa"/>
            <w:tcBorders>
              <w:top w:val="nil"/>
              <w:left w:val="nil"/>
              <w:bottom w:val="single" w:sz="4" w:space="0" w:color="auto"/>
              <w:right w:val="nil"/>
            </w:tcBorders>
            <w:vAlign w:val="center"/>
          </w:tcPr>
          <w:p w14:paraId="5141237B"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Covariates</w:t>
            </w:r>
          </w:p>
        </w:tc>
        <w:tc>
          <w:tcPr>
            <w:tcW w:w="993" w:type="dxa"/>
            <w:tcBorders>
              <w:top w:val="nil"/>
              <w:left w:val="nil"/>
              <w:bottom w:val="single" w:sz="4" w:space="0" w:color="auto"/>
              <w:right w:val="nil"/>
            </w:tcBorders>
            <w:vAlign w:val="center"/>
          </w:tcPr>
          <w:p w14:paraId="4AFB034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Treated</w:t>
            </w:r>
          </w:p>
        </w:tc>
        <w:tc>
          <w:tcPr>
            <w:tcW w:w="850" w:type="dxa"/>
            <w:tcBorders>
              <w:top w:val="nil"/>
              <w:left w:val="nil"/>
              <w:bottom w:val="single" w:sz="4" w:space="0" w:color="auto"/>
              <w:right w:val="nil"/>
            </w:tcBorders>
            <w:vAlign w:val="center"/>
          </w:tcPr>
          <w:p w14:paraId="1AB942E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Control</w:t>
            </w:r>
          </w:p>
        </w:tc>
        <w:tc>
          <w:tcPr>
            <w:tcW w:w="709" w:type="dxa"/>
            <w:vMerge/>
            <w:tcBorders>
              <w:left w:val="nil"/>
              <w:bottom w:val="single" w:sz="4" w:space="0" w:color="auto"/>
              <w:right w:val="nil"/>
            </w:tcBorders>
            <w:vAlign w:val="center"/>
          </w:tcPr>
          <w:p w14:paraId="5047C99E"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6D0E935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Treated</w:t>
            </w:r>
          </w:p>
        </w:tc>
        <w:tc>
          <w:tcPr>
            <w:tcW w:w="992" w:type="dxa"/>
            <w:tcBorders>
              <w:top w:val="nil"/>
              <w:left w:val="nil"/>
              <w:bottom w:val="single" w:sz="4" w:space="0" w:color="auto"/>
              <w:right w:val="nil"/>
            </w:tcBorders>
            <w:vAlign w:val="center"/>
          </w:tcPr>
          <w:p w14:paraId="6337E58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Control</w:t>
            </w:r>
          </w:p>
        </w:tc>
        <w:tc>
          <w:tcPr>
            <w:tcW w:w="709" w:type="dxa"/>
            <w:vMerge/>
            <w:tcBorders>
              <w:left w:val="nil"/>
              <w:bottom w:val="single" w:sz="4" w:space="0" w:color="auto"/>
              <w:right w:val="nil"/>
            </w:tcBorders>
            <w:vAlign w:val="center"/>
          </w:tcPr>
          <w:p w14:paraId="726DFD74"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00A143E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Treated</w:t>
            </w:r>
          </w:p>
        </w:tc>
        <w:tc>
          <w:tcPr>
            <w:tcW w:w="993" w:type="dxa"/>
            <w:tcBorders>
              <w:top w:val="nil"/>
              <w:left w:val="nil"/>
              <w:bottom w:val="single" w:sz="4" w:space="0" w:color="auto"/>
              <w:right w:val="nil"/>
            </w:tcBorders>
            <w:vAlign w:val="center"/>
          </w:tcPr>
          <w:p w14:paraId="45B7AD7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Control</w:t>
            </w:r>
          </w:p>
        </w:tc>
        <w:tc>
          <w:tcPr>
            <w:tcW w:w="850" w:type="dxa"/>
            <w:vMerge/>
            <w:tcBorders>
              <w:left w:val="nil"/>
              <w:bottom w:val="single" w:sz="4" w:space="0" w:color="auto"/>
              <w:right w:val="nil"/>
            </w:tcBorders>
            <w:vAlign w:val="center"/>
          </w:tcPr>
          <w:p w14:paraId="3285B9CB" w14:textId="77777777" w:rsidR="00083D72" w:rsidRPr="00785BF3" w:rsidRDefault="00083D72" w:rsidP="00744119">
            <w:pPr>
              <w:pStyle w:val="NoSpacing"/>
              <w:jc w:val="center"/>
              <w:rPr>
                <w:rFonts w:ascii="Times New Roman" w:hAnsi="Times New Roman"/>
                <w:sz w:val="19"/>
                <w:szCs w:val="19"/>
                <w:lang w:val="en-US"/>
              </w:rPr>
            </w:pPr>
          </w:p>
        </w:tc>
      </w:tr>
      <w:tr w:rsidR="00083D72" w:rsidRPr="00785BF3" w14:paraId="7A165118" w14:textId="77777777" w:rsidTr="002834B0">
        <w:tc>
          <w:tcPr>
            <w:tcW w:w="1276" w:type="dxa"/>
            <w:tcBorders>
              <w:top w:val="single" w:sz="4" w:space="0" w:color="auto"/>
              <w:left w:val="nil"/>
              <w:bottom w:val="nil"/>
              <w:right w:val="nil"/>
            </w:tcBorders>
            <w:vAlign w:val="center"/>
          </w:tcPr>
          <w:p w14:paraId="51D7BC39"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Size</w:t>
            </w:r>
          </w:p>
        </w:tc>
        <w:tc>
          <w:tcPr>
            <w:tcW w:w="993" w:type="dxa"/>
            <w:tcBorders>
              <w:top w:val="single" w:sz="4" w:space="0" w:color="auto"/>
              <w:left w:val="nil"/>
              <w:bottom w:val="nil"/>
              <w:right w:val="nil"/>
            </w:tcBorders>
            <w:vAlign w:val="center"/>
          </w:tcPr>
          <w:p w14:paraId="5C5CBF0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7.96</w:t>
            </w:r>
          </w:p>
        </w:tc>
        <w:tc>
          <w:tcPr>
            <w:tcW w:w="850" w:type="dxa"/>
            <w:tcBorders>
              <w:top w:val="single" w:sz="4" w:space="0" w:color="auto"/>
              <w:left w:val="nil"/>
              <w:bottom w:val="nil"/>
              <w:right w:val="nil"/>
            </w:tcBorders>
            <w:vAlign w:val="center"/>
          </w:tcPr>
          <w:p w14:paraId="6D18839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7.96</w:t>
            </w:r>
          </w:p>
        </w:tc>
        <w:tc>
          <w:tcPr>
            <w:tcW w:w="709" w:type="dxa"/>
            <w:tcBorders>
              <w:top w:val="single" w:sz="4" w:space="0" w:color="auto"/>
              <w:left w:val="nil"/>
              <w:bottom w:val="nil"/>
              <w:right w:val="nil"/>
            </w:tcBorders>
            <w:vAlign w:val="center"/>
          </w:tcPr>
          <w:p w14:paraId="607C5BB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single" w:sz="4" w:space="0" w:color="auto"/>
              <w:left w:val="nil"/>
              <w:bottom w:val="nil"/>
              <w:right w:val="nil"/>
            </w:tcBorders>
            <w:vAlign w:val="center"/>
          </w:tcPr>
          <w:p w14:paraId="1DD6859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3.48</w:t>
            </w:r>
          </w:p>
        </w:tc>
        <w:tc>
          <w:tcPr>
            <w:tcW w:w="992" w:type="dxa"/>
            <w:tcBorders>
              <w:top w:val="single" w:sz="4" w:space="0" w:color="auto"/>
              <w:left w:val="nil"/>
              <w:bottom w:val="nil"/>
              <w:right w:val="nil"/>
            </w:tcBorders>
            <w:vAlign w:val="center"/>
          </w:tcPr>
          <w:p w14:paraId="49D0E2F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4.88</w:t>
            </w:r>
          </w:p>
        </w:tc>
        <w:tc>
          <w:tcPr>
            <w:tcW w:w="709" w:type="dxa"/>
            <w:tcBorders>
              <w:top w:val="single" w:sz="4" w:space="0" w:color="auto"/>
              <w:left w:val="nil"/>
              <w:bottom w:val="nil"/>
              <w:right w:val="nil"/>
            </w:tcBorders>
            <w:vAlign w:val="center"/>
          </w:tcPr>
          <w:p w14:paraId="6D9F7B5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-1.4</w:t>
            </w:r>
          </w:p>
        </w:tc>
        <w:tc>
          <w:tcPr>
            <w:tcW w:w="992" w:type="dxa"/>
            <w:tcBorders>
              <w:top w:val="single" w:sz="4" w:space="0" w:color="auto"/>
              <w:left w:val="nil"/>
              <w:bottom w:val="nil"/>
              <w:right w:val="nil"/>
            </w:tcBorders>
            <w:vAlign w:val="center"/>
          </w:tcPr>
          <w:p w14:paraId="1A4B842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0.05</w:t>
            </w:r>
          </w:p>
        </w:tc>
        <w:tc>
          <w:tcPr>
            <w:tcW w:w="993" w:type="dxa"/>
            <w:tcBorders>
              <w:top w:val="single" w:sz="4" w:space="0" w:color="auto"/>
              <w:left w:val="nil"/>
              <w:bottom w:val="nil"/>
              <w:right w:val="nil"/>
            </w:tcBorders>
            <w:vAlign w:val="center"/>
          </w:tcPr>
          <w:p w14:paraId="5E18E9C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-0.27</w:t>
            </w:r>
          </w:p>
        </w:tc>
        <w:tc>
          <w:tcPr>
            <w:tcW w:w="850" w:type="dxa"/>
            <w:tcBorders>
              <w:top w:val="single" w:sz="4" w:space="0" w:color="auto"/>
              <w:left w:val="nil"/>
              <w:bottom w:val="nil"/>
              <w:right w:val="nil"/>
            </w:tcBorders>
            <w:vAlign w:val="center"/>
          </w:tcPr>
          <w:p w14:paraId="7CCDB143"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0.32</w:t>
            </w:r>
          </w:p>
        </w:tc>
      </w:tr>
      <w:tr w:rsidR="00083D72" w:rsidRPr="00785BF3" w14:paraId="41082F61" w14:textId="77777777" w:rsidTr="002834B0">
        <w:tc>
          <w:tcPr>
            <w:tcW w:w="1276" w:type="dxa"/>
            <w:tcBorders>
              <w:top w:val="nil"/>
              <w:left w:val="nil"/>
              <w:bottom w:val="nil"/>
              <w:right w:val="nil"/>
            </w:tcBorders>
            <w:vAlign w:val="center"/>
          </w:tcPr>
          <w:p w14:paraId="45320C5D"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Firm Age</w:t>
            </w:r>
          </w:p>
        </w:tc>
        <w:tc>
          <w:tcPr>
            <w:tcW w:w="993" w:type="dxa"/>
            <w:tcBorders>
              <w:top w:val="nil"/>
              <w:left w:val="nil"/>
              <w:bottom w:val="nil"/>
              <w:right w:val="nil"/>
            </w:tcBorders>
            <w:vAlign w:val="center"/>
          </w:tcPr>
          <w:p w14:paraId="2C11355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3.61</w:t>
            </w:r>
          </w:p>
        </w:tc>
        <w:tc>
          <w:tcPr>
            <w:tcW w:w="850" w:type="dxa"/>
            <w:tcBorders>
              <w:top w:val="nil"/>
              <w:left w:val="nil"/>
              <w:bottom w:val="nil"/>
              <w:right w:val="nil"/>
            </w:tcBorders>
            <w:vAlign w:val="center"/>
          </w:tcPr>
          <w:p w14:paraId="2B38E1A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3.61</w:t>
            </w:r>
          </w:p>
        </w:tc>
        <w:tc>
          <w:tcPr>
            <w:tcW w:w="709" w:type="dxa"/>
            <w:tcBorders>
              <w:top w:val="nil"/>
              <w:left w:val="nil"/>
              <w:bottom w:val="nil"/>
              <w:right w:val="nil"/>
            </w:tcBorders>
            <w:vAlign w:val="center"/>
          </w:tcPr>
          <w:p w14:paraId="4035148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4F61C24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0.14</w:t>
            </w:r>
          </w:p>
        </w:tc>
        <w:tc>
          <w:tcPr>
            <w:tcW w:w="992" w:type="dxa"/>
            <w:tcBorders>
              <w:top w:val="nil"/>
              <w:left w:val="nil"/>
              <w:bottom w:val="nil"/>
              <w:right w:val="nil"/>
            </w:tcBorders>
            <w:vAlign w:val="center"/>
          </w:tcPr>
          <w:p w14:paraId="746811C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0.18</w:t>
            </w:r>
          </w:p>
        </w:tc>
        <w:tc>
          <w:tcPr>
            <w:tcW w:w="709" w:type="dxa"/>
            <w:tcBorders>
              <w:top w:val="nil"/>
              <w:left w:val="nil"/>
              <w:bottom w:val="nil"/>
              <w:right w:val="nil"/>
            </w:tcBorders>
            <w:vAlign w:val="center"/>
          </w:tcPr>
          <w:p w14:paraId="57802C7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-0.04</w:t>
            </w:r>
          </w:p>
        </w:tc>
        <w:tc>
          <w:tcPr>
            <w:tcW w:w="992" w:type="dxa"/>
            <w:tcBorders>
              <w:top w:val="nil"/>
              <w:left w:val="nil"/>
              <w:bottom w:val="nil"/>
              <w:right w:val="nil"/>
            </w:tcBorders>
            <w:vAlign w:val="center"/>
          </w:tcPr>
          <w:p w14:paraId="6B37554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-1.14</w:t>
            </w:r>
          </w:p>
        </w:tc>
        <w:tc>
          <w:tcPr>
            <w:tcW w:w="993" w:type="dxa"/>
            <w:tcBorders>
              <w:top w:val="nil"/>
              <w:left w:val="nil"/>
              <w:bottom w:val="nil"/>
              <w:right w:val="nil"/>
            </w:tcBorders>
            <w:vAlign w:val="center"/>
          </w:tcPr>
          <w:p w14:paraId="44D07D6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-0.90</w:t>
            </w:r>
          </w:p>
        </w:tc>
        <w:tc>
          <w:tcPr>
            <w:tcW w:w="850" w:type="dxa"/>
            <w:tcBorders>
              <w:top w:val="nil"/>
              <w:left w:val="nil"/>
              <w:bottom w:val="nil"/>
              <w:right w:val="nil"/>
            </w:tcBorders>
            <w:vAlign w:val="center"/>
          </w:tcPr>
          <w:p w14:paraId="0D66EFBF"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-0.24</w:t>
            </w:r>
          </w:p>
        </w:tc>
      </w:tr>
      <w:tr w:rsidR="00083D72" w:rsidRPr="00785BF3" w14:paraId="74FB4AC9" w14:textId="77777777" w:rsidTr="002834B0">
        <w:tc>
          <w:tcPr>
            <w:tcW w:w="1276" w:type="dxa"/>
            <w:tcBorders>
              <w:top w:val="nil"/>
              <w:left w:val="nil"/>
              <w:bottom w:val="nil"/>
              <w:right w:val="nil"/>
            </w:tcBorders>
            <w:vAlign w:val="center"/>
          </w:tcPr>
          <w:p w14:paraId="720E7088"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MB</w:t>
            </w:r>
          </w:p>
        </w:tc>
        <w:tc>
          <w:tcPr>
            <w:tcW w:w="993" w:type="dxa"/>
            <w:tcBorders>
              <w:top w:val="nil"/>
              <w:left w:val="nil"/>
              <w:bottom w:val="nil"/>
              <w:right w:val="nil"/>
            </w:tcBorders>
            <w:vAlign w:val="center"/>
          </w:tcPr>
          <w:p w14:paraId="2EFFF88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1.92</w:t>
            </w:r>
          </w:p>
        </w:tc>
        <w:tc>
          <w:tcPr>
            <w:tcW w:w="850" w:type="dxa"/>
            <w:tcBorders>
              <w:top w:val="nil"/>
              <w:left w:val="nil"/>
              <w:bottom w:val="nil"/>
              <w:right w:val="nil"/>
            </w:tcBorders>
            <w:vAlign w:val="center"/>
          </w:tcPr>
          <w:p w14:paraId="2CED6AA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1.92</w:t>
            </w:r>
          </w:p>
        </w:tc>
        <w:tc>
          <w:tcPr>
            <w:tcW w:w="709" w:type="dxa"/>
            <w:tcBorders>
              <w:top w:val="nil"/>
              <w:left w:val="nil"/>
              <w:bottom w:val="nil"/>
              <w:right w:val="nil"/>
            </w:tcBorders>
            <w:vAlign w:val="center"/>
          </w:tcPr>
          <w:p w14:paraId="2B21FAF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51A67FB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2.89</w:t>
            </w:r>
          </w:p>
        </w:tc>
        <w:tc>
          <w:tcPr>
            <w:tcW w:w="992" w:type="dxa"/>
            <w:tcBorders>
              <w:top w:val="nil"/>
              <w:left w:val="nil"/>
              <w:bottom w:val="nil"/>
              <w:right w:val="nil"/>
            </w:tcBorders>
            <w:vAlign w:val="center"/>
          </w:tcPr>
          <w:p w14:paraId="7B7E9E7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1.76</w:t>
            </w:r>
          </w:p>
        </w:tc>
        <w:tc>
          <w:tcPr>
            <w:tcW w:w="709" w:type="dxa"/>
            <w:tcBorders>
              <w:top w:val="nil"/>
              <w:left w:val="nil"/>
              <w:bottom w:val="nil"/>
              <w:right w:val="nil"/>
            </w:tcBorders>
            <w:vAlign w:val="center"/>
          </w:tcPr>
          <w:p w14:paraId="439144C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1.13</w:t>
            </w:r>
          </w:p>
        </w:tc>
        <w:tc>
          <w:tcPr>
            <w:tcW w:w="992" w:type="dxa"/>
            <w:tcBorders>
              <w:top w:val="nil"/>
              <w:left w:val="nil"/>
              <w:bottom w:val="nil"/>
              <w:right w:val="nil"/>
            </w:tcBorders>
            <w:vAlign w:val="center"/>
          </w:tcPr>
          <w:p w14:paraId="37080CD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3.53</w:t>
            </w:r>
          </w:p>
        </w:tc>
        <w:tc>
          <w:tcPr>
            <w:tcW w:w="993" w:type="dxa"/>
            <w:tcBorders>
              <w:top w:val="nil"/>
              <w:left w:val="nil"/>
              <w:bottom w:val="nil"/>
              <w:right w:val="nil"/>
            </w:tcBorders>
            <w:vAlign w:val="center"/>
          </w:tcPr>
          <w:p w14:paraId="4AE059D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3.06</w:t>
            </w:r>
          </w:p>
        </w:tc>
        <w:tc>
          <w:tcPr>
            <w:tcW w:w="850" w:type="dxa"/>
            <w:tcBorders>
              <w:top w:val="nil"/>
              <w:left w:val="nil"/>
              <w:bottom w:val="nil"/>
              <w:right w:val="nil"/>
            </w:tcBorders>
            <w:vAlign w:val="center"/>
          </w:tcPr>
          <w:p w14:paraId="1BE32B27"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0.47</w:t>
            </w:r>
          </w:p>
        </w:tc>
      </w:tr>
      <w:tr w:rsidR="00083D72" w:rsidRPr="00785BF3" w14:paraId="174997B5" w14:textId="77777777" w:rsidTr="002834B0">
        <w:tc>
          <w:tcPr>
            <w:tcW w:w="1276" w:type="dxa"/>
            <w:tcBorders>
              <w:top w:val="nil"/>
              <w:left w:val="nil"/>
              <w:bottom w:val="nil"/>
              <w:right w:val="nil"/>
            </w:tcBorders>
            <w:shd w:val="clear" w:color="auto" w:fill="auto"/>
            <w:vAlign w:val="center"/>
          </w:tcPr>
          <w:p w14:paraId="6770F621"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EBITDA</w:t>
            </w:r>
          </w:p>
        </w:tc>
        <w:tc>
          <w:tcPr>
            <w:tcW w:w="993" w:type="dxa"/>
            <w:tcBorders>
              <w:top w:val="nil"/>
              <w:left w:val="nil"/>
              <w:bottom w:val="nil"/>
              <w:right w:val="nil"/>
            </w:tcBorders>
            <w:shd w:val="clear" w:color="auto" w:fill="auto"/>
            <w:vAlign w:val="center"/>
          </w:tcPr>
          <w:p w14:paraId="739F4C9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0.13</w:t>
            </w:r>
          </w:p>
        </w:tc>
        <w:tc>
          <w:tcPr>
            <w:tcW w:w="850" w:type="dxa"/>
            <w:tcBorders>
              <w:top w:val="nil"/>
              <w:left w:val="nil"/>
              <w:bottom w:val="nil"/>
              <w:right w:val="nil"/>
            </w:tcBorders>
            <w:shd w:val="clear" w:color="auto" w:fill="auto"/>
            <w:vAlign w:val="center"/>
          </w:tcPr>
          <w:p w14:paraId="414A3FA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0.13</w:t>
            </w:r>
          </w:p>
        </w:tc>
        <w:tc>
          <w:tcPr>
            <w:tcW w:w="709" w:type="dxa"/>
            <w:tcBorders>
              <w:top w:val="nil"/>
              <w:left w:val="nil"/>
              <w:bottom w:val="nil"/>
              <w:right w:val="nil"/>
            </w:tcBorders>
            <w:shd w:val="clear" w:color="auto" w:fill="auto"/>
            <w:vAlign w:val="center"/>
          </w:tcPr>
          <w:p w14:paraId="5879D5B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shd w:val="clear" w:color="auto" w:fill="auto"/>
            <w:vAlign w:val="center"/>
          </w:tcPr>
          <w:p w14:paraId="5509CA9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0.01</w:t>
            </w:r>
          </w:p>
        </w:tc>
        <w:tc>
          <w:tcPr>
            <w:tcW w:w="992" w:type="dxa"/>
            <w:tcBorders>
              <w:top w:val="nil"/>
              <w:left w:val="nil"/>
              <w:bottom w:val="nil"/>
              <w:right w:val="nil"/>
            </w:tcBorders>
            <w:shd w:val="clear" w:color="auto" w:fill="auto"/>
            <w:vAlign w:val="center"/>
          </w:tcPr>
          <w:p w14:paraId="73ACEFC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0.01</w:t>
            </w:r>
          </w:p>
        </w:tc>
        <w:tc>
          <w:tcPr>
            <w:tcW w:w="709" w:type="dxa"/>
            <w:tcBorders>
              <w:top w:val="nil"/>
              <w:left w:val="nil"/>
              <w:bottom w:val="nil"/>
              <w:right w:val="nil"/>
            </w:tcBorders>
            <w:shd w:val="clear" w:color="auto" w:fill="auto"/>
            <w:vAlign w:val="center"/>
          </w:tcPr>
          <w:p w14:paraId="4C77434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shd w:val="clear" w:color="auto" w:fill="auto"/>
            <w:vAlign w:val="center"/>
          </w:tcPr>
          <w:p w14:paraId="165C545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1.07</w:t>
            </w:r>
          </w:p>
        </w:tc>
        <w:tc>
          <w:tcPr>
            <w:tcW w:w="993" w:type="dxa"/>
            <w:tcBorders>
              <w:top w:val="nil"/>
              <w:left w:val="nil"/>
              <w:bottom w:val="nil"/>
              <w:right w:val="nil"/>
            </w:tcBorders>
            <w:shd w:val="clear" w:color="auto" w:fill="auto"/>
            <w:vAlign w:val="center"/>
          </w:tcPr>
          <w:p w14:paraId="6F1CF9E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-0.03</w:t>
            </w:r>
          </w:p>
        </w:tc>
        <w:tc>
          <w:tcPr>
            <w:tcW w:w="850" w:type="dxa"/>
            <w:tcBorders>
              <w:top w:val="nil"/>
              <w:left w:val="nil"/>
              <w:bottom w:val="nil"/>
              <w:right w:val="nil"/>
            </w:tcBorders>
            <w:shd w:val="clear" w:color="auto" w:fill="auto"/>
            <w:vAlign w:val="center"/>
          </w:tcPr>
          <w:p w14:paraId="45ACF541"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1.10</w:t>
            </w:r>
          </w:p>
        </w:tc>
      </w:tr>
      <w:tr w:rsidR="00083D72" w:rsidRPr="00785BF3" w14:paraId="6A4470BD" w14:textId="77777777" w:rsidTr="002834B0">
        <w:tc>
          <w:tcPr>
            <w:tcW w:w="1276" w:type="dxa"/>
            <w:tcBorders>
              <w:top w:val="nil"/>
              <w:left w:val="nil"/>
              <w:bottom w:val="nil"/>
              <w:right w:val="nil"/>
            </w:tcBorders>
            <w:vAlign w:val="center"/>
          </w:tcPr>
          <w:p w14:paraId="7D4DAD1A" w14:textId="77777777" w:rsidR="00083D72" w:rsidRPr="00785BF3" w:rsidRDefault="00083D72" w:rsidP="00744119">
            <w:pPr>
              <w:pStyle w:val="NoSpacing"/>
              <w:rPr>
                <w:rFonts w:ascii="Times New Roman" w:hAnsi="Times New Roman"/>
                <w:sz w:val="19"/>
                <w:szCs w:val="19"/>
                <w:lang w:val="en-US"/>
              </w:rPr>
            </w:pPr>
            <w:proofErr w:type="spellStart"/>
            <w:r w:rsidRPr="00785BF3">
              <w:rPr>
                <w:rFonts w:ascii="Times New Roman" w:hAnsi="Times New Roman"/>
                <w:sz w:val="19"/>
                <w:szCs w:val="19"/>
                <w:lang w:val="en-US"/>
              </w:rPr>
              <w:t>EarningsAR</w:t>
            </w:r>
            <w:proofErr w:type="spellEnd"/>
          </w:p>
        </w:tc>
        <w:tc>
          <w:tcPr>
            <w:tcW w:w="993" w:type="dxa"/>
            <w:tcBorders>
              <w:top w:val="nil"/>
              <w:left w:val="nil"/>
              <w:bottom w:val="nil"/>
              <w:right w:val="nil"/>
            </w:tcBorders>
            <w:vAlign w:val="center"/>
          </w:tcPr>
          <w:p w14:paraId="27F6C10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-0.31</w:t>
            </w:r>
          </w:p>
        </w:tc>
        <w:tc>
          <w:tcPr>
            <w:tcW w:w="850" w:type="dxa"/>
            <w:tcBorders>
              <w:top w:val="nil"/>
              <w:left w:val="nil"/>
              <w:bottom w:val="nil"/>
              <w:right w:val="nil"/>
            </w:tcBorders>
            <w:vAlign w:val="center"/>
          </w:tcPr>
          <w:p w14:paraId="4058B3E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-0.31</w:t>
            </w:r>
          </w:p>
        </w:tc>
        <w:tc>
          <w:tcPr>
            <w:tcW w:w="709" w:type="dxa"/>
            <w:tcBorders>
              <w:top w:val="nil"/>
              <w:left w:val="nil"/>
              <w:bottom w:val="nil"/>
              <w:right w:val="nil"/>
            </w:tcBorders>
            <w:vAlign w:val="center"/>
          </w:tcPr>
          <w:p w14:paraId="25FAE79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2593153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0.10</w:t>
            </w:r>
          </w:p>
        </w:tc>
        <w:tc>
          <w:tcPr>
            <w:tcW w:w="992" w:type="dxa"/>
            <w:tcBorders>
              <w:top w:val="nil"/>
              <w:left w:val="nil"/>
              <w:bottom w:val="nil"/>
              <w:right w:val="nil"/>
            </w:tcBorders>
            <w:vAlign w:val="center"/>
          </w:tcPr>
          <w:p w14:paraId="16A1FA3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0.09</w:t>
            </w:r>
          </w:p>
        </w:tc>
        <w:tc>
          <w:tcPr>
            <w:tcW w:w="709" w:type="dxa"/>
            <w:tcBorders>
              <w:top w:val="nil"/>
              <w:left w:val="nil"/>
              <w:bottom w:val="nil"/>
              <w:right w:val="nil"/>
            </w:tcBorders>
            <w:vAlign w:val="center"/>
          </w:tcPr>
          <w:p w14:paraId="5F09910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c>
          <w:tcPr>
            <w:tcW w:w="992" w:type="dxa"/>
            <w:tcBorders>
              <w:top w:val="nil"/>
              <w:left w:val="nil"/>
              <w:bottom w:val="nil"/>
              <w:right w:val="nil"/>
            </w:tcBorders>
            <w:vAlign w:val="center"/>
          </w:tcPr>
          <w:p w14:paraId="0D0ECE4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0.25</w:t>
            </w:r>
          </w:p>
        </w:tc>
        <w:tc>
          <w:tcPr>
            <w:tcW w:w="993" w:type="dxa"/>
            <w:tcBorders>
              <w:top w:val="nil"/>
              <w:left w:val="nil"/>
              <w:bottom w:val="nil"/>
              <w:right w:val="nil"/>
            </w:tcBorders>
            <w:vAlign w:val="center"/>
          </w:tcPr>
          <w:p w14:paraId="0C0D68B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0.17</w:t>
            </w:r>
          </w:p>
        </w:tc>
        <w:tc>
          <w:tcPr>
            <w:tcW w:w="850" w:type="dxa"/>
            <w:tcBorders>
              <w:top w:val="nil"/>
              <w:left w:val="nil"/>
              <w:bottom w:val="nil"/>
              <w:right w:val="nil"/>
            </w:tcBorders>
            <w:vAlign w:val="center"/>
          </w:tcPr>
          <w:p w14:paraId="79772146"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0.08</w:t>
            </w:r>
          </w:p>
        </w:tc>
      </w:tr>
      <w:tr w:rsidR="00083D72" w:rsidRPr="00785BF3" w14:paraId="3E68DDE4" w14:textId="77777777" w:rsidTr="002834B0">
        <w:tc>
          <w:tcPr>
            <w:tcW w:w="1276" w:type="dxa"/>
            <w:tcBorders>
              <w:top w:val="nil"/>
              <w:left w:val="nil"/>
              <w:bottom w:val="nil"/>
              <w:right w:val="nil"/>
            </w:tcBorders>
            <w:vAlign w:val="center"/>
          </w:tcPr>
          <w:p w14:paraId="5EA5FBAB"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Sales Growth</w:t>
            </w:r>
          </w:p>
        </w:tc>
        <w:tc>
          <w:tcPr>
            <w:tcW w:w="993" w:type="dxa"/>
            <w:tcBorders>
              <w:top w:val="nil"/>
              <w:left w:val="nil"/>
              <w:bottom w:val="nil"/>
              <w:right w:val="nil"/>
            </w:tcBorders>
            <w:vAlign w:val="center"/>
          </w:tcPr>
          <w:p w14:paraId="20B4B66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3.00</w:t>
            </w:r>
          </w:p>
        </w:tc>
        <w:tc>
          <w:tcPr>
            <w:tcW w:w="850" w:type="dxa"/>
            <w:tcBorders>
              <w:top w:val="nil"/>
              <w:left w:val="nil"/>
              <w:bottom w:val="nil"/>
              <w:right w:val="nil"/>
            </w:tcBorders>
            <w:vAlign w:val="center"/>
          </w:tcPr>
          <w:p w14:paraId="4FC53FE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3.00</w:t>
            </w:r>
          </w:p>
        </w:tc>
        <w:tc>
          <w:tcPr>
            <w:tcW w:w="709" w:type="dxa"/>
            <w:tcBorders>
              <w:top w:val="nil"/>
              <w:left w:val="nil"/>
              <w:bottom w:val="nil"/>
              <w:right w:val="nil"/>
            </w:tcBorders>
            <w:vAlign w:val="center"/>
          </w:tcPr>
          <w:p w14:paraId="5D30DE7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36D2CCB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31.12</w:t>
            </w:r>
          </w:p>
        </w:tc>
        <w:tc>
          <w:tcPr>
            <w:tcW w:w="992" w:type="dxa"/>
            <w:tcBorders>
              <w:top w:val="nil"/>
              <w:left w:val="nil"/>
              <w:bottom w:val="nil"/>
              <w:right w:val="nil"/>
            </w:tcBorders>
            <w:vAlign w:val="center"/>
          </w:tcPr>
          <w:p w14:paraId="5003D09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31.39</w:t>
            </w:r>
          </w:p>
        </w:tc>
        <w:tc>
          <w:tcPr>
            <w:tcW w:w="709" w:type="dxa"/>
            <w:tcBorders>
              <w:top w:val="nil"/>
              <w:left w:val="nil"/>
              <w:bottom w:val="nil"/>
              <w:right w:val="nil"/>
            </w:tcBorders>
            <w:vAlign w:val="center"/>
          </w:tcPr>
          <w:p w14:paraId="3D65D10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-0.27</w:t>
            </w:r>
          </w:p>
        </w:tc>
        <w:tc>
          <w:tcPr>
            <w:tcW w:w="992" w:type="dxa"/>
            <w:tcBorders>
              <w:top w:val="nil"/>
              <w:left w:val="nil"/>
              <w:bottom w:val="nil"/>
              <w:right w:val="nil"/>
            </w:tcBorders>
            <w:vAlign w:val="center"/>
          </w:tcPr>
          <w:p w14:paraId="060FC3E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5.35</w:t>
            </w:r>
          </w:p>
        </w:tc>
        <w:tc>
          <w:tcPr>
            <w:tcW w:w="993" w:type="dxa"/>
            <w:tcBorders>
              <w:top w:val="nil"/>
              <w:left w:val="nil"/>
              <w:bottom w:val="nil"/>
              <w:right w:val="nil"/>
            </w:tcBorders>
            <w:vAlign w:val="center"/>
          </w:tcPr>
          <w:p w14:paraId="25DBDCD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4.90</w:t>
            </w:r>
          </w:p>
        </w:tc>
        <w:tc>
          <w:tcPr>
            <w:tcW w:w="850" w:type="dxa"/>
            <w:tcBorders>
              <w:top w:val="nil"/>
              <w:left w:val="nil"/>
              <w:bottom w:val="nil"/>
              <w:right w:val="nil"/>
            </w:tcBorders>
            <w:vAlign w:val="center"/>
          </w:tcPr>
          <w:p w14:paraId="7EB344F1"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0.45</w:t>
            </w:r>
          </w:p>
        </w:tc>
      </w:tr>
      <w:tr w:rsidR="00083D72" w:rsidRPr="00785BF3" w14:paraId="68B1B5A6" w14:textId="77777777" w:rsidTr="002834B0">
        <w:tc>
          <w:tcPr>
            <w:tcW w:w="1276" w:type="dxa"/>
            <w:tcBorders>
              <w:top w:val="nil"/>
              <w:left w:val="nil"/>
              <w:bottom w:val="nil"/>
              <w:right w:val="nil"/>
            </w:tcBorders>
            <w:vAlign w:val="center"/>
          </w:tcPr>
          <w:p w14:paraId="581555E8"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Leverage</w:t>
            </w:r>
          </w:p>
        </w:tc>
        <w:tc>
          <w:tcPr>
            <w:tcW w:w="993" w:type="dxa"/>
            <w:tcBorders>
              <w:top w:val="nil"/>
              <w:left w:val="nil"/>
              <w:bottom w:val="nil"/>
              <w:right w:val="nil"/>
            </w:tcBorders>
            <w:vAlign w:val="center"/>
          </w:tcPr>
          <w:p w14:paraId="458D9C9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0.51</w:t>
            </w:r>
          </w:p>
        </w:tc>
        <w:tc>
          <w:tcPr>
            <w:tcW w:w="850" w:type="dxa"/>
            <w:tcBorders>
              <w:top w:val="nil"/>
              <w:left w:val="nil"/>
              <w:bottom w:val="nil"/>
              <w:right w:val="nil"/>
            </w:tcBorders>
            <w:vAlign w:val="center"/>
          </w:tcPr>
          <w:p w14:paraId="64BC471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0.51</w:t>
            </w:r>
          </w:p>
        </w:tc>
        <w:tc>
          <w:tcPr>
            <w:tcW w:w="709" w:type="dxa"/>
            <w:tcBorders>
              <w:top w:val="nil"/>
              <w:left w:val="nil"/>
              <w:bottom w:val="nil"/>
              <w:right w:val="nil"/>
            </w:tcBorders>
            <w:vAlign w:val="center"/>
          </w:tcPr>
          <w:p w14:paraId="2600CE3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07F50EE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0.44</w:t>
            </w:r>
          </w:p>
        </w:tc>
        <w:tc>
          <w:tcPr>
            <w:tcW w:w="992" w:type="dxa"/>
            <w:tcBorders>
              <w:top w:val="nil"/>
              <w:left w:val="nil"/>
              <w:bottom w:val="nil"/>
              <w:right w:val="nil"/>
            </w:tcBorders>
            <w:vAlign w:val="center"/>
          </w:tcPr>
          <w:p w14:paraId="5F49300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0.64</w:t>
            </w:r>
          </w:p>
        </w:tc>
        <w:tc>
          <w:tcPr>
            <w:tcW w:w="709" w:type="dxa"/>
            <w:tcBorders>
              <w:top w:val="nil"/>
              <w:left w:val="nil"/>
              <w:bottom w:val="nil"/>
              <w:right w:val="nil"/>
            </w:tcBorders>
            <w:vAlign w:val="center"/>
          </w:tcPr>
          <w:p w14:paraId="15C41EF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-0.2</w:t>
            </w:r>
          </w:p>
        </w:tc>
        <w:tc>
          <w:tcPr>
            <w:tcW w:w="992" w:type="dxa"/>
            <w:tcBorders>
              <w:top w:val="nil"/>
              <w:left w:val="nil"/>
              <w:bottom w:val="nil"/>
              <w:right w:val="nil"/>
            </w:tcBorders>
            <w:vAlign w:val="center"/>
          </w:tcPr>
          <w:p w14:paraId="1FE39EF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2.64</w:t>
            </w:r>
          </w:p>
        </w:tc>
        <w:tc>
          <w:tcPr>
            <w:tcW w:w="993" w:type="dxa"/>
            <w:tcBorders>
              <w:top w:val="nil"/>
              <w:left w:val="nil"/>
              <w:bottom w:val="nil"/>
              <w:right w:val="nil"/>
            </w:tcBorders>
            <w:vAlign w:val="center"/>
          </w:tcPr>
          <w:p w14:paraId="7A56A2B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2.78</w:t>
            </w:r>
          </w:p>
        </w:tc>
        <w:tc>
          <w:tcPr>
            <w:tcW w:w="850" w:type="dxa"/>
            <w:tcBorders>
              <w:top w:val="nil"/>
              <w:left w:val="nil"/>
              <w:bottom w:val="nil"/>
              <w:right w:val="nil"/>
            </w:tcBorders>
            <w:vAlign w:val="center"/>
          </w:tcPr>
          <w:p w14:paraId="68ADA577"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-0.14</w:t>
            </w:r>
          </w:p>
        </w:tc>
      </w:tr>
      <w:tr w:rsidR="00083D72" w:rsidRPr="00785BF3" w14:paraId="41B116BE" w14:textId="77777777" w:rsidTr="002834B0">
        <w:tc>
          <w:tcPr>
            <w:tcW w:w="1276" w:type="dxa"/>
            <w:tcBorders>
              <w:top w:val="nil"/>
              <w:left w:val="nil"/>
              <w:bottom w:val="nil"/>
              <w:right w:val="nil"/>
            </w:tcBorders>
            <w:vAlign w:val="center"/>
          </w:tcPr>
          <w:p w14:paraId="04927EF8"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Tangibility</w:t>
            </w:r>
          </w:p>
        </w:tc>
        <w:tc>
          <w:tcPr>
            <w:tcW w:w="993" w:type="dxa"/>
            <w:tcBorders>
              <w:top w:val="nil"/>
              <w:left w:val="nil"/>
              <w:bottom w:val="nil"/>
              <w:right w:val="nil"/>
            </w:tcBorders>
            <w:vAlign w:val="center"/>
          </w:tcPr>
          <w:p w14:paraId="031DA58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0.26</w:t>
            </w:r>
          </w:p>
        </w:tc>
        <w:tc>
          <w:tcPr>
            <w:tcW w:w="850" w:type="dxa"/>
            <w:tcBorders>
              <w:top w:val="nil"/>
              <w:left w:val="nil"/>
              <w:bottom w:val="nil"/>
              <w:right w:val="nil"/>
            </w:tcBorders>
            <w:vAlign w:val="center"/>
          </w:tcPr>
          <w:p w14:paraId="2363A65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0.26</w:t>
            </w:r>
          </w:p>
        </w:tc>
        <w:tc>
          <w:tcPr>
            <w:tcW w:w="709" w:type="dxa"/>
            <w:tcBorders>
              <w:top w:val="nil"/>
              <w:left w:val="nil"/>
              <w:bottom w:val="nil"/>
              <w:right w:val="nil"/>
            </w:tcBorders>
            <w:vAlign w:val="center"/>
          </w:tcPr>
          <w:p w14:paraId="40F185A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0CA1B9B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0.05</w:t>
            </w:r>
          </w:p>
        </w:tc>
        <w:tc>
          <w:tcPr>
            <w:tcW w:w="992" w:type="dxa"/>
            <w:tcBorders>
              <w:top w:val="nil"/>
              <w:left w:val="nil"/>
              <w:bottom w:val="nil"/>
              <w:right w:val="nil"/>
            </w:tcBorders>
            <w:vAlign w:val="center"/>
          </w:tcPr>
          <w:p w14:paraId="335EEEC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0.04</w:t>
            </w:r>
          </w:p>
        </w:tc>
        <w:tc>
          <w:tcPr>
            <w:tcW w:w="709" w:type="dxa"/>
            <w:tcBorders>
              <w:top w:val="nil"/>
              <w:left w:val="nil"/>
              <w:bottom w:val="nil"/>
              <w:right w:val="nil"/>
            </w:tcBorders>
            <w:vAlign w:val="center"/>
          </w:tcPr>
          <w:p w14:paraId="5BFB632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c>
          <w:tcPr>
            <w:tcW w:w="992" w:type="dxa"/>
            <w:tcBorders>
              <w:top w:val="nil"/>
              <w:left w:val="nil"/>
              <w:bottom w:val="nil"/>
              <w:right w:val="nil"/>
            </w:tcBorders>
            <w:vAlign w:val="center"/>
          </w:tcPr>
          <w:p w14:paraId="561853C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1.30</w:t>
            </w:r>
          </w:p>
        </w:tc>
        <w:tc>
          <w:tcPr>
            <w:tcW w:w="993" w:type="dxa"/>
            <w:tcBorders>
              <w:top w:val="nil"/>
              <w:left w:val="nil"/>
              <w:bottom w:val="nil"/>
              <w:right w:val="nil"/>
            </w:tcBorders>
            <w:vAlign w:val="center"/>
          </w:tcPr>
          <w:p w14:paraId="7E527CA9"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1.26</w:t>
            </w:r>
          </w:p>
        </w:tc>
        <w:tc>
          <w:tcPr>
            <w:tcW w:w="850" w:type="dxa"/>
            <w:tcBorders>
              <w:top w:val="nil"/>
              <w:left w:val="nil"/>
              <w:bottom w:val="nil"/>
              <w:right w:val="nil"/>
            </w:tcBorders>
            <w:vAlign w:val="center"/>
          </w:tcPr>
          <w:p w14:paraId="3D856644"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0.04</w:t>
            </w:r>
          </w:p>
        </w:tc>
      </w:tr>
      <w:tr w:rsidR="00083D72" w:rsidRPr="00785BF3" w14:paraId="592A8866" w14:textId="77777777" w:rsidTr="002834B0">
        <w:tc>
          <w:tcPr>
            <w:tcW w:w="1276" w:type="dxa"/>
            <w:tcBorders>
              <w:top w:val="nil"/>
              <w:left w:val="nil"/>
              <w:bottom w:val="nil"/>
              <w:right w:val="nil"/>
            </w:tcBorders>
            <w:vAlign w:val="center"/>
          </w:tcPr>
          <w:p w14:paraId="41C26146"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Payout</w:t>
            </w:r>
          </w:p>
        </w:tc>
        <w:tc>
          <w:tcPr>
            <w:tcW w:w="993" w:type="dxa"/>
            <w:tcBorders>
              <w:top w:val="nil"/>
              <w:left w:val="nil"/>
              <w:bottom w:val="nil"/>
              <w:right w:val="nil"/>
            </w:tcBorders>
            <w:vAlign w:val="center"/>
          </w:tcPr>
          <w:p w14:paraId="591A83A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0.36</w:t>
            </w:r>
          </w:p>
        </w:tc>
        <w:tc>
          <w:tcPr>
            <w:tcW w:w="850" w:type="dxa"/>
            <w:tcBorders>
              <w:top w:val="nil"/>
              <w:left w:val="nil"/>
              <w:bottom w:val="nil"/>
              <w:right w:val="nil"/>
            </w:tcBorders>
            <w:vAlign w:val="center"/>
          </w:tcPr>
          <w:p w14:paraId="6938C97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0.36</w:t>
            </w:r>
          </w:p>
        </w:tc>
        <w:tc>
          <w:tcPr>
            <w:tcW w:w="709" w:type="dxa"/>
            <w:tcBorders>
              <w:top w:val="nil"/>
              <w:left w:val="nil"/>
              <w:bottom w:val="nil"/>
              <w:right w:val="nil"/>
            </w:tcBorders>
            <w:vAlign w:val="center"/>
          </w:tcPr>
          <w:p w14:paraId="42951453"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6C397BE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0.75</w:t>
            </w:r>
          </w:p>
        </w:tc>
        <w:tc>
          <w:tcPr>
            <w:tcW w:w="992" w:type="dxa"/>
            <w:tcBorders>
              <w:top w:val="nil"/>
              <w:left w:val="nil"/>
              <w:bottom w:val="nil"/>
              <w:right w:val="nil"/>
            </w:tcBorders>
            <w:vAlign w:val="center"/>
          </w:tcPr>
          <w:p w14:paraId="74545A1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0.56</w:t>
            </w:r>
          </w:p>
        </w:tc>
        <w:tc>
          <w:tcPr>
            <w:tcW w:w="709" w:type="dxa"/>
            <w:tcBorders>
              <w:top w:val="nil"/>
              <w:left w:val="nil"/>
              <w:bottom w:val="nil"/>
              <w:right w:val="nil"/>
            </w:tcBorders>
            <w:vAlign w:val="center"/>
          </w:tcPr>
          <w:p w14:paraId="6311DFB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0.19</w:t>
            </w:r>
          </w:p>
        </w:tc>
        <w:tc>
          <w:tcPr>
            <w:tcW w:w="992" w:type="dxa"/>
            <w:tcBorders>
              <w:top w:val="nil"/>
              <w:left w:val="nil"/>
              <w:bottom w:val="nil"/>
              <w:right w:val="nil"/>
            </w:tcBorders>
            <w:vAlign w:val="center"/>
          </w:tcPr>
          <w:p w14:paraId="3FC0D0A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0.87</w:t>
            </w:r>
          </w:p>
        </w:tc>
        <w:tc>
          <w:tcPr>
            <w:tcW w:w="993" w:type="dxa"/>
            <w:tcBorders>
              <w:top w:val="nil"/>
              <w:left w:val="nil"/>
              <w:bottom w:val="nil"/>
              <w:right w:val="nil"/>
            </w:tcBorders>
            <w:vAlign w:val="center"/>
          </w:tcPr>
          <w:p w14:paraId="6310F6E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2.50</w:t>
            </w:r>
          </w:p>
        </w:tc>
        <w:tc>
          <w:tcPr>
            <w:tcW w:w="850" w:type="dxa"/>
            <w:tcBorders>
              <w:top w:val="nil"/>
              <w:left w:val="nil"/>
              <w:bottom w:val="nil"/>
              <w:right w:val="nil"/>
            </w:tcBorders>
            <w:vAlign w:val="center"/>
          </w:tcPr>
          <w:p w14:paraId="1CDCAECC"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-1.63</w:t>
            </w:r>
          </w:p>
        </w:tc>
      </w:tr>
      <w:tr w:rsidR="00083D72" w:rsidRPr="00785BF3" w14:paraId="2BC45AEB" w14:textId="77777777" w:rsidTr="002834B0">
        <w:tc>
          <w:tcPr>
            <w:tcW w:w="1276" w:type="dxa"/>
            <w:tcBorders>
              <w:top w:val="nil"/>
              <w:left w:val="nil"/>
              <w:bottom w:val="nil"/>
              <w:right w:val="nil"/>
            </w:tcBorders>
            <w:vAlign w:val="center"/>
          </w:tcPr>
          <w:p w14:paraId="4FBF850C"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Cash Holdings</w:t>
            </w:r>
          </w:p>
        </w:tc>
        <w:tc>
          <w:tcPr>
            <w:tcW w:w="993" w:type="dxa"/>
            <w:tcBorders>
              <w:top w:val="nil"/>
              <w:left w:val="nil"/>
              <w:bottom w:val="nil"/>
              <w:right w:val="nil"/>
            </w:tcBorders>
            <w:vAlign w:val="center"/>
          </w:tcPr>
          <w:p w14:paraId="01600EF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0.12</w:t>
            </w:r>
          </w:p>
        </w:tc>
        <w:tc>
          <w:tcPr>
            <w:tcW w:w="850" w:type="dxa"/>
            <w:tcBorders>
              <w:top w:val="nil"/>
              <w:left w:val="nil"/>
              <w:bottom w:val="nil"/>
              <w:right w:val="nil"/>
            </w:tcBorders>
            <w:vAlign w:val="center"/>
          </w:tcPr>
          <w:p w14:paraId="5D2A683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0.12</w:t>
            </w:r>
          </w:p>
        </w:tc>
        <w:tc>
          <w:tcPr>
            <w:tcW w:w="709" w:type="dxa"/>
            <w:tcBorders>
              <w:top w:val="nil"/>
              <w:left w:val="nil"/>
              <w:bottom w:val="nil"/>
              <w:right w:val="nil"/>
            </w:tcBorders>
            <w:vAlign w:val="center"/>
          </w:tcPr>
          <w:p w14:paraId="3EEC6A4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0EB5435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992" w:type="dxa"/>
            <w:tcBorders>
              <w:top w:val="nil"/>
              <w:left w:val="nil"/>
              <w:bottom w:val="nil"/>
              <w:right w:val="nil"/>
            </w:tcBorders>
            <w:vAlign w:val="center"/>
          </w:tcPr>
          <w:p w14:paraId="5AE52085"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709" w:type="dxa"/>
            <w:tcBorders>
              <w:top w:val="nil"/>
              <w:left w:val="nil"/>
              <w:bottom w:val="nil"/>
              <w:right w:val="nil"/>
            </w:tcBorders>
            <w:vAlign w:val="center"/>
          </w:tcPr>
          <w:p w14:paraId="231D65D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39D87C3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2.20</w:t>
            </w:r>
          </w:p>
        </w:tc>
        <w:tc>
          <w:tcPr>
            <w:tcW w:w="993" w:type="dxa"/>
            <w:tcBorders>
              <w:top w:val="nil"/>
              <w:left w:val="nil"/>
              <w:bottom w:val="nil"/>
              <w:right w:val="nil"/>
            </w:tcBorders>
            <w:vAlign w:val="center"/>
          </w:tcPr>
          <w:p w14:paraId="412209A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2.19</w:t>
            </w:r>
          </w:p>
        </w:tc>
        <w:tc>
          <w:tcPr>
            <w:tcW w:w="850" w:type="dxa"/>
            <w:tcBorders>
              <w:top w:val="nil"/>
              <w:left w:val="nil"/>
              <w:bottom w:val="nil"/>
              <w:right w:val="nil"/>
            </w:tcBorders>
            <w:vAlign w:val="center"/>
          </w:tcPr>
          <w:p w14:paraId="51D9CE18"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0.01</w:t>
            </w:r>
          </w:p>
        </w:tc>
      </w:tr>
      <w:tr w:rsidR="00083D72" w:rsidRPr="00785BF3" w14:paraId="3C342A07" w14:textId="77777777" w:rsidTr="002834B0">
        <w:tc>
          <w:tcPr>
            <w:tcW w:w="1276" w:type="dxa"/>
            <w:tcBorders>
              <w:top w:val="nil"/>
              <w:left w:val="nil"/>
              <w:bottom w:val="nil"/>
              <w:right w:val="nil"/>
            </w:tcBorders>
            <w:vAlign w:val="center"/>
          </w:tcPr>
          <w:p w14:paraId="26E0A7F0"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R&amp;D Expenses</w:t>
            </w:r>
          </w:p>
        </w:tc>
        <w:tc>
          <w:tcPr>
            <w:tcW w:w="993" w:type="dxa"/>
            <w:tcBorders>
              <w:top w:val="nil"/>
              <w:left w:val="nil"/>
              <w:bottom w:val="nil"/>
              <w:right w:val="nil"/>
            </w:tcBorders>
            <w:vAlign w:val="center"/>
          </w:tcPr>
          <w:p w14:paraId="13976F5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0.03</w:t>
            </w:r>
          </w:p>
        </w:tc>
        <w:tc>
          <w:tcPr>
            <w:tcW w:w="850" w:type="dxa"/>
            <w:tcBorders>
              <w:top w:val="nil"/>
              <w:left w:val="nil"/>
              <w:bottom w:val="nil"/>
              <w:right w:val="nil"/>
            </w:tcBorders>
            <w:vAlign w:val="center"/>
          </w:tcPr>
          <w:p w14:paraId="3398201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0.03</w:t>
            </w:r>
          </w:p>
        </w:tc>
        <w:tc>
          <w:tcPr>
            <w:tcW w:w="709" w:type="dxa"/>
            <w:tcBorders>
              <w:top w:val="nil"/>
              <w:left w:val="nil"/>
              <w:bottom w:val="nil"/>
              <w:right w:val="nil"/>
            </w:tcBorders>
            <w:vAlign w:val="center"/>
          </w:tcPr>
          <w:p w14:paraId="6E1331D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716C2D7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992" w:type="dxa"/>
            <w:tcBorders>
              <w:top w:val="nil"/>
              <w:left w:val="nil"/>
              <w:bottom w:val="nil"/>
              <w:right w:val="nil"/>
            </w:tcBorders>
            <w:vAlign w:val="center"/>
          </w:tcPr>
          <w:p w14:paraId="5E19342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709" w:type="dxa"/>
            <w:tcBorders>
              <w:top w:val="nil"/>
              <w:left w:val="nil"/>
              <w:bottom w:val="nil"/>
              <w:right w:val="nil"/>
            </w:tcBorders>
            <w:vAlign w:val="center"/>
          </w:tcPr>
          <w:p w14:paraId="07F1A03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5B9D4496"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1.80</w:t>
            </w:r>
          </w:p>
        </w:tc>
        <w:tc>
          <w:tcPr>
            <w:tcW w:w="993" w:type="dxa"/>
            <w:tcBorders>
              <w:top w:val="nil"/>
              <w:left w:val="nil"/>
              <w:bottom w:val="nil"/>
              <w:right w:val="nil"/>
            </w:tcBorders>
            <w:vAlign w:val="center"/>
          </w:tcPr>
          <w:p w14:paraId="3B5D151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2.34</w:t>
            </w:r>
          </w:p>
        </w:tc>
        <w:tc>
          <w:tcPr>
            <w:tcW w:w="850" w:type="dxa"/>
            <w:tcBorders>
              <w:top w:val="nil"/>
              <w:left w:val="nil"/>
              <w:bottom w:val="nil"/>
              <w:right w:val="nil"/>
            </w:tcBorders>
            <w:vAlign w:val="center"/>
          </w:tcPr>
          <w:p w14:paraId="7CFE2090"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-0.54</w:t>
            </w:r>
          </w:p>
        </w:tc>
      </w:tr>
      <w:tr w:rsidR="00083D72" w:rsidRPr="00785BF3" w14:paraId="4973D704" w14:textId="77777777" w:rsidTr="002834B0">
        <w:tc>
          <w:tcPr>
            <w:tcW w:w="1276" w:type="dxa"/>
            <w:tcBorders>
              <w:top w:val="nil"/>
              <w:left w:val="nil"/>
              <w:bottom w:val="nil"/>
              <w:right w:val="nil"/>
            </w:tcBorders>
            <w:vAlign w:val="center"/>
          </w:tcPr>
          <w:p w14:paraId="383D0FCE"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Capex</w:t>
            </w:r>
          </w:p>
        </w:tc>
        <w:tc>
          <w:tcPr>
            <w:tcW w:w="993" w:type="dxa"/>
            <w:tcBorders>
              <w:top w:val="nil"/>
              <w:left w:val="nil"/>
              <w:bottom w:val="nil"/>
              <w:right w:val="nil"/>
            </w:tcBorders>
            <w:vAlign w:val="center"/>
          </w:tcPr>
          <w:p w14:paraId="199433B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0.04</w:t>
            </w:r>
          </w:p>
        </w:tc>
        <w:tc>
          <w:tcPr>
            <w:tcW w:w="850" w:type="dxa"/>
            <w:tcBorders>
              <w:top w:val="nil"/>
              <w:left w:val="nil"/>
              <w:bottom w:val="nil"/>
              <w:right w:val="nil"/>
            </w:tcBorders>
            <w:vAlign w:val="center"/>
          </w:tcPr>
          <w:p w14:paraId="658FEFA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0.04</w:t>
            </w:r>
          </w:p>
        </w:tc>
        <w:tc>
          <w:tcPr>
            <w:tcW w:w="709" w:type="dxa"/>
            <w:tcBorders>
              <w:top w:val="nil"/>
              <w:left w:val="nil"/>
              <w:bottom w:val="nil"/>
              <w:right w:val="nil"/>
            </w:tcBorders>
            <w:vAlign w:val="center"/>
          </w:tcPr>
          <w:p w14:paraId="5DEAD301"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14ADC3A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992" w:type="dxa"/>
            <w:tcBorders>
              <w:top w:val="nil"/>
              <w:left w:val="nil"/>
              <w:bottom w:val="nil"/>
              <w:right w:val="nil"/>
            </w:tcBorders>
            <w:vAlign w:val="center"/>
          </w:tcPr>
          <w:p w14:paraId="6938966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0.00</w:t>
            </w:r>
          </w:p>
        </w:tc>
        <w:tc>
          <w:tcPr>
            <w:tcW w:w="709" w:type="dxa"/>
            <w:tcBorders>
              <w:top w:val="nil"/>
              <w:left w:val="nil"/>
              <w:bottom w:val="nil"/>
              <w:right w:val="nil"/>
            </w:tcBorders>
            <w:vAlign w:val="center"/>
          </w:tcPr>
          <w:p w14:paraId="3AEF672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nil"/>
              <w:right w:val="nil"/>
            </w:tcBorders>
            <w:vAlign w:val="center"/>
          </w:tcPr>
          <w:p w14:paraId="0D552CA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2.30</w:t>
            </w:r>
          </w:p>
        </w:tc>
        <w:tc>
          <w:tcPr>
            <w:tcW w:w="993" w:type="dxa"/>
            <w:tcBorders>
              <w:top w:val="nil"/>
              <w:left w:val="nil"/>
              <w:bottom w:val="nil"/>
              <w:right w:val="nil"/>
            </w:tcBorders>
            <w:vAlign w:val="center"/>
          </w:tcPr>
          <w:p w14:paraId="179F6C5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2.35</w:t>
            </w:r>
          </w:p>
        </w:tc>
        <w:tc>
          <w:tcPr>
            <w:tcW w:w="850" w:type="dxa"/>
            <w:tcBorders>
              <w:top w:val="nil"/>
              <w:left w:val="nil"/>
              <w:bottom w:val="nil"/>
              <w:right w:val="nil"/>
            </w:tcBorders>
            <w:vAlign w:val="center"/>
          </w:tcPr>
          <w:p w14:paraId="5A0D4097"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-0.05</w:t>
            </w:r>
          </w:p>
        </w:tc>
      </w:tr>
      <w:tr w:rsidR="00083D72" w:rsidRPr="00785BF3" w14:paraId="6F006CBE" w14:textId="77777777" w:rsidTr="002834B0">
        <w:tc>
          <w:tcPr>
            <w:tcW w:w="1276" w:type="dxa"/>
            <w:tcBorders>
              <w:top w:val="nil"/>
              <w:left w:val="nil"/>
              <w:bottom w:val="single" w:sz="4" w:space="0" w:color="auto"/>
              <w:right w:val="nil"/>
            </w:tcBorders>
            <w:vAlign w:val="center"/>
          </w:tcPr>
          <w:p w14:paraId="7C0C9F73"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HHI</w:t>
            </w:r>
          </w:p>
        </w:tc>
        <w:tc>
          <w:tcPr>
            <w:tcW w:w="993" w:type="dxa"/>
            <w:tcBorders>
              <w:top w:val="nil"/>
              <w:left w:val="nil"/>
              <w:bottom w:val="single" w:sz="4" w:space="0" w:color="auto"/>
              <w:right w:val="nil"/>
            </w:tcBorders>
            <w:vAlign w:val="center"/>
          </w:tcPr>
          <w:p w14:paraId="0B4DE74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0.17</w:t>
            </w:r>
          </w:p>
        </w:tc>
        <w:tc>
          <w:tcPr>
            <w:tcW w:w="850" w:type="dxa"/>
            <w:tcBorders>
              <w:top w:val="nil"/>
              <w:left w:val="nil"/>
              <w:bottom w:val="single" w:sz="4" w:space="0" w:color="auto"/>
              <w:right w:val="nil"/>
            </w:tcBorders>
            <w:vAlign w:val="center"/>
          </w:tcPr>
          <w:p w14:paraId="46AF5DC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0.17</w:t>
            </w:r>
          </w:p>
        </w:tc>
        <w:tc>
          <w:tcPr>
            <w:tcW w:w="709" w:type="dxa"/>
            <w:tcBorders>
              <w:top w:val="nil"/>
              <w:left w:val="nil"/>
              <w:bottom w:val="single" w:sz="4" w:space="0" w:color="auto"/>
              <w:right w:val="nil"/>
            </w:tcBorders>
            <w:vAlign w:val="center"/>
          </w:tcPr>
          <w:p w14:paraId="50AE395E"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single" w:sz="4" w:space="0" w:color="auto"/>
              <w:right w:val="nil"/>
            </w:tcBorders>
            <w:vAlign w:val="center"/>
          </w:tcPr>
          <w:p w14:paraId="46DBB85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992" w:type="dxa"/>
            <w:tcBorders>
              <w:top w:val="nil"/>
              <w:left w:val="nil"/>
              <w:bottom w:val="single" w:sz="4" w:space="0" w:color="auto"/>
              <w:right w:val="nil"/>
            </w:tcBorders>
            <w:vAlign w:val="center"/>
          </w:tcPr>
          <w:p w14:paraId="763AEE37"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0.02</w:t>
            </w:r>
          </w:p>
        </w:tc>
        <w:tc>
          <w:tcPr>
            <w:tcW w:w="709" w:type="dxa"/>
            <w:tcBorders>
              <w:top w:val="nil"/>
              <w:left w:val="nil"/>
              <w:bottom w:val="single" w:sz="4" w:space="0" w:color="auto"/>
              <w:right w:val="nil"/>
            </w:tcBorders>
            <w:vAlign w:val="center"/>
          </w:tcPr>
          <w:p w14:paraId="4DD1984F"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0.00</w:t>
            </w:r>
          </w:p>
        </w:tc>
        <w:tc>
          <w:tcPr>
            <w:tcW w:w="992" w:type="dxa"/>
            <w:tcBorders>
              <w:top w:val="nil"/>
              <w:left w:val="nil"/>
              <w:bottom w:val="single" w:sz="4" w:space="0" w:color="auto"/>
              <w:right w:val="nil"/>
            </w:tcBorders>
            <w:vAlign w:val="center"/>
          </w:tcPr>
          <w:p w14:paraId="7CCCF0E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2.63</w:t>
            </w:r>
          </w:p>
        </w:tc>
        <w:tc>
          <w:tcPr>
            <w:tcW w:w="993" w:type="dxa"/>
            <w:tcBorders>
              <w:top w:val="nil"/>
              <w:left w:val="nil"/>
              <w:bottom w:val="single" w:sz="4" w:space="0" w:color="auto"/>
              <w:right w:val="nil"/>
            </w:tcBorders>
            <w:vAlign w:val="center"/>
          </w:tcPr>
          <w:p w14:paraId="5D43B952"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3.27</w:t>
            </w:r>
          </w:p>
        </w:tc>
        <w:tc>
          <w:tcPr>
            <w:tcW w:w="850" w:type="dxa"/>
            <w:tcBorders>
              <w:top w:val="nil"/>
              <w:left w:val="nil"/>
              <w:bottom w:val="single" w:sz="4" w:space="0" w:color="auto"/>
              <w:right w:val="nil"/>
            </w:tcBorders>
            <w:vAlign w:val="center"/>
          </w:tcPr>
          <w:p w14:paraId="0A295722" w14:textId="77777777" w:rsidR="00083D72" w:rsidRPr="00785BF3" w:rsidRDefault="00083D72" w:rsidP="002834B0">
            <w:pPr>
              <w:pStyle w:val="NoSpacing"/>
              <w:jc w:val="center"/>
              <w:rPr>
                <w:rFonts w:ascii="Times New Roman" w:hAnsi="Times New Roman"/>
                <w:sz w:val="19"/>
                <w:szCs w:val="19"/>
                <w:lang w:val="en-US"/>
              </w:rPr>
            </w:pPr>
            <w:r w:rsidRPr="00785BF3">
              <w:rPr>
                <w:rFonts w:ascii="Times New Roman" w:hAnsi="Times New Roman"/>
                <w:color w:val="000000"/>
                <w:sz w:val="19"/>
                <w:szCs w:val="19"/>
                <w:lang w:val="en-US"/>
              </w:rPr>
              <w:t>-0.64</w:t>
            </w:r>
          </w:p>
        </w:tc>
      </w:tr>
    </w:tbl>
    <w:p w14:paraId="7E58BA78" w14:textId="77777777" w:rsidR="00083D72" w:rsidRPr="00785BF3" w:rsidRDefault="00083D72" w:rsidP="00083D72">
      <w:pPr>
        <w:rPr>
          <w:rFonts w:ascii="Times New Roman" w:hAnsi="Times New Roman" w:cs="Times New Roman"/>
        </w:rPr>
      </w:pPr>
    </w:p>
    <w:tbl>
      <w:tblPr>
        <w:tblStyle w:val="TableGrid"/>
        <w:tblW w:w="9356" w:type="dxa"/>
        <w:tblInd w:w="-142" w:type="dxa"/>
        <w:tblLayout w:type="fixed"/>
        <w:tblLook w:val="04A0" w:firstRow="1" w:lastRow="0" w:firstColumn="1" w:lastColumn="0" w:noHBand="0" w:noVBand="1"/>
      </w:tblPr>
      <w:tblGrid>
        <w:gridCol w:w="1843"/>
        <w:gridCol w:w="426"/>
        <w:gridCol w:w="850"/>
        <w:gridCol w:w="709"/>
        <w:gridCol w:w="992"/>
        <w:gridCol w:w="992"/>
        <w:gridCol w:w="709"/>
        <w:gridCol w:w="992"/>
        <w:gridCol w:w="284"/>
        <w:gridCol w:w="142"/>
        <w:gridCol w:w="1417"/>
      </w:tblGrid>
      <w:tr w:rsidR="00083D72" w:rsidRPr="00785BF3" w14:paraId="06D07DB5" w14:textId="77777777" w:rsidTr="002834B0">
        <w:tc>
          <w:tcPr>
            <w:tcW w:w="9356" w:type="dxa"/>
            <w:gridSpan w:val="11"/>
            <w:tcBorders>
              <w:left w:val="nil"/>
              <w:bottom w:val="single" w:sz="4" w:space="0" w:color="auto"/>
              <w:right w:val="nil"/>
            </w:tcBorders>
            <w:vAlign w:val="center"/>
          </w:tcPr>
          <w:p w14:paraId="2CF67AC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b/>
                <w:sz w:val="19"/>
                <w:szCs w:val="19"/>
                <w:lang w:val="en-US"/>
              </w:rPr>
              <w:t>Panel C</w:t>
            </w:r>
            <w:r w:rsidRPr="00785BF3">
              <w:rPr>
                <w:rFonts w:ascii="Times New Roman" w:hAnsi="Times New Roman"/>
                <w:sz w:val="19"/>
                <w:szCs w:val="19"/>
                <w:lang w:val="en-US"/>
              </w:rPr>
              <w:t>: The Relationship between Accounting Fraud and Dividend Smoothing Post-Entropy Balancing</w:t>
            </w:r>
          </w:p>
        </w:tc>
      </w:tr>
      <w:tr w:rsidR="00083D72" w:rsidRPr="00785BF3" w14:paraId="37E1C6B9" w14:textId="77777777" w:rsidTr="002834B0">
        <w:trPr>
          <w:gridAfter w:val="1"/>
          <w:wAfter w:w="1417" w:type="dxa"/>
        </w:trPr>
        <w:tc>
          <w:tcPr>
            <w:tcW w:w="1843" w:type="dxa"/>
            <w:tcBorders>
              <w:left w:val="nil"/>
              <w:bottom w:val="nil"/>
              <w:right w:val="nil"/>
            </w:tcBorders>
            <w:vAlign w:val="center"/>
          </w:tcPr>
          <w:p w14:paraId="07734DB1" w14:textId="77777777" w:rsidR="00083D72" w:rsidRPr="00785BF3" w:rsidRDefault="00083D72" w:rsidP="00744119">
            <w:pPr>
              <w:pStyle w:val="NoSpacing"/>
              <w:rPr>
                <w:rFonts w:ascii="Times New Roman" w:hAnsi="Times New Roman"/>
                <w:sz w:val="19"/>
                <w:szCs w:val="19"/>
                <w:lang w:val="en-US"/>
              </w:rPr>
            </w:pPr>
          </w:p>
        </w:tc>
        <w:tc>
          <w:tcPr>
            <w:tcW w:w="6096" w:type="dxa"/>
            <w:gridSpan w:val="9"/>
            <w:vMerge w:val="restart"/>
            <w:tcBorders>
              <w:left w:val="nil"/>
              <w:right w:val="nil"/>
            </w:tcBorders>
            <w:vAlign w:val="center"/>
          </w:tcPr>
          <w:p w14:paraId="6D7836F8" w14:textId="77777777" w:rsidR="00083D72" w:rsidRPr="00785BF3" w:rsidRDefault="00083D72" w:rsidP="00744119">
            <w:pPr>
              <w:pStyle w:val="NoSpacing"/>
              <w:rPr>
                <w:rFonts w:ascii="Times New Roman" w:hAnsi="Times New Roman"/>
                <w:sz w:val="19"/>
                <w:szCs w:val="19"/>
                <w:lang w:val="en-US"/>
              </w:rPr>
            </w:pPr>
          </w:p>
        </w:tc>
      </w:tr>
      <w:tr w:rsidR="00083D72" w:rsidRPr="00785BF3" w14:paraId="0FFFC4C3" w14:textId="77777777" w:rsidTr="002834B0">
        <w:trPr>
          <w:gridAfter w:val="1"/>
          <w:wAfter w:w="1417" w:type="dxa"/>
          <w:trHeight w:val="106"/>
        </w:trPr>
        <w:tc>
          <w:tcPr>
            <w:tcW w:w="1843" w:type="dxa"/>
            <w:tcBorders>
              <w:top w:val="nil"/>
              <w:left w:val="nil"/>
              <w:bottom w:val="single" w:sz="4" w:space="0" w:color="auto"/>
              <w:right w:val="nil"/>
            </w:tcBorders>
            <w:vAlign w:val="center"/>
          </w:tcPr>
          <w:p w14:paraId="6B918025" w14:textId="77777777" w:rsidR="00083D72" w:rsidRPr="00785BF3" w:rsidRDefault="00083D72" w:rsidP="00744119">
            <w:pPr>
              <w:pStyle w:val="NoSpacing"/>
              <w:rPr>
                <w:rFonts w:ascii="Times New Roman" w:hAnsi="Times New Roman"/>
                <w:sz w:val="19"/>
                <w:szCs w:val="19"/>
                <w:lang w:val="en-US"/>
              </w:rPr>
            </w:pPr>
          </w:p>
        </w:tc>
        <w:tc>
          <w:tcPr>
            <w:tcW w:w="6096" w:type="dxa"/>
            <w:gridSpan w:val="9"/>
            <w:vMerge/>
            <w:tcBorders>
              <w:left w:val="nil"/>
              <w:bottom w:val="single" w:sz="4" w:space="0" w:color="auto"/>
              <w:right w:val="nil"/>
            </w:tcBorders>
            <w:vAlign w:val="center"/>
          </w:tcPr>
          <w:p w14:paraId="47EDFC95" w14:textId="77777777" w:rsidR="00083D72" w:rsidRPr="00785BF3" w:rsidRDefault="00083D72" w:rsidP="00744119">
            <w:pPr>
              <w:pStyle w:val="NoSpacing"/>
              <w:jc w:val="center"/>
              <w:rPr>
                <w:rFonts w:ascii="Times New Roman" w:hAnsi="Times New Roman"/>
                <w:sz w:val="19"/>
                <w:szCs w:val="19"/>
                <w:lang w:val="en-US"/>
              </w:rPr>
            </w:pPr>
          </w:p>
        </w:tc>
      </w:tr>
      <w:tr w:rsidR="00083D72" w:rsidRPr="00785BF3" w14:paraId="0CAD7A0A" w14:textId="77777777" w:rsidTr="002834B0">
        <w:tc>
          <w:tcPr>
            <w:tcW w:w="1843" w:type="dxa"/>
            <w:tcBorders>
              <w:top w:val="single" w:sz="4" w:space="0" w:color="auto"/>
              <w:left w:val="nil"/>
              <w:bottom w:val="nil"/>
              <w:right w:val="nil"/>
            </w:tcBorders>
            <w:vAlign w:val="center"/>
          </w:tcPr>
          <w:p w14:paraId="622C1E24"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Misstate (Fraud)</w:t>
            </w:r>
          </w:p>
        </w:tc>
        <w:tc>
          <w:tcPr>
            <w:tcW w:w="426" w:type="dxa"/>
            <w:tcBorders>
              <w:top w:val="single" w:sz="4" w:space="0" w:color="auto"/>
              <w:left w:val="nil"/>
              <w:bottom w:val="nil"/>
              <w:right w:val="nil"/>
            </w:tcBorders>
            <w:vAlign w:val="center"/>
          </w:tcPr>
          <w:p w14:paraId="518D38D9" w14:textId="77777777" w:rsidR="00083D72" w:rsidRPr="00785BF3" w:rsidRDefault="00083D72" w:rsidP="00744119">
            <w:pPr>
              <w:pStyle w:val="NoSpacing"/>
              <w:jc w:val="center"/>
              <w:rPr>
                <w:rFonts w:ascii="Times New Roman" w:hAnsi="Times New Roman"/>
                <w:sz w:val="19"/>
                <w:szCs w:val="19"/>
                <w:lang w:val="en-US"/>
              </w:rPr>
            </w:pPr>
          </w:p>
        </w:tc>
        <w:tc>
          <w:tcPr>
            <w:tcW w:w="850" w:type="dxa"/>
            <w:tcBorders>
              <w:top w:val="single" w:sz="4" w:space="0" w:color="auto"/>
              <w:left w:val="nil"/>
              <w:bottom w:val="nil"/>
              <w:right w:val="nil"/>
            </w:tcBorders>
            <w:vAlign w:val="center"/>
          </w:tcPr>
          <w:p w14:paraId="31CABAA5"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single" w:sz="4" w:space="0" w:color="auto"/>
              <w:left w:val="nil"/>
              <w:bottom w:val="nil"/>
              <w:right w:val="nil"/>
            </w:tcBorders>
            <w:vAlign w:val="center"/>
          </w:tcPr>
          <w:p w14:paraId="49670F4D"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single" w:sz="4" w:space="0" w:color="auto"/>
              <w:left w:val="nil"/>
              <w:bottom w:val="nil"/>
              <w:right w:val="nil"/>
            </w:tcBorders>
            <w:vAlign w:val="center"/>
          </w:tcPr>
          <w:p w14:paraId="11C2E221"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single" w:sz="4" w:space="0" w:color="auto"/>
              <w:left w:val="nil"/>
              <w:bottom w:val="nil"/>
              <w:right w:val="nil"/>
            </w:tcBorders>
            <w:vAlign w:val="center"/>
          </w:tcPr>
          <w:p w14:paraId="7C69C7B4"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single" w:sz="4" w:space="0" w:color="auto"/>
              <w:left w:val="nil"/>
              <w:bottom w:val="nil"/>
              <w:right w:val="nil"/>
            </w:tcBorders>
            <w:vAlign w:val="center"/>
          </w:tcPr>
          <w:p w14:paraId="011F3BAE"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single" w:sz="4" w:space="0" w:color="auto"/>
              <w:left w:val="nil"/>
              <w:bottom w:val="nil"/>
              <w:right w:val="nil"/>
            </w:tcBorders>
            <w:vAlign w:val="center"/>
          </w:tcPr>
          <w:p w14:paraId="26413C48" w14:textId="77777777" w:rsidR="00083D72" w:rsidRPr="00785BF3" w:rsidRDefault="00083D72" w:rsidP="00744119">
            <w:pPr>
              <w:pStyle w:val="NoSpacing"/>
              <w:jc w:val="center"/>
              <w:rPr>
                <w:rFonts w:ascii="Times New Roman" w:hAnsi="Times New Roman"/>
                <w:sz w:val="19"/>
                <w:szCs w:val="19"/>
                <w:lang w:val="en-US"/>
              </w:rPr>
            </w:pPr>
          </w:p>
        </w:tc>
        <w:tc>
          <w:tcPr>
            <w:tcW w:w="284" w:type="dxa"/>
            <w:tcBorders>
              <w:top w:val="single" w:sz="4" w:space="0" w:color="auto"/>
              <w:left w:val="nil"/>
              <w:bottom w:val="nil"/>
              <w:right w:val="nil"/>
            </w:tcBorders>
            <w:vAlign w:val="center"/>
          </w:tcPr>
          <w:p w14:paraId="2FB2673B" w14:textId="77777777" w:rsidR="00083D72" w:rsidRPr="00785BF3" w:rsidRDefault="00083D72" w:rsidP="00744119">
            <w:pPr>
              <w:pStyle w:val="NoSpacing"/>
              <w:jc w:val="center"/>
              <w:rPr>
                <w:rFonts w:ascii="Times New Roman" w:hAnsi="Times New Roman"/>
                <w:sz w:val="19"/>
                <w:szCs w:val="19"/>
                <w:lang w:val="en-US"/>
              </w:rPr>
            </w:pPr>
          </w:p>
        </w:tc>
        <w:tc>
          <w:tcPr>
            <w:tcW w:w="1559" w:type="dxa"/>
            <w:gridSpan w:val="2"/>
            <w:tcBorders>
              <w:top w:val="single" w:sz="4" w:space="0" w:color="auto"/>
              <w:left w:val="nil"/>
              <w:bottom w:val="nil"/>
              <w:right w:val="nil"/>
            </w:tcBorders>
            <w:vAlign w:val="center"/>
          </w:tcPr>
          <w:p w14:paraId="6A2F15F0"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-0.19***</w:t>
            </w:r>
          </w:p>
          <w:p w14:paraId="2B699608"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(-5.12)</w:t>
            </w:r>
          </w:p>
        </w:tc>
      </w:tr>
      <w:tr w:rsidR="00083D72" w:rsidRPr="00785BF3" w14:paraId="7A27503B" w14:textId="77777777" w:rsidTr="002834B0">
        <w:tc>
          <w:tcPr>
            <w:tcW w:w="1843" w:type="dxa"/>
            <w:tcBorders>
              <w:top w:val="nil"/>
              <w:left w:val="nil"/>
              <w:bottom w:val="nil"/>
              <w:right w:val="nil"/>
            </w:tcBorders>
            <w:vAlign w:val="center"/>
          </w:tcPr>
          <w:p w14:paraId="762F8FE5"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Control Variables</w:t>
            </w:r>
          </w:p>
        </w:tc>
        <w:tc>
          <w:tcPr>
            <w:tcW w:w="426" w:type="dxa"/>
            <w:tcBorders>
              <w:top w:val="nil"/>
              <w:left w:val="nil"/>
              <w:bottom w:val="nil"/>
              <w:right w:val="nil"/>
            </w:tcBorders>
            <w:vAlign w:val="center"/>
          </w:tcPr>
          <w:p w14:paraId="19B04239" w14:textId="77777777" w:rsidR="00083D72" w:rsidRPr="00785BF3" w:rsidRDefault="00083D72" w:rsidP="00744119">
            <w:pPr>
              <w:pStyle w:val="NoSpacing"/>
              <w:jc w:val="center"/>
              <w:rPr>
                <w:rFonts w:ascii="Times New Roman" w:hAnsi="Times New Roman"/>
                <w:sz w:val="19"/>
                <w:szCs w:val="19"/>
                <w:lang w:val="en-US"/>
              </w:rPr>
            </w:pPr>
          </w:p>
        </w:tc>
        <w:tc>
          <w:tcPr>
            <w:tcW w:w="850" w:type="dxa"/>
            <w:tcBorders>
              <w:top w:val="nil"/>
              <w:left w:val="nil"/>
              <w:bottom w:val="nil"/>
              <w:right w:val="nil"/>
            </w:tcBorders>
            <w:vAlign w:val="center"/>
          </w:tcPr>
          <w:p w14:paraId="19E94C44"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vAlign w:val="center"/>
          </w:tcPr>
          <w:p w14:paraId="261F9217"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2434377A"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024102DD"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vAlign w:val="center"/>
          </w:tcPr>
          <w:p w14:paraId="13178CF6"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09878773" w14:textId="77777777" w:rsidR="00083D72" w:rsidRPr="00785BF3" w:rsidRDefault="00083D72" w:rsidP="00744119">
            <w:pPr>
              <w:pStyle w:val="NoSpacing"/>
              <w:jc w:val="center"/>
              <w:rPr>
                <w:rFonts w:ascii="Times New Roman" w:hAnsi="Times New Roman"/>
                <w:sz w:val="19"/>
                <w:szCs w:val="19"/>
                <w:lang w:val="en-US"/>
              </w:rPr>
            </w:pPr>
          </w:p>
        </w:tc>
        <w:tc>
          <w:tcPr>
            <w:tcW w:w="284" w:type="dxa"/>
            <w:tcBorders>
              <w:top w:val="nil"/>
              <w:left w:val="nil"/>
              <w:bottom w:val="nil"/>
              <w:right w:val="nil"/>
            </w:tcBorders>
            <w:vAlign w:val="center"/>
          </w:tcPr>
          <w:p w14:paraId="2F63F53C" w14:textId="77777777" w:rsidR="00083D72" w:rsidRPr="00785BF3" w:rsidRDefault="00083D72" w:rsidP="00744119">
            <w:pPr>
              <w:pStyle w:val="NoSpacing"/>
              <w:jc w:val="center"/>
              <w:rPr>
                <w:rFonts w:ascii="Times New Roman" w:hAnsi="Times New Roman"/>
                <w:sz w:val="19"/>
                <w:szCs w:val="19"/>
                <w:lang w:val="en-US"/>
              </w:rPr>
            </w:pPr>
          </w:p>
        </w:tc>
        <w:tc>
          <w:tcPr>
            <w:tcW w:w="1559" w:type="dxa"/>
            <w:gridSpan w:val="2"/>
            <w:tcBorders>
              <w:top w:val="nil"/>
              <w:left w:val="nil"/>
              <w:bottom w:val="nil"/>
              <w:right w:val="nil"/>
            </w:tcBorders>
            <w:vAlign w:val="center"/>
          </w:tcPr>
          <w:p w14:paraId="28C3C9F4"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Y</w:t>
            </w:r>
          </w:p>
        </w:tc>
      </w:tr>
      <w:tr w:rsidR="00083D72" w:rsidRPr="00785BF3" w14:paraId="08982F8C" w14:textId="77777777" w:rsidTr="002834B0">
        <w:tc>
          <w:tcPr>
            <w:tcW w:w="1843" w:type="dxa"/>
            <w:tcBorders>
              <w:top w:val="nil"/>
              <w:left w:val="nil"/>
              <w:bottom w:val="nil"/>
              <w:right w:val="nil"/>
            </w:tcBorders>
            <w:vAlign w:val="center"/>
          </w:tcPr>
          <w:p w14:paraId="513DE949"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Year FE</w:t>
            </w:r>
          </w:p>
        </w:tc>
        <w:tc>
          <w:tcPr>
            <w:tcW w:w="426" w:type="dxa"/>
            <w:tcBorders>
              <w:top w:val="nil"/>
              <w:left w:val="nil"/>
              <w:bottom w:val="nil"/>
              <w:right w:val="nil"/>
            </w:tcBorders>
            <w:vAlign w:val="center"/>
          </w:tcPr>
          <w:p w14:paraId="4F2B671E" w14:textId="77777777" w:rsidR="00083D72" w:rsidRPr="00785BF3" w:rsidRDefault="00083D72" w:rsidP="00744119">
            <w:pPr>
              <w:pStyle w:val="NoSpacing"/>
              <w:jc w:val="center"/>
              <w:rPr>
                <w:rFonts w:ascii="Times New Roman" w:hAnsi="Times New Roman"/>
                <w:sz w:val="19"/>
                <w:szCs w:val="19"/>
                <w:lang w:val="en-US"/>
              </w:rPr>
            </w:pPr>
          </w:p>
        </w:tc>
        <w:tc>
          <w:tcPr>
            <w:tcW w:w="850" w:type="dxa"/>
            <w:tcBorders>
              <w:top w:val="nil"/>
              <w:left w:val="nil"/>
              <w:bottom w:val="nil"/>
              <w:right w:val="nil"/>
            </w:tcBorders>
            <w:vAlign w:val="center"/>
          </w:tcPr>
          <w:p w14:paraId="4F1FBC52"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vAlign w:val="center"/>
          </w:tcPr>
          <w:p w14:paraId="0F886823"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7F0FD217"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1CFBB238"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vAlign w:val="center"/>
          </w:tcPr>
          <w:p w14:paraId="7EF0DD8A"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796FF71B" w14:textId="77777777" w:rsidR="00083D72" w:rsidRPr="00785BF3" w:rsidRDefault="00083D72" w:rsidP="00744119">
            <w:pPr>
              <w:pStyle w:val="NoSpacing"/>
              <w:jc w:val="center"/>
              <w:rPr>
                <w:rFonts w:ascii="Times New Roman" w:hAnsi="Times New Roman"/>
                <w:sz w:val="19"/>
                <w:szCs w:val="19"/>
                <w:lang w:val="en-US"/>
              </w:rPr>
            </w:pPr>
          </w:p>
        </w:tc>
        <w:tc>
          <w:tcPr>
            <w:tcW w:w="284" w:type="dxa"/>
            <w:tcBorders>
              <w:top w:val="nil"/>
              <w:left w:val="nil"/>
              <w:bottom w:val="nil"/>
              <w:right w:val="nil"/>
            </w:tcBorders>
            <w:vAlign w:val="center"/>
          </w:tcPr>
          <w:p w14:paraId="5767D04D" w14:textId="77777777" w:rsidR="00083D72" w:rsidRPr="00785BF3" w:rsidRDefault="00083D72" w:rsidP="00744119">
            <w:pPr>
              <w:pStyle w:val="NoSpacing"/>
              <w:jc w:val="center"/>
              <w:rPr>
                <w:rFonts w:ascii="Times New Roman" w:hAnsi="Times New Roman"/>
                <w:sz w:val="19"/>
                <w:szCs w:val="19"/>
                <w:lang w:val="en-US"/>
              </w:rPr>
            </w:pPr>
          </w:p>
        </w:tc>
        <w:tc>
          <w:tcPr>
            <w:tcW w:w="1559" w:type="dxa"/>
            <w:gridSpan w:val="2"/>
            <w:tcBorders>
              <w:top w:val="nil"/>
              <w:left w:val="nil"/>
              <w:bottom w:val="nil"/>
              <w:right w:val="nil"/>
            </w:tcBorders>
            <w:vAlign w:val="center"/>
          </w:tcPr>
          <w:p w14:paraId="44AEFFCD"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Y</w:t>
            </w:r>
          </w:p>
        </w:tc>
      </w:tr>
      <w:tr w:rsidR="00083D72" w:rsidRPr="00785BF3" w14:paraId="65A29643" w14:textId="77777777" w:rsidTr="002834B0">
        <w:tc>
          <w:tcPr>
            <w:tcW w:w="1843" w:type="dxa"/>
            <w:tcBorders>
              <w:top w:val="nil"/>
              <w:left w:val="nil"/>
              <w:bottom w:val="nil"/>
              <w:right w:val="nil"/>
            </w:tcBorders>
            <w:shd w:val="clear" w:color="auto" w:fill="auto"/>
            <w:vAlign w:val="center"/>
          </w:tcPr>
          <w:p w14:paraId="5164B9B1"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Firm FE</w:t>
            </w:r>
          </w:p>
        </w:tc>
        <w:tc>
          <w:tcPr>
            <w:tcW w:w="426" w:type="dxa"/>
            <w:tcBorders>
              <w:top w:val="nil"/>
              <w:left w:val="nil"/>
              <w:bottom w:val="nil"/>
              <w:right w:val="nil"/>
            </w:tcBorders>
            <w:shd w:val="clear" w:color="auto" w:fill="auto"/>
            <w:vAlign w:val="center"/>
          </w:tcPr>
          <w:p w14:paraId="20349F1C" w14:textId="77777777" w:rsidR="00083D72" w:rsidRPr="00785BF3" w:rsidRDefault="00083D72" w:rsidP="00744119">
            <w:pPr>
              <w:pStyle w:val="NoSpacing"/>
              <w:jc w:val="center"/>
              <w:rPr>
                <w:rFonts w:ascii="Times New Roman" w:hAnsi="Times New Roman"/>
                <w:sz w:val="19"/>
                <w:szCs w:val="19"/>
                <w:lang w:val="en-US"/>
              </w:rPr>
            </w:pPr>
          </w:p>
        </w:tc>
        <w:tc>
          <w:tcPr>
            <w:tcW w:w="850" w:type="dxa"/>
            <w:tcBorders>
              <w:top w:val="nil"/>
              <w:left w:val="nil"/>
              <w:bottom w:val="nil"/>
              <w:right w:val="nil"/>
            </w:tcBorders>
            <w:shd w:val="clear" w:color="auto" w:fill="auto"/>
            <w:vAlign w:val="center"/>
          </w:tcPr>
          <w:p w14:paraId="1DC8A68D"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shd w:val="clear" w:color="auto" w:fill="auto"/>
            <w:vAlign w:val="center"/>
          </w:tcPr>
          <w:p w14:paraId="35AA3D99"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shd w:val="clear" w:color="auto" w:fill="auto"/>
            <w:vAlign w:val="center"/>
          </w:tcPr>
          <w:p w14:paraId="5F09F045"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shd w:val="clear" w:color="auto" w:fill="auto"/>
            <w:vAlign w:val="center"/>
          </w:tcPr>
          <w:p w14:paraId="1B53712B"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shd w:val="clear" w:color="auto" w:fill="auto"/>
            <w:vAlign w:val="center"/>
          </w:tcPr>
          <w:p w14:paraId="6B2939E3"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shd w:val="clear" w:color="auto" w:fill="auto"/>
            <w:vAlign w:val="center"/>
          </w:tcPr>
          <w:p w14:paraId="279EAD4E" w14:textId="77777777" w:rsidR="00083D72" w:rsidRPr="00785BF3" w:rsidRDefault="00083D72" w:rsidP="00744119">
            <w:pPr>
              <w:pStyle w:val="NoSpacing"/>
              <w:jc w:val="center"/>
              <w:rPr>
                <w:rFonts w:ascii="Times New Roman" w:hAnsi="Times New Roman"/>
                <w:sz w:val="19"/>
                <w:szCs w:val="19"/>
                <w:lang w:val="en-US"/>
              </w:rPr>
            </w:pPr>
          </w:p>
        </w:tc>
        <w:tc>
          <w:tcPr>
            <w:tcW w:w="284" w:type="dxa"/>
            <w:tcBorders>
              <w:top w:val="nil"/>
              <w:left w:val="nil"/>
              <w:bottom w:val="nil"/>
              <w:right w:val="nil"/>
            </w:tcBorders>
            <w:shd w:val="clear" w:color="auto" w:fill="auto"/>
            <w:vAlign w:val="center"/>
          </w:tcPr>
          <w:p w14:paraId="0D6B5C49" w14:textId="77777777" w:rsidR="00083D72" w:rsidRPr="00785BF3" w:rsidRDefault="00083D72" w:rsidP="00744119">
            <w:pPr>
              <w:pStyle w:val="NoSpacing"/>
              <w:jc w:val="center"/>
              <w:rPr>
                <w:rFonts w:ascii="Times New Roman" w:hAnsi="Times New Roman"/>
                <w:sz w:val="19"/>
                <w:szCs w:val="19"/>
                <w:lang w:val="en-US"/>
              </w:rPr>
            </w:pPr>
          </w:p>
        </w:tc>
        <w:tc>
          <w:tcPr>
            <w:tcW w:w="1559" w:type="dxa"/>
            <w:gridSpan w:val="2"/>
            <w:tcBorders>
              <w:top w:val="nil"/>
              <w:left w:val="nil"/>
              <w:bottom w:val="nil"/>
              <w:right w:val="nil"/>
            </w:tcBorders>
            <w:shd w:val="clear" w:color="auto" w:fill="auto"/>
            <w:vAlign w:val="center"/>
          </w:tcPr>
          <w:p w14:paraId="6AC012EA"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Y</w:t>
            </w:r>
          </w:p>
        </w:tc>
      </w:tr>
      <w:tr w:rsidR="00083D72" w:rsidRPr="00785BF3" w14:paraId="114E2D60" w14:textId="77777777" w:rsidTr="002834B0">
        <w:trPr>
          <w:trHeight w:val="151"/>
        </w:trPr>
        <w:tc>
          <w:tcPr>
            <w:tcW w:w="1843" w:type="dxa"/>
            <w:tcBorders>
              <w:top w:val="nil"/>
              <w:left w:val="nil"/>
              <w:bottom w:val="nil"/>
              <w:right w:val="nil"/>
            </w:tcBorders>
            <w:vAlign w:val="center"/>
          </w:tcPr>
          <w:p w14:paraId="296B80D4"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Adjusted R</w:t>
            </w:r>
          </w:p>
        </w:tc>
        <w:tc>
          <w:tcPr>
            <w:tcW w:w="426" w:type="dxa"/>
            <w:tcBorders>
              <w:top w:val="nil"/>
              <w:left w:val="nil"/>
              <w:bottom w:val="nil"/>
              <w:right w:val="nil"/>
            </w:tcBorders>
            <w:vAlign w:val="center"/>
          </w:tcPr>
          <w:p w14:paraId="1C39FB7E" w14:textId="77777777" w:rsidR="00083D72" w:rsidRPr="00785BF3" w:rsidRDefault="00083D72" w:rsidP="00744119">
            <w:pPr>
              <w:pStyle w:val="NoSpacing"/>
              <w:jc w:val="center"/>
              <w:rPr>
                <w:rFonts w:ascii="Times New Roman" w:hAnsi="Times New Roman"/>
                <w:sz w:val="19"/>
                <w:szCs w:val="19"/>
                <w:lang w:val="en-US"/>
              </w:rPr>
            </w:pPr>
          </w:p>
        </w:tc>
        <w:tc>
          <w:tcPr>
            <w:tcW w:w="850" w:type="dxa"/>
            <w:tcBorders>
              <w:top w:val="nil"/>
              <w:left w:val="nil"/>
              <w:bottom w:val="nil"/>
              <w:right w:val="nil"/>
            </w:tcBorders>
            <w:vAlign w:val="center"/>
          </w:tcPr>
          <w:p w14:paraId="7771C645"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vAlign w:val="center"/>
          </w:tcPr>
          <w:p w14:paraId="62D0396E"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69380E3F"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26876633"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nil"/>
              <w:right w:val="nil"/>
            </w:tcBorders>
            <w:vAlign w:val="center"/>
          </w:tcPr>
          <w:p w14:paraId="336867CD"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nil"/>
              <w:right w:val="nil"/>
            </w:tcBorders>
            <w:vAlign w:val="center"/>
          </w:tcPr>
          <w:p w14:paraId="476302EE" w14:textId="77777777" w:rsidR="00083D72" w:rsidRPr="00785BF3" w:rsidRDefault="00083D72" w:rsidP="00744119">
            <w:pPr>
              <w:pStyle w:val="NoSpacing"/>
              <w:jc w:val="center"/>
              <w:rPr>
                <w:rFonts w:ascii="Times New Roman" w:hAnsi="Times New Roman"/>
                <w:sz w:val="19"/>
                <w:szCs w:val="19"/>
                <w:lang w:val="en-US"/>
              </w:rPr>
            </w:pPr>
          </w:p>
        </w:tc>
        <w:tc>
          <w:tcPr>
            <w:tcW w:w="284" w:type="dxa"/>
            <w:tcBorders>
              <w:top w:val="nil"/>
              <w:left w:val="nil"/>
              <w:bottom w:val="nil"/>
              <w:right w:val="nil"/>
            </w:tcBorders>
            <w:vAlign w:val="center"/>
          </w:tcPr>
          <w:p w14:paraId="3C744E09" w14:textId="77777777" w:rsidR="00083D72" w:rsidRPr="00785BF3" w:rsidRDefault="00083D72" w:rsidP="00744119">
            <w:pPr>
              <w:pStyle w:val="NoSpacing"/>
              <w:jc w:val="center"/>
              <w:rPr>
                <w:rFonts w:ascii="Times New Roman" w:hAnsi="Times New Roman"/>
                <w:sz w:val="19"/>
                <w:szCs w:val="19"/>
                <w:lang w:val="en-US"/>
              </w:rPr>
            </w:pPr>
          </w:p>
        </w:tc>
        <w:tc>
          <w:tcPr>
            <w:tcW w:w="1559" w:type="dxa"/>
            <w:gridSpan w:val="2"/>
            <w:tcBorders>
              <w:top w:val="nil"/>
              <w:left w:val="nil"/>
              <w:bottom w:val="nil"/>
              <w:right w:val="nil"/>
            </w:tcBorders>
            <w:vAlign w:val="center"/>
          </w:tcPr>
          <w:p w14:paraId="54E2867C"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0.2306</w:t>
            </w:r>
          </w:p>
        </w:tc>
      </w:tr>
      <w:tr w:rsidR="00083D72" w:rsidRPr="00785BF3" w14:paraId="172E2CEF" w14:textId="77777777" w:rsidTr="002834B0">
        <w:tc>
          <w:tcPr>
            <w:tcW w:w="1843" w:type="dxa"/>
            <w:tcBorders>
              <w:top w:val="nil"/>
              <w:left w:val="nil"/>
              <w:bottom w:val="single" w:sz="4" w:space="0" w:color="auto"/>
              <w:right w:val="nil"/>
            </w:tcBorders>
            <w:vAlign w:val="center"/>
          </w:tcPr>
          <w:p w14:paraId="7F2F65AE" w14:textId="77777777" w:rsidR="00083D72" w:rsidRPr="00785BF3" w:rsidRDefault="00083D72" w:rsidP="00744119">
            <w:pPr>
              <w:pStyle w:val="NoSpacing"/>
              <w:rPr>
                <w:rFonts w:ascii="Times New Roman" w:hAnsi="Times New Roman"/>
                <w:sz w:val="19"/>
                <w:szCs w:val="19"/>
                <w:lang w:val="en-US"/>
              </w:rPr>
            </w:pPr>
            <w:r w:rsidRPr="00785BF3">
              <w:rPr>
                <w:rFonts w:ascii="Times New Roman" w:hAnsi="Times New Roman"/>
                <w:sz w:val="19"/>
                <w:szCs w:val="19"/>
                <w:lang w:val="en-US"/>
              </w:rPr>
              <w:t>Number of Obs.</w:t>
            </w:r>
          </w:p>
        </w:tc>
        <w:tc>
          <w:tcPr>
            <w:tcW w:w="426" w:type="dxa"/>
            <w:tcBorders>
              <w:top w:val="nil"/>
              <w:left w:val="nil"/>
              <w:bottom w:val="single" w:sz="4" w:space="0" w:color="auto"/>
              <w:right w:val="nil"/>
            </w:tcBorders>
            <w:vAlign w:val="center"/>
          </w:tcPr>
          <w:p w14:paraId="585CD20D" w14:textId="77777777" w:rsidR="00083D72" w:rsidRPr="00785BF3" w:rsidRDefault="00083D72" w:rsidP="00744119">
            <w:pPr>
              <w:pStyle w:val="NoSpacing"/>
              <w:jc w:val="center"/>
              <w:rPr>
                <w:rFonts w:ascii="Times New Roman" w:hAnsi="Times New Roman"/>
                <w:sz w:val="19"/>
                <w:szCs w:val="19"/>
                <w:lang w:val="en-US"/>
              </w:rPr>
            </w:pPr>
          </w:p>
        </w:tc>
        <w:tc>
          <w:tcPr>
            <w:tcW w:w="850" w:type="dxa"/>
            <w:tcBorders>
              <w:top w:val="nil"/>
              <w:left w:val="nil"/>
              <w:bottom w:val="single" w:sz="4" w:space="0" w:color="auto"/>
              <w:right w:val="nil"/>
            </w:tcBorders>
            <w:vAlign w:val="center"/>
          </w:tcPr>
          <w:p w14:paraId="7BF310B7"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single" w:sz="4" w:space="0" w:color="auto"/>
              <w:right w:val="nil"/>
            </w:tcBorders>
            <w:vAlign w:val="center"/>
          </w:tcPr>
          <w:p w14:paraId="36D52E13"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2B555077"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02FCBC9A" w14:textId="77777777" w:rsidR="00083D72" w:rsidRPr="00785BF3" w:rsidRDefault="00083D72" w:rsidP="00744119">
            <w:pPr>
              <w:pStyle w:val="NoSpacing"/>
              <w:jc w:val="center"/>
              <w:rPr>
                <w:rFonts w:ascii="Times New Roman" w:hAnsi="Times New Roman"/>
                <w:sz w:val="19"/>
                <w:szCs w:val="19"/>
                <w:lang w:val="en-US"/>
              </w:rPr>
            </w:pPr>
          </w:p>
        </w:tc>
        <w:tc>
          <w:tcPr>
            <w:tcW w:w="709" w:type="dxa"/>
            <w:tcBorders>
              <w:top w:val="nil"/>
              <w:left w:val="nil"/>
              <w:bottom w:val="single" w:sz="4" w:space="0" w:color="auto"/>
              <w:right w:val="nil"/>
            </w:tcBorders>
            <w:vAlign w:val="center"/>
          </w:tcPr>
          <w:p w14:paraId="34DC0B7B" w14:textId="77777777" w:rsidR="00083D72" w:rsidRPr="00785BF3" w:rsidRDefault="00083D72" w:rsidP="00744119">
            <w:pPr>
              <w:pStyle w:val="NoSpacing"/>
              <w:jc w:val="center"/>
              <w:rPr>
                <w:rFonts w:ascii="Times New Roman" w:hAnsi="Times New Roman"/>
                <w:sz w:val="19"/>
                <w:szCs w:val="19"/>
                <w:lang w:val="en-US"/>
              </w:rPr>
            </w:pPr>
          </w:p>
        </w:tc>
        <w:tc>
          <w:tcPr>
            <w:tcW w:w="992" w:type="dxa"/>
            <w:tcBorders>
              <w:top w:val="nil"/>
              <w:left w:val="nil"/>
              <w:bottom w:val="single" w:sz="4" w:space="0" w:color="auto"/>
              <w:right w:val="nil"/>
            </w:tcBorders>
            <w:vAlign w:val="center"/>
          </w:tcPr>
          <w:p w14:paraId="78B1359D" w14:textId="77777777" w:rsidR="00083D72" w:rsidRPr="00785BF3" w:rsidRDefault="00083D72" w:rsidP="00744119">
            <w:pPr>
              <w:pStyle w:val="NoSpacing"/>
              <w:jc w:val="center"/>
              <w:rPr>
                <w:rFonts w:ascii="Times New Roman" w:hAnsi="Times New Roman"/>
                <w:sz w:val="19"/>
                <w:szCs w:val="19"/>
                <w:lang w:val="en-US"/>
              </w:rPr>
            </w:pPr>
          </w:p>
        </w:tc>
        <w:tc>
          <w:tcPr>
            <w:tcW w:w="284" w:type="dxa"/>
            <w:tcBorders>
              <w:top w:val="nil"/>
              <w:left w:val="nil"/>
              <w:bottom w:val="single" w:sz="4" w:space="0" w:color="auto"/>
              <w:right w:val="nil"/>
            </w:tcBorders>
            <w:vAlign w:val="center"/>
          </w:tcPr>
          <w:p w14:paraId="4162C743" w14:textId="77777777" w:rsidR="00083D72" w:rsidRPr="00785BF3" w:rsidRDefault="00083D72" w:rsidP="00744119">
            <w:pPr>
              <w:pStyle w:val="NoSpacing"/>
              <w:jc w:val="center"/>
              <w:rPr>
                <w:rFonts w:ascii="Times New Roman" w:hAnsi="Times New Roman"/>
                <w:sz w:val="19"/>
                <w:szCs w:val="19"/>
                <w:lang w:val="en-US"/>
              </w:rPr>
            </w:pPr>
          </w:p>
        </w:tc>
        <w:tc>
          <w:tcPr>
            <w:tcW w:w="1559" w:type="dxa"/>
            <w:gridSpan w:val="2"/>
            <w:tcBorders>
              <w:top w:val="nil"/>
              <w:left w:val="nil"/>
              <w:bottom w:val="single" w:sz="4" w:space="0" w:color="auto"/>
              <w:right w:val="nil"/>
            </w:tcBorders>
            <w:vAlign w:val="center"/>
          </w:tcPr>
          <w:p w14:paraId="05833FAB" w14:textId="77777777" w:rsidR="00083D72" w:rsidRPr="00785BF3" w:rsidRDefault="00083D72" w:rsidP="00744119">
            <w:pPr>
              <w:pStyle w:val="NoSpacing"/>
              <w:jc w:val="center"/>
              <w:rPr>
                <w:rFonts w:ascii="Times New Roman" w:hAnsi="Times New Roman"/>
                <w:sz w:val="19"/>
                <w:szCs w:val="19"/>
                <w:lang w:val="en-US"/>
              </w:rPr>
            </w:pPr>
            <w:r w:rsidRPr="00785BF3">
              <w:rPr>
                <w:rFonts w:ascii="Times New Roman" w:hAnsi="Times New Roman"/>
                <w:sz w:val="19"/>
                <w:szCs w:val="19"/>
                <w:lang w:val="en-US"/>
              </w:rPr>
              <w:t>2,755</w:t>
            </w:r>
          </w:p>
        </w:tc>
      </w:tr>
    </w:tbl>
    <w:p w14:paraId="6696DEEC" w14:textId="77777777" w:rsidR="00083D72" w:rsidRDefault="00083D72" w:rsidP="00083D72">
      <w:pPr>
        <w:rPr>
          <w:rFonts w:ascii="Times New Roman" w:hAnsi="Times New Roman" w:cs="Times New Roman"/>
        </w:rPr>
      </w:pPr>
    </w:p>
    <w:p w14:paraId="098E3D09" w14:textId="77777777" w:rsidR="00537A5B" w:rsidRDefault="00537A5B" w:rsidP="00083D72">
      <w:pPr>
        <w:rPr>
          <w:rFonts w:ascii="Times New Roman" w:hAnsi="Times New Roman" w:cs="Times New Roman"/>
        </w:rPr>
      </w:pPr>
    </w:p>
    <w:p w14:paraId="5C04C6C6" w14:textId="77777777" w:rsidR="00537A5B" w:rsidRPr="00785BF3" w:rsidRDefault="00537A5B" w:rsidP="00083D72">
      <w:pPr>
        <w:rPr>
          <w:rFonts w:ascii="Times New Roman" w:hAnsi="Times New Roman" w:cs="Times New Roman"/>
        </w:rPr>
      </w:pPr>
    </w:p>
    <w:tbl>
      <w:tblPr>
        <w:tblW w:w="9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0"/>
        <w:gridCol w:w="4681"/>
        <w:gridCol w:w="2159"/>
      </w:tblGrid>
      <w:tr w:rsidR="00083D72" w:rsidRPr="00785BF3" w14:paraId="39864463" w14:textId="77777777" w:rsidTr="00106CFF">
        <w:trPr>
          <w:trHeight w:val="90"/>
        </w:trPr>
        <w:tc>
          <w:tcPr>
            <w:tcW w:w="9020" w:type="dxa"/>
            <w:gridSpan w:val="3"/>
            <w:tcBorders>
              <w:top w:val="single" w:sz="6" w:space="0" w:color="auto"/>
              <w:left w:val="nil"/>
              <w:bottom w:val="single" w:sz="6" w:space="0" w:color="auto"/>
              <w:right w:val="nil"/>
            </w:tcBorders>
            <w:shd w:val="clear" w:color="auto" w:fill="auto"/>
            <w:hideMark/>
          </w:tcPr>
          <w:p w14:paraId="44F30150" w14:textId="5DB3FE28" w:rsidR="00083D72" w:rsidRPr="00537A5B" w:rsidRDefault="00537A5B" w:rsidP="00537A5B">
            <w:pPr>
              <w:jc w:val="center"/>
              <w:rPr>
                <w:rFonts w:ascii="Times New Roman" w:hAnsi="Times New Roman" w:cs="Times New Roman"/>
                <w:sz w:val="19"/>
                <w:szCs w:val="19"/>
              </w:rPr>
            </w:pPr>
            <w:bookmarkStart w:id="34" w:name="_Toc167763063"/>
            <w:r>
              <w:rPr>
                <w:rStyle w:val="Heading2Char"/>
                <w:rFonts w:ascii="Times New Roman" w:hAnsi="Times New Roman" w:cs="Times New Roman"/>
                <w:b/>
                <w:bCs/>
                <w:color w:val="auto"/>
                <w:sz w:val="19"/>
                <w:szCs w:val="19"/>
              </w:rPr>
              <w:lastRenderedPageBreak/>
              <w:t>T</w:t>
            </w:r>
            <w:r w:rsidR="00083D72" w:rsidRPr="00537A5B">
              <w:rPr>
                <w:rStyle w:val="Heading2Char"/>
                <w:rFonts w:ascii="Times New Roman" w:hAnsi="Times New Roman" w:cs="Times New Roman"/>
                <w:b/>
                <w:bCs/>
                <w:color w:val="auto"/>
                <w:sz w:val="19"/>
                <w:szCs w:val="19"/>
              </w:rPr>
              <w:t xml:space="preserve">able </w:t>
            </w:r>
            <w:r w:rsidR="003F51DA" w:rsidRPr="00537A5B">
              <w:rPr>
                <w:rStyle w:val="Heading2Char"/>
                <w:rFonts w:ascii="Times New Roman" w:hAnsi="Times New Roman" w:cs="Times New Roman"/>
                <w:b/>
                <w:bCs/>
                <w:color w:val="auto"/>
                <w:sz w:val="19"/>
                <w:szCs w:val="19"/>
              </w:rPr>
              <w:t>6</w:t>
            </w:r>
            <w:bookmarkEnd w:id="34"/>
            <w:r w:rsidR="00083D72" w:rsidRPr="00537A5B">
              <w:rPr>
                <w:rFonts w:ascii="Times New Roman" w:hAnsi="Times New Roman" w:cs="Times New Roman"/>
                <w:b/>
                <w:bCs/>
                <w:sz w:val="19"/>
                <w:szCs w:val="19"/>
                <w:lang w:val="en-US"/>
              </w:rPr>
              <w:t xml:space="preserve">: </w:t>
            </w:r>
            <w:r w:rsidR="00083D72" w:rsidRPr="00537A5B">
              <w:rPr>
                <w:rFonts w:ascii="Times New Roman" w:hAnsi="Times New Roman" w:cs="Times New Roman"/>
                <w:sz w:val="19"/>
                <w:szCs w:val="19"/>
                <w:lang w:val="en-US"/>
              </w:rPr>
              <w:t>Cross-Sectional Analysis</w:t>
            </w:r>
          </w:p>
        </w:tc>
      </w:tr>
      <w:tr w:rsidR="00083D72" w:rsidRPr="00785BF3" w14:paraId="1560D832" w14:textId="77777777" w:rsidTr="00744119">
        <w:trPr>
          <w:trHeight w:val="210"/>
        </w:trPr>
        <w:tc>
          <w:tcPr>
            <w:tcW w:w="9020" w:type="dxa"/>
            <w:gridSpan w:val="3"/>
            <w:tcBorders>
              <w:top w:val="single" w:sz="6" w:space="0" w:color="auto"/>
              <w:left w:val="nil"/>
              <w:bottom w:val="single" w:sz="6" w:space="0" w:color="auto"/>
              <w:right w:val="nil"/>
            </w:tcBorders>
            <w:shd w:val="clear" w:color="auto" w:fill="auto"/>
            <w:hideMark/>
          </w:tcPr>
          <w:p w14:paraId="6EFA5A23" w14:textId="77777777" w:rsidR="00083D72" w:rsidRPr="00785BF3" w:rsidRDefault="00083D72" w:rsidP="00744119">
            <w:pPr>
              <w:jc w:val="both"/>
              <w:textAlignment w:val="baseline"/>
              <w:rPr>
                <w:rFonts w:ascii="Times New Roman" w:hAnsi="Times New Roman" w:cs="Times New Roman"/>
              </w:rPr>
            </w:pPr>
            <w:r w:rsidRPr="00785BF3">
              <w:rPr>
                <w:rFonts w:ascii="Times New Roman" w:hAnsi="Times New Roman" w:cs="Times New Roman"/>
                <w:sz w:val="19"/>
                <w:szCs w:val="19"/>
                <w:lang w:val="en-US"/>
              </w:rPr>
              <w:t>Using Ordinary Least Square (OLS) regressions, this table examines the impact of ESG score and accounting conservatism on the association between Accounting Fraud and dividend smoothing. T-statistics are robust standard errors clustered by industry fixed effects and are adjusted for heteroscedasticity (presented in brackets). The significance is indicated at the 1%, 5% and 10% levels represented by ***, ** and * respectively. All variables are identified and defined in Appendix A.</w:t>
            </w:r>
            <w:r w:rsidRPr="00785BF3">
              <w:rPr>
                <w:rFonts w:ascii="Times New Roman" w:hAnsi="Times New Roman" w:cs="Times New Roman"/>
                <w:sz w:val="19"/>
                <w:szCs w:val="19"/>
              </w:rPr>
              <w:t> </w:t>
            </w:r>
          </w:p>
        </w:tc>
      </w:tr>
      <w:tr w:rsidR="00083D72" w:rsidRPr="00785BF3" w14:paraId="283E3BFD" w14:textId="77777777" w:rsidTr="00744119">
        <w:trPr>
          <w:trHeight w:val="75"/>
        </w:trPr>
        <w:tc>
          <w:tcPr>
            <w:tcW w:w="2180" w:type="dxa"/>
            <w:tcBorders>
              <w:top w:val="single" w:sz="6" w:space="0" w:color="auto"/>
              <w:left w:val="nil"/>
              <w:bottom w:val="single" w:sz="6" w:space="0" w:color="auto"/>
              <w:right w:val="nil"/>
            </w:tcBorders>
            <w:shd w:val="clear" w:color="auto" w:fill="auto"/>
            <w:hideMark/>
          </w:tcPr>
          <w:p w14:paraId="3F52A3CC"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b/>
                <w:bCs/>
                <w:sz w:val="19"/>
                <w:szCs w:val="19"/>
                <w:lang w:val="en-US"/>
              </w:rPr>
              <w:t>Variables</w:t>
            </w:r>
            <w:r w:rsidRPr="00785BF3">
              <w:rPr>
                <w:rFonts w:ascii="Times New Roman" w:hAnsi="Times New Roman" w:cs="Times New Roman"/>
                <w:sz w:val="19"/>
                <w:szCs w:val="19"/>
              </w:rPr>
              <w:t> </w:t>
            </w:r>
          </w:p>
        </w:tc>
        <w:tc>
          <w:tcPr>
            <w:tcW w:w="4681" w:type="dxa"/>
            <w:tcBorders>
              <w:top w:val="nil"/>
              <w:left w:val="nil"/>
              <w:bottom w:val="single" w:sz="6" w:space="0" w:color="auto"/>
              <w:right w:val="nil"/>
            </w:tcBorders>
            <w:shd w:val="clear" w:color="auto" w:fill="auto"/>
            <w:hideMark/>
          </w:tcPr>
          <w:p w14:paraId="60629456"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b/>
                <w:bCs/>
                <w:sz w:val="19"/>
                <w:szCs w:val="19"/>
                <w:lang w:val="en-US"/>
              </w:rPr>
              <w:t>(1)</w:t>
            </w:r>
            <w:r w:rsidRPr="00785BF3">
              <w:rPr>
                <w:rFonts w:ascii="Times New Roman" w:hAnsi="Times New Roman" w:cs="Times New Roman"/>
                <w:sz w:val="19"/>
                <w:szCs w:val="19"/>
              </w:rPr>
              <w:t> </w:t>
            </w:r>
          </w:p>
        </w:tc>
        <w:tc>
          <w:tcPr>
            <w:tcW w:w="2159" w:type="dxa"/>
            <w:tcBorders>
              <w:top w:val="nil"/>
              <w:left w:val="nil"/>
              <w:bottom w:val="single" w:sz="6" w:space="0" w:color="auto"/>
              <w:right w:val="nil"/>
            </w:tcBorders>
            <w:shd w:val="clear" w:color="auto" w:fill="auto"/>
            <w:hideMark/>
          </w:tcPr>
          <w:p w14:paraId="40E18F2B"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b/>
                <w:bCs/>
                <w:sz w:val="19"/>
                <w:szCs w:val="19"/>
                <w:lang w:val="en-US"/>
              </w:rPr>
              <w:t>(2)</w:t>
            </w:r>
            <w:r w:rsidRPr="00785BF3">
              <w:rPr>
                <w:rFonts w:ascii="Times New Roman" w:hAnsi="Times New Roman" w:cs="Times New Roman"/>
                <w:sz w:val="19"/>
                <w:szCs w:val="19"/>
              </w:rPr>
              <w:t> </w:t>
            </w:r>
          </w:p>
        </w:tc>
      </w:tr>
      <w:tr w:rsidR="00083D72" w:rsidRPr="00785BF3" w14:paraId="4A483CAC" w14:textId="77777777" w:rsidTr="00744119">
        <w:trPr>
          <w:trHeight w:val="90"/>
        </w:trPr>
        <w:tc>
          <w:tcPr>
            <w:tcW w:w="2180" w:type="dxa"/>
            <w:tcBorders>
              <w:top w:val="single" w:sz="6" w:space="0" w:color="auto"/>
              <w:left w:val="nil"/>
              <w:bottom w:val="nil"/>
              <w:right w:val="nil"/>
            </w:tcBorders>
            <w:shd w:val="clear" w:color="auto" w:fill="auto"/>
            <w:hideMark/>
          </w:tcPr>
          <w:p w14:paraId="76902ACE"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Fraud</w:t>
            </w:r>
            <w:r w:rsidRPr="00785BF3">
              <w:rPr>
                <w:rFonts w:ascii="Times New Roman" w:hAnsi="Times New Roman" w:cs="Times New Roman"/>
                <w:sz w:val="19"/>
                <w:szCs w:val="19"/>
              </w:rPr>
              <w:t> </w:t>
            </w:r>
          </w:p>
        </w:tc>
        <w:tc>
          <w:tcPr>
            <w:tcW w:w="4681" w:type="dxa"/>
            <w:tcBorders>
              <w:top w:val="single" w:sz="6" w:space="0" w:color="auto"/>
              <w:left w:val="nil"/>
              <w:bottom w:val="nil"/>
              <w:right w:val="nil"/>
            </w:tcBorders>
            <w:shd w:val="clear" w:color="auto" w:fill="auto"/>
            <w:hideMark/>
          </w:tcPr>
          <w:p w14:paraId="13C70F22" w14:textId="77777777" w:rsidR="00083D72" w:rsidRPr="00785BF3" w:rsidRDefault="00083D72" w:rsidP="00744119">
            <w:pPr>
              <w:jc w:val="center"/>
              <w:textAlignment w:val="baseline"/>
              <w:rPr>
                <w:rFonts w:ascii="Times New Roman" w:hAnsi="Times New Roman" w:cs="Times New Roman"/>
                <w:sz w:val="19"/>
                <w:szCs w:val="19"/>
                <w:lang w:val="en-US"/>
              </w:rPr>
            </w:pPr>
            <w:r w:rsidRPr="00785BF3">
              <w:rPr>
                <w:rFonts w:ascii="Times New Roman" w:hAnsi="Times New Roman" w:cs="Times New Roman"/>
                <w:sz w:val="19"/>
                <w:szCs w:val="19"/>
                <w:lang w:val="en-US"/>
              </w:rPr>
              <w:t>0.15</w:t>
            </w:r>
          </w:p>
          <w:p w14:paraId="569C4D36"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(0.56)</w:t>
            </w:r>
            <w:r w:rsidRPr="00785BF3">
              <w:rPr>
                <w:rFonts w:ascii="Times New Roman" w:hAnsi="Times New Roman" w:cs="Times New Roman"/>
                <w:sz w:val="19"/>
                <w:szCs w:val="19"/>
              </w:rPr>
              <w:t> </w:t>
            </w:r>
          </w:p>
        </w:tc>
        <w:tc>
          <w:tcPr>
            <w:tcW w:w="2159" w:type="dxa"/>
            <w:tcBorders>
              <w:top w:val="single" w:sz="6" w:space="0" w:color="auto"/>
              <w:left w:val="nil"/>
              <w:bottom w:val="nil"/>
              <w:right w:val="nil"/>
            </w:tcBorders>
            <w:shd w:val="clear" w:color="auto" w:fill="auto"/>
            <w:hideMark/>
          </w:tcPr>
          <w:p w14:paraId="454B03DB"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-0.18***</w:t>
            </w:r>
            <w:r w:rsidRPr="00785BF3">
              <w:rPr>
                <w:rFonts w:ascii="Times New Roman" w:hAnsi="Times New Roman" w:cs="Times New Roman"/>
                <w:sz w:val="19"/>
                <w:szCs w:val="19"/>
              </w:rPr>
              <w:t> </w:t>
            </w:r>
          </w:p>
          <w:p w14:paraId="69DFD055"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(-2.66)</w:t>
            </w:r>
            <w:r w:rsidRPr="00785BF3">
              <w:rPr>
                <w:rFonts w:ascii="Times New Roman" w:hAnsi="Times New Roman" w:cs="Times New Roman"/>
                <w:sz w:val="19"/>
                <w:szCs w:val="19"/>
              </w:rPr>
              <w:t> </w:t>
            </w:r>
          </w:p>
        </w:tc>
      </w:tr>
      <w:tr w:rsidR="00083D72" w:rsidRPr="00785BF3" w14:paraId="04B180F1" w14:textId="77777777" w:rsidTr="00744119">
        <w:trPr>
          <w:trHeight w:val="90"/>
        </w:trPr>
        <w:tc>
          <w:tcPr>
            <w:tcW w:w="2180" w:type="dxa"/>
            <w:tcBorders>
              <w:top w:val="nil"/>
              <w:left w:val="nil"/>
              <w:bottom w:val="nil"/>
              <w:right w:val="nil"/>
            </w:tcBorders>
            <w:shd w:val="clear" w:color="auto" w:fill="auto"/>
            <w:hideMark/>
          </w:tcPr>
          <w:p w14:paraId="504C6C9F"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ESG Score</w:t>
            </w:r>
          </w:p>
        </w:tc>
        <w:tc>
          <w:tcPr>
            <w:tcW w:w="4681" w:type="dxa"/>
            <w:tcBorders>
              <w:top w:val="nil"/>
              <w:left w:val="nil"/>
              <w:bottom w:val="nil"/>
              <w:right w:val="nil"/>
            </w:tcBorders>
            <w:shd w:val="clear" w:color="auto" w:fill="auto"/>
            <w:hideMark/>
          </w:tcPr>
          <w:p w14:paraId="1EEFFD4F" w14:textId="77777777" w:rsidR="00083D72" w:rsidRPr="00785BF3" w:rsidRDefault="00083D72" w:rsidP="00744119">
            <w:pPr>
              <w:jc w:val="center"/>
              <w:textAlignment w:val="baseline"/>
              <w:rPr>
                <w:rFonts w:ascii="Times New Roman" w:hAnsi="Times New Roman" w:cs="Times New Roman"/>
                <w:sz w:val="19"/>
                <w:szCs w:val="19"/>
                <w:lang w:val="en-US"/>
              </w:rPr>
            </w:pPr>
            <w:r w:rsidRPr="00785BF3">
              <w:rPr>
                <w:rFonts w:ascii="Times New Roman" w:hAnsi="Times New Roman" w:cs="Times New Roman"/>
                <w:sz w:val="19"/>
                <w:szCs w:val="19"/>
                <w:lang w:val="en-US"/>
              </w:rPr>
              <w:t>-0.01</w:t>
            </w:r>
          </w:p>
          <w:p w14:paraId="77D5889A"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(-0.30) </w:t>
            </w:r>
            <w:r w:rsidRPr="00785BF3">
              <w:rPr>
                <w:rFonts w:ascii="Times New Roman" w:hAnsi="Times New Roman" w:cs="Times New Roman"/>
                <w:sz w:val="19"/>
                <w:szCs w:val="19"/>
              </w:rPr>
              <w:t> </w:t>
            </w:r>
          </w:p>
        </w:tc>
        <w:tc>
          <w:tcPr>
            <w:tcW w:w="2159" w:type="dxa"/>
            <w:tcBorders>
              <w:top w:val="nil"/>
              <w:left w:val="nil"/>
              <w:bottom w:val="nil"/>
              <w:right w:val="nil"/>
            </w:tcBorders>
            <w:shd w:val="clear" w:color="auto" w:fill="auto"/>
          </w:tcPr>
          <w:p w14:paraId="55E67208" w14:textId="77777777" w:rsidR="00083D72" w:rsidRPr="00785BF3" w:rsidRDefault="00083D72" w:rsidP="00744119">
            <w:pPr>
              <w:jc w:val="center"/>
              <w:textAlignment w:val="baseline"/>
              <w:rPr>
                <w:rFonts w:ascii="Times New Roman" w:hAnsi="Times New Roman" w:cs="Times New Roman"/>
                <w:sz w:val="19"/>
                <w:szCs w:val="19"/>
              </w:rPr>
            </w:pPr>
          </w:p>
        </w:tc>
      </w:tr>
      <w:tr w:rsidR="00083D72" w:rsidRPr="00785BF3" w14:paraId="3400B31B" w14:textId="77777777" w:rsidTr="00744119">
        <w:trPr>
          <w:trHeight w:val="90"/>
        </w:trPr>
        <w:tc>
          <w:tcPr>
            <w:tcW w:w="2180" w:type="dxa"/>
            <w:tcBorders>
              <w:top w:val="nil"/>
              <w:left w:val="nil"/>
              <w:bottom w:val="nil"/>
              <w:right w:val="nil"/>
            </w:tcBorders>
            <w:shd w:val="clear" w:color="auto" w:fill="auto"/>
            <w:hideMark/>
          </w:tcPr>
          <w:p w14:paraId="28AC3D79"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Fraud</w:t>
            </w:r>
            <w:r w:rsidRPr="00785BF3">
              <w:rPr>
                <w:rFonts w:ascii="Times New Roman" w:hAnsi="Times New Roman" w:cs="Times New Roman"/>
                <w:sz w:val="19"/>
                <w:szCs w:val="19"/>
              </w:rPr>
              <w:t> × ESG Score</w:t>
            </w:r>
          </w:p>
        </w:tc>
        <w:tc>
          <w:tcPr>
            <w:tcW w:w="4681" w:type="dxa"/>
            <w:tcBorders>
              <w:top w:val="nil"/>
              <w:left w:val="nil"/>
              <w:bottom w:val="nil"/>
              <w:right w:val="nil"/>
            </w:tcBorders>
            <w:shd w:val="clear" w:color="auto" w:fill="auto"/>
            <w:hideMark/>
          </w:tcPr>
          <w:p w14:paraId="72BF0CF7"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 </w:t>
            </w:r>
            <w:r w:rsidRPr="00785BF3">
              <w:rPr>
                <w:rFonts w:ascii="Times New Roman" w:hAnsi="Times New Roman" w:cs="Times New Roman"/>
                <w:sz w:val="19"/>
                <w:szCs w:val="19"/>
              </w:rPr>
              <w:t> 0.20*</w:t>
            </w:r>
          </w:p>
          <w:p w14:paraId="266160E9"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rPr>
              <w:t>(1.82)</w:t>
            </w:r>
          </w:p>
        </w:tc>
        <w:tc>
          <w:tcPr>
            <w:tcW w:w="2159" w:type="dxa"/>
            <w:tcBorders>
              <w:top w:val="nil"/>
              <w:left w:val="nil"/>
              <w:bottom w:val="nil"/>
              <w:right w:val="nil"/>
            </w:tcBorders>
            <w:shd w:val="clear" w:color="auto" w:fill="auto"/>
          </w:tcPr>
          <w:p w14:paraId="00CF83D2" w14:textId="77777777" w:rsidR="00083D72" w:rsidRPr="00785BF3" w:rsidRDefault="00083D72" w:rsidP="00744119">
            <w:pPr>
              <w:jc w:val="center"/>
              <w:textAlignment w:val="baseline"/>
              <w:rPr>
                <w:rFonts w:ascii="Times New Roman" w:hAnsi="Times New Roman" w:cs="Times New Roman"/>
                <w:sz w:val="19"/>
                <w:szCs w:val="19"/>
              </w:rPr>
            </w:pPr>
          </w:p>
        </w:tc>
      </w:tr>
      <w:tr w:rsidR="00083D72" w:rsidRPr="00785BF3" w14:paraId="55171C12" w14:textId="77777777" w:rsidTr="00744119">
        <w:trPr>
          <w:trHeight w:val="165"/>
        </w:trPr>
        <w:tc>
          <w:tcPr>
            <w:tcW w:w="2180" w:type="dxa"/>
            <w:tcBorders>
              <w:top w:val="nil"/>
              <w:left w:val="nil"/>
              <w:bottom w:val="nil"/>
              <w:right w:val="nil"/>
            </w:tcBorders>
            <w:shd w:val="clear" w:color="auto" w:fill="auto"/>
            <w:hideMark/>
          </w:tcPr>
          <w:p w14:paraId="19E3E5E8"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Accounting Conservatism</w:t>
            </w:r>
            <w:r w:rsidRPr="00785BF3">
              <w:rPr>
                <w:rFonts w:ascii="Times New Roman" w:hAnsi="Times New Roman" w:cs="Times New Roman"/>
                <w:sz w:val="19"/>
                <w:szCs w:val="19"/>
              </w:rPr>
              <w:t> </w:t>
            </w:r>
          </w:p>
        </w:tc>
        <w:tc>
          <w:tcPr>
            <w:tcW w:w="4681" w:type="dxa"/>
            <w:tcBorders>
              <w:top w:val="nil"/>
              <w:left w:val="nil"/>
              <w:bottom w:val="nil"/>
              <w:right w:val="nil"/>
            </w:tcBorders>
            <w:shd w:val="clear" w:color="auto" w:fill="auto"/>
            <w:hideMark/>
          </w:tcPr>
          <w:p w14:paraId="56F7C51E"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 </w:t>
            </w:r>
            <w:r w:rsidRPr="00785BF3">
              <w:rPr>
                <w:rFonts w:ascii="Times New Roman" w:hAnsi="Times New Roman" w:cs="Times New Roman"/>
                <w:sz w:val="19"/>
                <w:szCs w:val="19"/>
              </w:rPr>
              <w:t> </w:t>
            </w:r>
          </w:p>
        </w:tc>
        <w:tc>
          <w:tcPr>
            <w:tcW w:w="2159" w:type="dxa"/>
            <w:tcBorders>
              <w:top w:val="nil"/>
              <w:left w:val="nil"/>
              <w:bottom w:val="nil"/>
              <w:right w:val="nil"/>
            </w:tcBorders>
            <w:shd w:val="clear" w:color="auto" w:fill="auto"/>
            <w:hideMark/>
          </w:tcPr>
          <w:p w14:paraId="7A51EB32"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rPr>
              <w:t>0.02</w:t>
            </w:r>
          </w:p>
          <w:p w14:paraId="33B8D6D9"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rPr>
              <w:t>(1.40)</w:t>
            </w:r>
          </w:p>
        </w:tc>
      </w:tr>
      <w:tr w:rsidR="00083D72" w:rsidRPr="00785BF3" w14:paraId="70CC39E1" w14:textId="77777777" w:rsidTr="00744119">
        <w:trPr>
          <w:trHeight w:val="90"/>
        </w:trPr>
        <w:tc>
          <w:tcPr>
            <w:tcW w:w="2180" w:type="dxa"/>
            <w:tcBorders>
              <w:top w:val="nil"/>
              <w:left w:val="nil"/>
              <w:bottom w:val="nil"/>
              <w:right w:val="nil"/>
            </w:tcBorders>
            <w:shd w:val="clear" w:color="auto" w:fill="auto"/>
            <w:hideMark/>
          </w:tcPr>
          <w:p w14:paraId="729CC530"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Fraud</w:t>
            </w:r>
            <w:r w:rsidRPr="00785BF3">
              <w:rPr>
                <w:rFonts w:ascii="Times New Roman" w:hAnsi="Times New Roman" w:cs="Times New Roman"/>
                <w:sz w:val="19"/>
                <w:szCs w:val="19"/>
              </w:rPr>
              <w:t> × Accounting Conservatism</w:t>
            </w:r>
          </w:p>
        </w:tc>
        <w:tc>
          <w:tcPr>
            <w:tcW w:w="4681" w:type="dxa"/>
            <w:tcBorders>
              <w:top w:val="nil"/>
              <w:left w:val="nil"/>
              <w:bottom w:val="nil"/>
              <w:right w:val="nil"/>
            </w:tcBorders>
            <w:shd w:val="clear" w:color="auto" w:fill="auto"/>
            <w:hideMark/>
          </w:tcPr>
          <w:p w14:paraId="0345BCCD"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 </w:t>
            </w:r>
            <w:r w:rsidRPr="00785BF3">
              <w:rPr>
                <w:rFonts w:ascii="Times New Roman" w:hAnsi="Times New Roman" w:cs="Times New Roman"/>
                <w:sz w:val="19"/>
                <w:szCs w:val="19"/>
              </w:rPr>
              <w:t> </w:t>
            </w:r>
          </w:p>
        </w:tc>
        <w:tc>
          <w:tcPr>
            <w:tcW w:w="2159" w:type="dxa"/>
            <w:tcBorders>
              <w:top w:val="nil"/>
              <w:left w:val="nil"/>
              <w:bottom w:val="nil"/>
              <w:right w:val="nil"/>
            </w:tcBorders>
            <w:shd w:val="clear" w:color="auto" w:fill="auto"/>
            <w:hideMark/>
          </w:tcPr>
          <w:p w14:paraId="2568A96A" w14:textId="77777777" w:rsidR="00083D72" w:rsidRPr="00785BF3" w:rsidRDefault="00083D72" w:rsidP="00744119">
            <w:pPr>
              <w:jc w:val="center"/>
              <w:textAlignment w:val="baseline"/>
              <w:rPr>
                <w:rFonts w:ascii="Times New Roman" w:hAnsi="Times New Roman" w:cs="Times New Roman"/>
                <w:sz w:val="19"/>
                <w:szCs w:val="19"/>
                <w:lang w:val="en-US"/>
              </w:rPr>
            </w:pPr>
            <w:r w:rsidRPr="00785BF3">
              <w:rPr>
                <w:rFonts w:ascii="Times New Roman" w:hAnsi="Times New Roman" w:cs="Times New Roman"/>
                <w:sz w:val="19"/>
                <w:szCs w:val="19"/>
                <w:lang w:val="en-US"/>
              </w:rPr>
              <w:t>0.03*</w:t>
            </w:r>
          </w:p>
          <w:p w14:paraId="3B38100B"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(1.68)</w:t>
            </w:r>
            <w:r w:rsidRPr="00785BF3">
              <w:rPr>
                <w:rFonts w:ascii="Times New Roman" w:hAnsi="Times New Roman" w:cs="Times New Roman"/>
                <w:sz w:val="19"/>
                <w:szCs w:val="19"/>
              </w:rPr>
              <w:t> </w:t>
            </w:r>
          </w:p>
        </w:tc>
      </w:tr>
      <w:tr w:rsidR="00083D72" w:rsidRPr="00785BF3" w14:paraId="3930812F" w14:textId="77777777" w:rsidTr="00744119">
        <w:trPr>
          <w:trHeight w:val="79"/>
        </w:trPr>
        <w:tc>
          <w:tcPr>
            <w:tcW w:w="2180" w:type="dxa"/>
            <w:tcBorders>
              <w:top w:val="nil"/>
              <w:left w:val="nil"/>
              <w:bottom w:val="single" w:sz="6" w:space="0" w:color="auto"/>
              <w:right w:val="nil"/>
            </w:tcBorders>
            <w:shd w:val="clear" w:color="auto" w:fill="auto"/>
            <w:hideMark/>
          </w:tcPr>
          <w:p w14:paraId="65D55C4E"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Control Variables</w:t>
            </w:r>
            <w:r w:rsidRPr="00785BF3">
              <w:rPr>
                <w:rFonts w:ascii="Times New Roman" w:hAnsi="Times New Roman" w:cs="Times New Roman"/>
                <w:sz w:val="19"/>
                <w:szCs w:val="19"/>
              </w:rPr>
              <w:t> </w:t>
            </w:r>
          </w:p>
        </w:tc>
        <w:tc>
          <w:tcPr>
            <w:tcW w:w="4681" w:type="dxa"/>
            <w:tcBorders>
              <w:top w:val="nil"/>
              <w:left w:val="nil"/>
              <w:bottom w:val="single" w:sz="6" w:space="0" w:color="auto"/>
              <w:right w:val="nil"/>
            </w:tcBorders>
            <w:shd w:val="clear" w:color="auto" w:fill="auto"/>
            <w:hideMark/>
          </w:tcPr>
          <w:p w14:paraId="45430802"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Y </w:t>
            </w:r>
            <w:r w:rsidRPr="00785BF3">
              <w:rPr>
                <w:rFonts w:ascii="Times New Roman" w:hAnsi="Times New Roman" w:cs="Times New Roman"/>
                <w:sz w:val="19"/>
                <w:szCs w:val="19"/>
              </w:rPr>
              <w:t> </w:t>
            </w:r>
          </w:p>
        </w:tc>
        <w:tc>
          <w:tcPr>
            <w:tcW w:w="2159" w:type="dxa"/>
            <w:tcBorders>
              <w:top w:val="nil"/>
              <w:left w:val="nil"/>
              <w:bottom w:val="single" w:sz="6" w:space="0" w:color="auto"/>
              <w:right w:val="nil"/>
            </w:tcBorders>
            <w:shd w:val="clear" w:color="auto" w:fill="auto"/>
            <w:hideMark/>
          </w:tcPr>
          <w:p w14:paraId="37970F3E" w14:textId="77777777" w:rsidR="00083D72" w:rsidRPr="00785BF3" w:rsidRDefault="00083D72" w:rsidP="00744119">
            <w:pPr>
              <w:jc w:val="center"/>
              <w:textAlignment w:val="baseline"/>
              <w:rPr>
                <w:rFonts w:ascii="Times New Roman" w:hAnsi="Times New Roman" w:cs="Times New Roman"/>
                <w:sz w:val="19"/>
                <w:szCs w:val="19"/>
              </w:rPr>
            </w:pPr>
            <w:r w:rsidRPr="00785BF3">
              <w:rPr>
                <w:rFonts w:ascii="Times New Roman" w:hAnsi="Times New Roman" w:cs="Times New Roman"/>
                <w:sz w:val="19"/>
                <w:szCs w:val="19"/>
                <w:lang w:val="en-US"/>
              </w:rPr>
              <w:t>Y</w:t>
            </w:r>
            <w:r w:rsidRPr="00785BF3">
              <w:rPr>
                <w:rFonts w:ascii="Times New Roman" w:hAnsi="Times New Roman" w:cs="Times New Roman"/>
                <w:sz w:val="19"/>
                <w:szCs w:val="19"/>
              </w:rPr>
              <w:t> </w:t>
            </w:r>
          </w:p>
        </w:tc>
      </w:tr>
      <w:tr w:rsidR="00083D72" w:rsidRPr="00785BF3" w14:paraId="060D4768" w14:textId="77777777" w:rsidTr="00744119">
        <w:trPr>
          <w:trHeight w:val="90"/>
        </w:trPr>
        <w:tc>
          <w:tcPr>
            <w:tcW w:w="2180" w:type="dxa"/>
            <w:tcBorders>
              <w:top w:val="single" w:sz="6" w:space="0" w:color="auto"/>
              <w:left w:val="nil"/>
              <w:bottom w:val="nil"/>
              <w:right w:val="nil"/>
            </w:tcBorders>
            <w:shd w:val="clear" w:color="auto" w:fill="auto"/>
            <w:hideMark/>
          </w:tcPr>
          <w:p w14:paraId="14D8C2BE"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Year FE</w:t>
            </w:r>
            <w:r w:rsidRPr="00785BF3">
              <w:rPr>
                <w:rFonts w:ascii="Times New Roman" w:hAnsi="Times New Roman" w:cs="Times New Roman"/>
                <w:sz w:val="19"/>
                <w:szCs w:val="19"/>
              </w:rPr>
              <w:t> </w:t>
            </w:r>
          </w:p>
        </w:tc>
        <w:tc>
          <w:tcPr>
            <w:tcW w:w="4681" w:type="dxa"/>
            <w:tcBorders>
              <w:top w:val="single" w:sz="6" w:space="0" w:color="auto"/>
              <w:left w:val="nil"/>
              <w:bottom w:val="nil"/>
              <w:right w:val="nil"/>
            </w:tcBorders>
            <w:shd w:val="clear" w:color="auto" w:fill="auto"/>
            <w:hideMark/>
          </w:tcPr>
          <w:p w14:paraId="5AB39E41"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Y</w:t>
            </w:r>
            <w:r w:rsidRPr="00785BF3">
              <w:rPr>
                <w:rFonts w:ascii="Times New Roman" w:hAnsi="Times New Roman" w:cs="Times New Roman"/>
                <w:sz w:val="19"/>
                <w:szCs w:val="19"/>
              </w:rPr>
              <w:t> </w:t>
            </w:r>
          </w:p>
        </w:tc>
        <w:tc>
          <w:tcPr>
            <w:tcW w:w="2159" w:type="dxa"/>
            <w:tcBorders>
              <w:top w:val="single" w:sz="6" w:space="0" w:color="auto"/>
              <w:left w:val="nil"/>
              <w:bottom w:val="nil"/>
              <w:right w:val="nil"/>
            </w:tcBorders>
            <w:shd w:val="clear" w:color="auto" w:fill="auto"/>
            <w:hideMark/>
          </w:tcPr>
          <w:p w14:paraId="37CB1C66"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Y</w:t>
            </w:r>
            <w:r w:rsidRPr="00785BF3">
              <w:rPr>
                <w:rFonts w:ascii="Times New Roman" w:hAnsi="Times New Roman" w:cs="Times New Roman"/>
                <w:sz w:val="19"/>
                <w:szCs w:val="19"/>
              </w:rPr>
              <w:t> </w:t>
            </w:r>
          </w:p>
        </w:tc>
      </w:tr>
      <w:tr w:rsidR="00083D72" w:rsidRPr="00785BF3" w14:paraId="1C3BB9C2" w14:textId="77777777" w:rsidTr="00744119">
        <w:trPr>
          <w:trHeight w:val="90"/>
        </w:trPr>
        <w:tc>
          <w:tcPr>
            <w:tcW w:w="2180" w:type="dxa"/>
            <w:tcBorders>
              <w:top w:val="nil"/>
              <w:left w:val="nil"/>
              <w:bottom w:val="nil"/>
              <w:right w:val="nil"/>
            </w:tcBorders>
            <w:shd w:val="clear" w:color="auto" w:fill="auto"/>
            <w:hideMark/>
          </w:tcPr>
          <w:p w14:paraId="467905CC"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Industry FE</w:t>
            </w:r>
            <w:r w:rsidRPr="00785BF3">
              <w:rPr>
                <w:rFonts w:ascii="Times New Roman" w:hAnsi="Times New Roman" w:cs="Times New Roman"/>
                <w:sz w:val="19"/>
                <w:szCs w:val="19"/>
              </w:rPr>
              <w:t> </w:t>
            </w:r>
          </w:p>
        </w:tc>
        <w:tc>
          <w:tcPr>
            <w:tcW w:w="4681" w:type="dxa"/>
            <w:tcBorders>
              <w:top w:val="nil"/>
              <w:left w:val="nil"/>
              <w:bottom w:val="nil"/>
              <w:right w:val="nil"/>
            </w:tcBorders>
            <w:shd w:val="clear" w:color="auto" w:fill="auto"/>
            <w:hideMark/>
          </w:tcPr>
          <w:p w14:paraId="2BE0329C"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Y</w:t>
            </w:r>
            <w:r w:rsidRPr="00785BF3">
              <w:rPr>
                <w:rFonts w:ascii="Times New Roman" w:hAnsi="Times New Roman" w:cs="Times New Roman"/>
                <w:sz w:val="19"/>
                <w:szCs w:val="19"/>
              </w:rPr>
              <w:t> </w:t>
            </w:r>
          </w:p>
        </w:tc>
        <w:tc>
          <w:tcPr>
            <w:tcW w:w="2159" w:type="dxa"/>
            <w:tcBorders>
              <w:top w:val="nil"/>
              <w:left w:val="nil"/>
              <w:bottom w:val="nil"/>
              <w:right w:val="nil"/>
            </w:tcBorders>
            <w:shd w:val="clear" w:color="auto" w:fill="auto"/>
            <w:hideMark/>
          </w:tcPr>
          <w:p w14:paraId="530259CC"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Y</w:t>
            </w:r>
            <w:r w:rsidRPr="00785BF3">
              <w:rPr>
                <w:rFonts w:ascii="Times New Roman" w:hAnsi="Times New Roman" w:cs="Times New Roman"/>
                <w:sz w:val="19"/>
                <w:szCs w:val="19"/>
              </w:rPr>
              <w:t> </w:t>
            </w:r>
          </w:p>
        </w:tc>
      </w:tr>
      <w:tr w:rsidR="00083D72" w:rsidRPr="00785BF3" w14:paraId="1B4DD6AA" w14:textId="77777777" w:rsidTr="00744119">
        <w:trPr>
          <w:trHeight w:val="90"/>
        </w:trPr>
        <w:tc>
          <w:tcPr>
            <w:tcW w:w="2180" w:type="dxa"/>
            <w:tcBorders>
              <w:top w:val="nil"/>
              <w:left w:val="nil"/>
              <w:bottom w:val="nil"/>
              <w:right w:val="nil"/>
            </w:tcBorders>
            <w:shd w:val="clear" w:color="auto" w:fill="auto"/>
            <w:hideMark/>
          </w:tcPr>
          <w:p w14:paraId="3A52085D"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Adjusted R</w:t>
            </w:r>
            <w:r w:rsidRPr="00785BF3">
              <w:rPr>
                <w:rFonts w:ascii="Times New Roman" w:hAnsi="Times New Roman" w:cs="Times New Roman"/>
                <w:sz w:val="15"/>
                <w:szCs w:val="15"/>
                <w:vertAlign w:val="superscript"/>
                <w:lang w:val="en-US"/>
              </w:rPr>
              <w:t>2</w:t>
            </w:r>
            <w:r w:rsidRPr="00785BF3">
              <w:rPr>
                <w:rFonts w:ascii="Times New Roman" w:hAnsi="Times New Roman" w:cs="Times New Roman"/>
                <w:sz w:val="15"/>
                <w:szCs w:val="15"/>
              </w:rPr>
              <w:t> </w:t>
            </w:r>
          </w:p>
        </w:tc>
        <w:tc>
          <w:tcPr>
            <w:tcW w:w="4681" w:type="dxa"/>
            <w:tcBorders>
              <w:top w:val="nil"/>
              <w:left w:val="nil"/>
              <w:bottom w:val="nil"/>
              <w:right w:val="nil"/>
            </w:tcBorders>
            <w:shd w:val="clear" w:color="auto" w:fill="auto"/>
            <w:hideMark/>
          </w:tcPr>
          <w:p w14:paraId="7817BD29"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0.1184</w:t>
            </w:r>
          </w:p>
        </w:tc>
        <w:tc>
          <w:tcPr>
            <w:tcW w:w="2159" w:type="dxa"/>
            <w:tcBorders>
              <w:top w:val="nil"/>
              <w:left w:val="nil"/>
              <w:bottom w:val="nil"/>
              <w:right w:val="nil"/>
            </w:tcBorders>
            <w:shd w:val="clear" w:color="auto" w:fill="auto"/>
            <w:hideMark/>
          </w:tcPr>
          <w:p w14:paraId="41C0C4E2"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0.0766</w:t>
            </w:r>
            <w:r w:rsidRPr="00785BF3">
              <w:rPr>
                <w:rFonts w:ascii="Times New Roman" w:hAnsi="Times New Roman" w:cs="Times New Roman"/>
                <w:sz w:val="19"/>
                <w:szCs w:val="19"/>
              </w:rPr>
              <w:t> </w:t>
            </w:r>
          </w:p>
        </w:tc>
      </w:tr>
      <w:tr w:rsidR="00083D72" w:rsidRPr="00785BF3" w14:paraId="7910F8A7" w14:textId="77777777" w:rsidTr="00744119">
        <w:trPr>
          <w:trHeight w:val="90"/>
        </w:trPr>
        <w:tc>
          <w:tcPr>
            <w:tcW w:w="2180" w:type="dxa"/>
            <w:tcBorders>
              <w:top w:val="nil"/>
              <w:left w:val="nil"/>
              <w:bottom w:val="single" w:sz="6" w:space="0" w:color="auto"/>
              <w:right w:val="nil"/>
            </w:tcBorders>
            <w:shd w:val="clear" w:color="auto" w:fill="auto"/>
            <w:hideMark/>
          </w:tcPr>
          <w:p w14:paraId="1430F2F4" w14:textId="77777777" w:rsidR="00083D72" w:rsidRPr="00785BF3" w:rsidRDefault="00083D72" w:rsidP="00744119">
            <w:pPr>
              <w:textAlignment w:val="baseline"/>
              <w:rPr>
                <w:rFonts w:ascii="Times New Roman" w:hAnsi="Times New Roman" w:cs="Times New Roman"/>
              </w:rPr>
            </w:pPr>
            <w:r w:rsidRPr="00785BF3">
              <w:rPr>
                <w:rFonts w:ascii="Times New Roman" w:hAnsi="Times New Roman" w:cs="Times New Roman"/>
                <w:sz w:val="19"/>
                <w:szCs w:val="19"/>
                <w:lang w:val="en-US"/>
              </w:rPr>
              <w:t>Number of Obs. </w:t>
            </w:r>
            <w:r w:rsidRPr="00785BF3">
              <w:rPr>
                <w:rFonts w:ascii="Times New Roman" w:hAnsi="Times New Roman" w:cs="Times New Roman"/>
                <w:sz w:val="19"/>
                <w:szCs w:val="19"/>
              </w:rPr>
              <w:t> </w:t>
            </w:r>
          </w:p>
        </w:tc>
        <w:tc>
          <w:tcPr>
            <w:tcW w:w="4681" w:type="dxa"/>
            <w:tcBorders>
              <w:top w:val="nil"/>
              <w:left w:val="nil"/>
              <w:bottom w:val="single" w:sz="6" w:space="0" w:color="auto"/>
              <w:right w:val="nil"/>
            </w:tcBorders>
            <w:shd w:val="clear" w:color="auto" w:fill="auto"/>
            <w:hideMark/>
          </w:tcPr>
          <w:p w14:paraId="34E54126"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1,365</w:t>
            </w:r>
            <w:r w:rsidRPr="00785BF3">
              <w:rPr>
                <w:rFonts w:ascii="Times New Roman" w:hAnsi="Times New Roman" w:cs="Times New Roman"/>
                <w:sz w:val="19"/>
                <w:szCs w:val="19"/>
              </w:rPr>
              <w:t> </w:t>
            </w:r>
          </w:p>
        </w:tc>
        <w:tc>
          <w:tcPr>
            <w:tcW w:w="2159" w:type="dxa"/>
            <w:tcBorders>
              <w:top w:val="nil"/>
              <w:left w:val="nil"/>
              <w:bottom w:val="single" w:sz="6" w:space="0" w:color="auto"/>
              <w:right w:val="nil"/>
            </w:tcBorders>
            <w:shd w:val="clear" w:color="auto" w:fill="auto"/>
            <w:hideMark/>
          </w:tcPr>
          <w:p w14:paraId="5A0125B8" w14:textId="77777777" w:rsidR="00083D72" w:rsidRPr="00785BF3" w:rsidRDefault="00083D72" w:rsidP="00744119">
            <w:pPr>
              <w:jc w:val="center"/>
              <w:textAlignment w:val="baseline"/>
              <w:rPr>
                <w:rFonts w:ascii="Times New Roman" w:hAnsi="Times New Roman" w:cs="Times New Roman"/>
              </w:rPr>
            </w:pPr>
            <w:r w:rsidRPr="00785BF3">
              <w:rPr>
                <w:rFonts w:ascii="Times New Roman" w:hAnsi="Times New Roman" w:cs="Times New Roman"/>
                <w:sz w:val="19"/>
                <w:szCs w:val="19"/>
                <w:lang w:val="en-US"/>
              </w:rPr>
              <w:t>2,765</w:t>
            </w:r>
            <w:r w:rsidRPr="00785BF3">
              <w:rPr>
                <w:rFonts w:ascii="Times New Roman" w:hAnsi="Times New Roman" w:cs="Times New Roman"/>
                <w:sz w:val="19"/>
                <w:szCs w:val="19"/>
              </w:rPr>
              <w:t> </w:t>
            </w:r>
          </w:p>
        </w:tc>
      </w:tr>
    </w:tbl>
    <w:p w14:paraId="1B2025B1" w14:textId="77777777" w:rsidR="00083D72" w:rsidRPr="00785BF3" w:rsidRDefault="00083D72" w:rsidP="00083D72">
      <w:pPr>
        <w:rPr>
          <w:rFonts w:ascii="Times New Roman" w:hAnsi="Times New Roman" w:cs="Times New Roman"/>
        </w:rPr>
      </w:pPr>
    </w:p>
    <w:p w14:paraId="3B52B711" w14:textId="77777777" w:rsidR="00083D72" w:rsidRPr="00785BF3" w:rsidRDefault="00083D72" w:rsidP="00083D72">
      <w:pPr>
        <w:rPr>
          <w:rFonts w:ascii="Times New Roman" w:hAnsi="Times New Roman" w:cs="Times New Roman"/>
        </w:rPr>
      </w:pPr>
    </w:p>
    <w:p w14:paraId="6F45D0C1" w14:textId="77777777" w:rsidR="00083D72" w:rsidRPr="00785BF3" w:rsidRDefault="00083D72" w:rsidP="00083D72">
      <w:pPr>
        <w:rPr>
          <w:rFonts w:ascii="Times New Roman" w:hAnsi="Times New Roman" w:cs="Times New Roman"/>
        </w:rPr>
      </w:pPr>
    </w:p>
    <w:p w14:paraId="64666430" w14:textId="77777777" w:rsidR="00083D72" w:rsidRPr="00785BF3" w:rsidRDefault="00083D72" w:rsidP="00083D72">
      <w:pPr>
        <w:rPr>
          <w:rFonts w:ascii="Times New Roman" w:hAnsi="Times New Roman" w:cs="Times New Roman"/>
        </w:rPr>
      </w:pPr>
    </w:p>
    <w:p w14:paraId="471E6AD1" w14:textId="77777777" w:rsidR="00083D72" w:rsidRPr="00785BF3" w:rsidRDefault="00083D72" w:rsidP="00083D72">
      <w:pPr>
        <w:rPr>
          <w:rFonts w:ascii="Times New Roman" w:hAnsi="Times New Roman" w:cs="Times New Roman"/>
        </w:rPr>
      </w:pPr>
    </w:p>
    <w:p w14:paraId="74F4A48C" w14:textId="77777777" w:rsidR="00083D72" w:rsidRPr="00785BF3" w:rsidRDefault="00083D72" w:rsidP="00083D72">
      <w:pPr>
        <w:rPr>
          <w:rFonts w:ascii="Times New Roman" w:hAnsi="Times New Roman" w:cs="Times New Roman"/>
        </w:rPr>
      </w:pPr>
    </w:p>
    <w:p w14:paraId="685979C8" w14:textId="77777777" w:rsidR="00083D72" w:rsidRPr="00785BF3" w:rsidRDefault="00083D72" w:rsidP="00083D72">
      <w:pPr>
        <w:rPr>
          <w:rFonts w:ascii="Times New Roman" w:hAnsi="Times New Roman" w:cs="Times New Roman"/>
        </w:rPr>
      </w:pPr>
    </w:p>
    <w:p w14:paraId="4BA1CF4A" w14:textId="77777777" w:rsidR="00083D72" w:rsidRPr="00785BF3" w:rsidRDefault="00083D72" w:rsidP="00083D72">
      <w:pPr>
        <w:rPr>
          <w:rFonts w:ascii="Times New Roman" w:hAnsi="Times New Roman" w:cs="Times New Roman"/>
        </w:rPr>
      </w:pPr>
    </w:p>
    <w:p w14:paraId="199A175D" w14:textId="77777777" w:rsidR="00083D72" w:rsidRPr="00785BF3" w:rsidRDefault="00083D72" w:rsidP="00083D72">
      <w:pPr>
        <w:rPr>
          <w:rFonts w:ascii="Times New Roman" w:hAnsi="Times New Roman" w:cs="Times New Roman"/>
        </w:rPr>
      </w:pPr>
    </w:p>
    <w:p w14:paraId="477EF738" w14:textId="77777777" w:rsidR="00083D72" w:rsidRPr="00785BF3" w:rsidRDefault="00083D72" w:rsidP="00083D72">
      <w:pPr>
        <w:rPr>
          <w:rFonts w:ascii="Times New Roman" w:hAnsi="Times New Roman" w:cs="Times New Roman"/>
        </w:rPr>
      </w:pPr>
    </w:p>
    <w:p w14:paraId="6CDEEE2A" w14:textId="77777777" w:rsidR="00083D72" w:rsidRPr="00785BF3" w:rsidRDefault="00083D72" w:rsidP="00083D72">
      <w:pPr>
        <w:rPr>
          <w:rFonts w:ascii="Times New Roman" w:hAnsi="Times New Roman" w:cs="Times New Roman"/>
        </w:rPr>
      </w:pPr>
    </w:p>
    <w:p w14:paraId="3F63C4C2" w14:textId="77777777" w:rsidR="00083D72" w:rsidRPr="00785BF3" w:rsidRDefault="00083D72" w:rsidP="00083D72">
      <w:pPr>
        <w:rPr>
          <w:rFonts w:ascii="Times New Roman" w:hAnsi="Times New Roman" w:cs="Times New Roman"/>
        </w:rPr>
      </w:pPr>
    </w:p>
    <w:p w14:paraId="718017EC" w14:textId="77777777" w:rsidR="00083D72" w:rsidRPr="00785BF3" w:rsidRDefault="00083D72" w:rsidP="00083D72">
      <w:pPr>
        <w:rPr>
          <w:rFonts w:ascii="Times New Roman" w:hAnsi="Times New Roman" w:cs="Times New Roman"/>
        </w:rPr>
      </w:pPr>
    </w:p>
    <w:p w14:paraId="5A22A395" w14:textId="77777777" w:rsidR="00083D72" w:rsidRPr="00785BF3" w:rsidRDefault="00083D72" w:rsidP="00083D72">
      <w:pPr>
        <w:rPr>
          <w:rFonts w:ascii="Times New Roman" w:hAnsi="Times New Roman" w:cs="Times New Roman"/>
        </w:rPr>
      </w:pPr>
    </w:p>
    <w:p w14:paraId="7DEA65DD" w14:textId="77777777" w:rsidR="00083D72" w:rsidRPr="00785BF3" w:rsidRDefault="00083D72" w:rsidP="00083D72">
      <w:pPr>
        <w:rPr>
          <w:rFonts w:ascii="Times New Roman" w:hAnsi="Times New Roman" w:cs="Times New Roman"/>
        </w:rPr>
      </w:pPr>
    </w:p>
    <w:p w14:paraId="2452CE37" w14:textId="77777777" w:rsidR="00083D72" w:rsidRPr="00785BF3" w:rsidRDefault="00083D72" w:rsidP="00083D72">
      <w:pPr>
        <w:rPr>
          <w:rFonts w:ascii="Times New Roman" w:hAnsi="Times New Roman" w:cs="Times New Roman"/>
        </w:rPr>
      </w:pPr>
    </w:p>
    <w:p w14:paraId="187EE740" w14:textId="77777777" w:rsidR="00DC5062" w:rsidRPr="00785BF3" w:rsidRDefault="00DC5062" w:rsidP="00DC5062">
      <w:pPr>
        <w:rPr>
          <w:rFonts w:ascii="Times New Roman" w:hAnsi="Times New Roman" w:cs="Times New Roman"/>
          <w:lang w:eastAsia="en-GB"/>
        </w:rPr>
      </w:pPr>
    </w:p>
    <w:p w14:paraId="562D8584" w14:textId="77777777" w:rsidR="00DC5062" w:rsidRPr="00785BF3" w:rsidRDefault="00DC5062" w:rsidP="00DC5062">
      <w:pPr>
        <w:rPr>
          <w:rFonts w:ascii="Times New Roman" w:hAnsi="Times New Roman" w:cs="Times New Roman"/>
          <w:lang w:eastAsia="en-GB"/>
        </w:rPr>
      </w:pPr>
    </w:p>
    <w:p w14:paraId="6C187337" w14:textId="77777777" w:rsidR="00DC5062" w:rsidRPr="00785BF3" w:rsidRDefault="00DC5062" w:rsidP="00DC5062">
      <w:pPr>
        <w:rPr>
          <w:rFonts w:ascii="Times New Roman" w:hAnsi="Times New Roman" w:cs="Times New Roman"/>
          <w:lang w:eastAsia="en-GB"/>
        </w:rPr>
      </w:pPr>
    </w:p>
    <w:p w14:paraId="53168906" w14:textId="77777777" w:rsidR="00DC5062" w:rsidRPr="00785BF3" w:rsidRDefault="00DC5062" w:rsidP="00DC5062">
      <w:pPr>
        <w:rPr>
          <w:rFonts w:ascii="Times New Roman" w:hAnsi="Times New Roman" w:cs="Times New Roman"/>
          <w:lang w:eastAsia="en-GB"/>
        </w:rPr>
      </w:pPr>
    </w:p>
    <w:p w14:paraId="2EA667F9" w14:textId="77777777" w:rsidR="00DC5062" w:rsidRPr="00785BF3" w:rsidRDefault="00DC5062" w:rsidP="00DC5062">
      <w:pPr>
        <w:rPr>
          <w:rFonts w:ascii="Times New Roman" w:hAnsi="Times New Roman" w:cs="Times New Roman"/>
          <w:lang w:eastAsia="en-GB"/>
        </w:rPr>
      </w:pPr>
    </w:p>
    <w:p w14:paraId="608A21DD" w14:textId="77777777" w:rsidR="00DC5062" w:rsidRPr="00785BF3" w:rsidRDefault="00DC5062" w:rsidP="00DC5062">
      <w:pPr>
        <w:rPr>
          <w:rFonts w:ascii="Times New Roman" w:hAnsi="Times New Roman" w:cs="Times New Roman"/>
          <w:lang w:eastAsia="en-GB"/>
        </w:rPr>
      </w:pPr>
    </w:p>
    <w:p w14:paraId="07FEF41C" w14:textId="77777777" w:rsidR="00DC5062" w:rsidRPr="00785BF3" w:rsidRDefault="00DC5062" w:rsidP="00DC5062">
      <w:pPr>
        <w:rPr>
          <w:rFonts w:ascii="Times New Roman" w:hAnsi="Times New Roman" w:cs="Times New Roman"/>
          <w:lang w:eastAsia="en-GB"/>
        </w:rPr>
      </w:pPr>
    </w:p>
    <w:p w14:paraId="408AA62D" w14:textId="77777777" w:rsidR="00DC5062" w:rsidRPr="00785BF3" w:rsidRDefault="00DC5062" w:rsidP="00DC5062">
      <w:pPr>
        <w:rPr>
          <w:rFonts w:ascii="Times New Roman" w:hAnsi="Times New Roman" w:cs="Times New Roman"/>
          <w:lang w:eastAsia="en-GB"/>
        </w:rPr>
      </w:pPr>
    </w:p>
    <w:p w14:paraId="135C3CE2" w14:textId="77777777" w:rsidR="00DC5062" w:rsidRDefault="00DC5062" w:rsidP="00DC5062">
      <w:pPr>
        <w:rPr>
          <w:rFonts w:ascii="Times New Roman" w:hAnsi="Times New Roman" w:cs="Times New Roman"/>
          <w:lang w:eastAsia="en-GB"/>
        </w:rPr>
      </w:pPr>
    </w:p>
    <w:p w14:paraId="2B0A557B" w14:textId="77777777" w:rsidR="00106CFF" w:rsidRPr="00785BF3" w:rsidRDefault="00106CFF" w:rsidP="00DC5062">
      <w:pPr>
        <w:rPr>
          <w:rFonts w:ascii="Times New Roman" w:hAnsi="Times New Roman" w:cs="Times New Roman"/>
          <w:lang w:eastAsia="en-GB"/>
        </w:rPr>
      </w:pPr>
    </w:p>
    <w:p w14:paraId="23703C60" w14:textId="77777777" w:rsidR="00DC5062" w:rsidRPr="00785BF3" w:rsidRDefault="00DC5062" w:rsidP="00DC5062">
      <w:pPr>
        <w:rPr>
          <w:rFonts w:ascii="Times New Roman" w:hAnsi="Times New Roman" w:cs="Times New Roman"/>
          <w:lang w:eastAsia="en-GB"/>
        </w:rPr>
      </w:pPr>
    </w:p>
    <w:p w14:paraId="0BA6B3A3" w14:textId="77777777" w:rsidR="00DC5062" w:rsidRPr="00785BF3" w:rsidRDefault="00DC5062" w:rsidP="00DC5062">
      <w:pPr>
        <w:rPr>
          <w:rFonts w:ascii="Times New Roman" w:hAnsi="Times New Roman" w:cs="Times New Roman"/>
          <w:lang w:eastAsia="en-GB"/>
        </w:rPr>
      </w:pPr>
    </w:p>
    <w:p w14:paraId="18A72DA8" w14:textId="7F429987" w:rsidR="00E24325" w:rsidRPr="00785BF3" w:rsidRDefault="00E24325" w:rsidP="00B90665">
      <w:pPr>
        <w:spacing w:line="360" w:lineRule="auto"/>
        <w:jc w:val="both"/>
        <w:rPr>
          <w:rFonts w:ascii="Times New Roman" w:hAnsi="Times New Roman" w:cs="Times New Roman"/>
        </w:rPr>
      </w:pPr>
    </w:p>
    <w:sectPr w:rsidR="00E24325" w:rsidRPr="00785BF3" w:rsidSect="00416076">
      <w:pgSz w:w="11900" w:h="16840"/>
      <w:pgMar w:top="1440" w:right="1440" w:bottom="1440" w:left="1440" w:header="1701"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2CA7B" w14:textId="77777777" w:rsidR="00905FD3" w:rsidRDefault="00905FD3" w:rsidP="00E24325">
      <w:r>
        <w:separator/>
      </w:r>
    </w:p>
  </w:endnote>
  <w:endnote w:type="continuationSeparator" w:id="0">
    <w:p w14:paraId="582E0AB2" w14:textId="77777777" w:rsidR="00905FD3" w:rsidRDefault="00905FD3" w:rsidP="00E2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0431885"/>
      <w:docPartObj>
        <w:docPartGallery w:val="Page Numbers (Bottom of Page)"/>
        <w:docPartUnique/>
      </w:docPartObj>
    </w:sdtPr>
    <w:sdtContent>
      <w:p w14:paraId="0D417BD8" w14:textId="3300B68C" w:rsidR="00E24325" w:rsidRDefault="00E24325" w:rsidP="000461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67FCC" w14:textId="77777777" w:rsidR="00E24325" w:rsidRDefault="00E2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7025506"/>
      <w:docPartObj>
        <w:docPartGallery w:val="Page Numbers (Bottom of Page)"/>
        <w:docPartUnique/>
      </w:docPartObj>
    </w:sdtPr>
    <w:sdtContent>
      <w:p w14:paraId="5573766A" w14:textId="01AF06AB" w:rsidR="00046174" w:rsidRDefault="00046174" w:rsidP="003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9F30698" w14:textId="1F1B8E38" w:rsidR="00E24325" w:rsidRDefault="00E24325" w:rsidP="00046174">
    <w:pPr>
      <w:pStyle w:val="Footer"/>
      <w:tabs>
        <w:tab w:val="clear" w:pos="4680"/>
        <w:tab w:val="clear" w:pos="9360"/>
        <w:tab w:val="left" w:pos="532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D96A" w14:textId="14E3EBDD" w:rsidR="00046174" w:rsidRDefault="00046174" w:rsidP="00046174">
    <w:pPr>
      <w:pStyle w:val="Footer"/>
      <w:tabs>
        <w:tab w:val="clear" w:pos="4680"/>
        <w:tab w:val="clear" w:pos="9360"/>
        <w:tab w:val="left" w:pos="59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884951"/>
      <w:docPartObj>
        <w:docPartGallery w:val="Page Numbers (Bottom of Page)"/>
        <w:docPartUnique/>
      </w:docPartObj>
    </w:sdtPr>
    <w:sdtContent>
      <w:p w14:paraId="2812BC2C" w14:textId="77777777" w:rsidR="00E15C4B" w:rsidRDefault="00E15C4B" w:rsidP="003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71C9A7DE" w14:textId="77777777" w:rsidR="00E15C4B" w:rsidRDefault="00E15C4B" w:rsidP="00E15C4B">
    <w:pPr>
      <w:pStyle w:val="Footer"/>
      <w:tabs>
        <w:tab w:val="clear" w:pos="4680"/>
        <w:tab w:val="clear" w:pos="9360"/>
        <w:tab w:val="left" w:pos="5328"/>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DE3DF" w14:textId="77777777" w:rsidR="00E15C4B" w:rsidRDefault="00E15C4B" w:rsidP="00046174">
    <w:pPr>
      <w:pStyle w:val="Footer"/>
      <w:tabs>
        <w:tab w:val="clear" w:pos="4680"/>
        <w:tab w:val="clear" w:pos="9360"/>
        <w:tab w:val="left" w:pos="5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1D944" w14:textId="77777777" w:rsidR="00905FD3" w:rsidRDefault="00905FD3" w:rsidP="00E24325">
      <w:r>
        <w:separator/>
      </w:r>
    </w:p>
  </w:footnote>
  <w:footnote w:type="continuationSeparator" w:id="0">
    <w:p w14:paraId="759C2EE9" w14:textId="77777777" w:rsidR="00905FD3" w:rsidRDefault="00905FD3" w:rsidP="00E24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984"/>
    <w:multiLevelType w:val="hybridMultilevel"/>
    <w:tmpl w:val="D5FA5DBE"/>
    <w:lvl w:ilvl="0" w:tplc="B2587482">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6619F"/>
    <w:multiLevelType w:val="multilevel"/>
    <w:tmpl w:val="AF6E9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5402F"/>
    <w:multiLevelType w:val="hybridMultilevel"/>
    <w:tmpl w:val="A106FF76"/>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D93192"/>
    <w:multiLevelType w:val="hybridMultilevel"/>
    <w:tmpl w:val="BA14371A"/>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23785B64"/>
    <w:multiLevelType w:val="hybridMultilevel"/>
    <w:tmpl w:val="A3D6E8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0F520A"/>
    <w:multiLevelType w:val="hybridMultilevel"/>
    <w:tmpl w:val="0DF829F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D780DE7"/>
    <w:multiLevelType w:val="hybridMultilevel"/>
    <w:tmpl w:val="30C43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0F4421"/>
    <w:multiLevelType w:val="hybridMultilevel"/>
    <w:tmpl w:val="E67A8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8FC4E4D"/>
    <w:multiLevelType w:val="hybridMultilevel"/>
    <w:tmpl w:val="38267C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BCD5DB7"/>
    <w:multiLevelType w:val="hybridMultilevel"/>
    <w:tmpl w:val="F86CF98C"/>
    <w:lvl w:ilvl="0" w:tplc="355EA810">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CF1219C"/>
    <w:multiLevelType w:val="multilevel"/>
    <w:tmpl w:val="B25E4A8C"/>
    <w:styleLink w:val="CurrentList1"/>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DD1346A"/>
    <w:multiLevelType w:val="multilevel"/>
    <w:tmpl w:val="0BA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6F2AAF"/>
    <w:multiLevelType w:val="hybridMultilevel"/>
    <w:tmpl w:val="90164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D7B317A"/>
    <w:multiLevelType w:val="hybridMultilevel"/>
    <w:tmpl w:val="9B14C534"/>
    <w:lvl w:ilvl="0" w:tplc="0C2AF6A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4C42258"/>
    <w:multiLevelType w:val="hybridMultilevel"/>
    <w:tmpl w:val="5D2CC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6DA34A8"/>
    <w:multiLevelType w:val="hybridMultilevel"/>
    <w:tmpl w:val="807218F2"/>
    <w:lvl w:ilvl="0" w:tplc="355EA810">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D042AA8"/>
    <w:multiLevelType w:val="multilevel"/>
    <w:tmpl w:val="7A0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046A1"/>
    <w:multiLevelType w:val="hybridMultilevel"/>
    <w:tmpl w:val="03448542"/>
    <w:lvl w:ilvl="0" w:tplc="CA9AEE5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64124D8E"/>
    <w:multiLevelType w:val="hybridMultilevel"/>
    <w:tmpl w:val="1648133A"/>
    <w:lvl w:ilvl="0" w:tplc="355EA810">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E3A72D8"/>
    <w:multiLevelType w:val="multilevel"/>
    <w:tmpl w:val="1B2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DA0132"/>
    <w:multiLevelType w:val="multilevel"/>
    <w:tmpl w:val="15F48E68"/>
    <w:lvl w:ilvl="0">
      <w:start w:val="1"/>
      <w:numFmt w:val="decimal"/>
      <w:lvlText w:val="%1."/>
      <w:lvlJc w:val="left"/>
      <w:pPr>
        <w:ind w:left="360" w:hanging="360"/>
      </w:pPr>
      <w:rPr>
        <w:rFonts w:ascii="Times New Roman" w:eastAsiaTheme="minorHAnsi" w:hAnsi="Times New Roman" w:cs="Times New Roman"/>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70F12C44"/>
    <w:multiLevelType w:val="multilevel"/>
    <w:tmpl w:val="BB984B7A"/>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0E4A4B"/>
    <w:multiLevelType w:val="hybridMultilevel"/>
    <w:tmpl w:val="DBF026B6"/>
    <w:lvl w:ilvl="0" w:tplc="355EA810">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8C97ABF"/>
    <w:multiLevelType w:val="multilevel"/>
    <w:tmpl w:val="987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0678AC"/>
    <w:multiLevelType w:val="hybridMultilevel"/>
    <w:tmpl w:val="02942C4E"/>
    <w:lvl w:ilvl="0" w:tplc="FD4AA8A0">
      <w:start w:val="1"/>
      <w:numFmt w:val="decimal"/>
      <w:lvlText w:val="%1)"/>
      <w:lvlJc w:val="left"/>
      <w:pPr>
        <w:ind w:left="360" w:hanging="360"/>
      </w:pPr>
      <w:rPr>
        <w:rFonts w:hint="default"/>
        <w:color w:val="FF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F4A1620"/>
    <w:multiLevelType w:val="hybridMultilevel"/>
    <w:tmpl w:val="59A69C30"/>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34003095">
    <w:abstractNumId w:val="1"/>
  </w:num>
  <w:num w:numId="2" w16cid:durableId="1467121584">
    <w:abstractNumId w:val="0"/>
  </w:num>
  <w:num w:numId="3" w16cid:durableId="801533311">
    <w:abstractNumId w:val="24"/>
  </w:num>
  <w:num w:numId="4" w16cid:durableId="1021082357">
    <w:abstractNumId w:val="13"/>
  </w:num>
  <w:num w:numId="5" w16cid:durableId="277838981">
    <w:abstractNumId w:val="17"/>
  </w:num>
  <w:num w:numId="6" w16cid:durableId="91821648">
    <w:abstractNumId w:val="21"/>
  </w:num>
  <w:num w:numId="7" w16cid:durableId="54161129">
    <w:abstractNumId w:val="23"/>
  </w:num>
  <w:num w:numId="8" w16cid:durableId="296490774">
    <w:abstractNumId w:val="16"/>
  </w:num>
  <w:num w:numId="9" w16cid:durableId="1437677569">
    <w:abstractNumId w:val="19"/>
  </w:num>
  <w:num w:numId="10" w16cid:durableId="909777778">
    <w:abstractNumId w:val="11"/>
  </w:num>
  <w:num w:numId="11" w16cid:durableId="94912355">
    <w:abstractNumId w:val="22"/>
  </w:num>
  <w:num w:numId="12" w16cid:durableId="1411854343">
    <w:abstractNumId w:val="9"/>
  </w:num>
  <w:num w:numId="13" w16cid:durableId="834954416">
    <w:abstractNumId w:val="5"/>
  </w:num>
  <w:num w:numId="14" w16cid:durableId="23333303">
    <w:abstractNumId w:val="15"/>
  </w:num>
  <w:num w:numId="15" w16cid:durableId="1640306064">
    <w:abstractNumId w:val="18"/>
  </w:num>
  <w:num w:numId="16" w16cid:durableId="1990205817">
    <w:abstractNumId w:val="12"/>
  </w:num>
  <w:num w:numId="17" w16cid:durableId="1208836316">
    <w:abstractNumId w:val="3"/>
  </w:num>
  <w:num w:numId="18" w16cid:durableId="1390879351">
    <w:abstractNumId w:val="14"/>
  </w:num>
  <w:num w:numId="19" w16cid:durableId="1453935622">
    <w:abstractNumId w:val="7"/>
  </w:num>
  <w:num w:numId="20" w16cid:durableId="371536202">
    <w:abstractNumId w:val="4"/>
  </w:num>
  <w:num w:numId="21" w16cid:durableId="277415159">
    <w:abstractNumId w:val="6"/>
  </w:num>
  <w:num w:numId="22" w16cid:durableId="1080325459">
    <w:abstractNumId w:val="8"/>
  </w:num>
  <w:num w:numId="23" w16cid:durableId="700790022">
    <w:abstractNumId w:val="20"/>
  </w:num>
  <w:num w:numId="24" w16cid:durableId="337588223">
    <w:abstractNumId w:val="10"/>
  </w:num>
  <w:num w:numId="25" w16cid:durableId="1028482679">
    <w:abstractNumId w:val="25"/>
  </w:num>
  <w:num w:numId="26" w16cid:durableId="104710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25"/>
    <w:rsid w:val="0001090E"/>
    <w:rsid w:val="000215AD"/>
    <w:rsid w:val="00046174"/>
    <w:rsid w:val="00083C5F"/>
    <w:rsid w:val="00083D72"/>
    <w:rsid w:val="0009399F"/>
    <w:rsid w:val="000D58E0"/>
    <w:rsid w:val="000E1CC7"/>
    <w:rsid w:val="001003AE"/>
    <w:rsid w:val="00106CFF"/>
    <w:rsid w:val="0018590C"/>
    <w:rsid w:val="001B18E6"/>
    <w:rsid w:val="001C183B"/>
    <w:rsid w:val="00253A17"/>
    <w:rsid w:val="00263EC1"/>
    <w:rsid w:val="00275F1F"/>
    <w:rsid w:val="002834B0"/>
    <w:rsid w:val="002D2581"/>
    <w:rsid w:val="00313BEA"/>
    <w:rsid w:val="0032050B"/>
    <w:rsid w:val="00332161"/>
    <w:rsid w:val="003649D3"/>
    <w:rsid w:val="00376708"/>
    <w:rsid w:val="0038696A"/>
    <w:rsid w:val="003A68C1"/>
    <w:rsid w:val="003F51DA"/>
    <w:rsid w:val="003F78E3"/>
    <w:rsid w:val="00414309"/>
    <w:rsid w:val="00416076"/>
    <w:rsid w:val="004215F7"/>
    <w:rsid w:val="0042797E"/>
    <w:rsid w:val="004A2539"/>
    <w:rsid w:val="004E76A6"/>
    <w:rsid w:val="004F3EA8"/>
    <w:rsid w:val="00536D21"/>
    <w:rsid w:val="00537A5B"/>
    <w:rsid w:val="00537AA4"/>
    <w:rsid w:val="005456C8"/>
    <w:rsid w:val="0059048A"/>
    <w:rsid w:val="005C4A1D"/>
    <w:rsid w:val="005D60D9"/>
    <w:rsid w:val="005F0680"/>
    <w:rsid w:val="00601827"/>
    <w:rsid w:val="0063616A"/>
    <w:rsid w:val="00647852"/>
    <w:rsid w:val="006B305E"/>
    <w:rsid w:val="006D5F9C"/>
    <w:rsid w:val="00703129"/>
    <w:rsid w:val="00742B4A"/>
    <w:rsid w:val="00764EF2"/>
    <w:rsid w:val="00785BF3"/>
    <w:rsid w:val="007F51A7"/>
    <w:rsid w:val="00805363"/>
    <w:rsid w:val="00855E3D"/>
    <w:rsid w:val="0086754F"/>
    <w:rsid w:val="008902EB"/>
    <w:rsid w:val="00895CE0"/>
    <w:rsid w:val="008A540E"/>
    <w:rsid w:val="008D49B4"/>
    <w:rsid w:val="008F44BA"/>
    <w:rsid w:val="00903F21"/>
    <w:rsid w:val="00905FD3"/>
    <w:rsid w:val="009571C7"/>
    <w:rsid w:val="009651F5"/>
    <w:rsid w:val="00981688"/>
    <w:rsid w:val="009B4841"/>
    <w:rsid w:val="009C414E"/>
    <w:rsid w:val="009E292A"/>
    <w:rsid w:val="00A349EB"/>
    <w:rsid w:val="00A35559"/>
    <w:rsid w:val="00A50AB3"/>
    <w:rsid w:val="00A67522"/>
    <w:rsid w:val="00AD2980"/>
    <w:rsid w:val="00AE79E5"/>
    <w:rsid w:val="00B172E9"/>
    <w:rsid w:val="00B35B05"/>
    <w:rsid w:val="00B52A8C"/>
    <w:rsid w:val="00B6637F"/>
    <w:rsid w:val="00B668B7"/>
    <w:rsid w:val="00B71782"/>
    <w:rsid w:val="00B82C90"/>
    <w:rsid w:val="00B90665"/>
    <w:rsid w:val="00BC76CB"/>
    <w:rsid w:val="00BC7773"/>
    <w:rsid w:val="00BE2019"/>
    <w:rsid w:val="00C2310C"/>
    <w:rsid w:val="00C256D6"/>
    <w:rsid w:val="00C97D8E"/>
    <w:rsid w:val="00CA7220"/>
    <w:rsid w:val="00CF3F8B"/>
    <w:rsid w:val="00D25AB1"/>
    <w:rsid w:val="00D75CEB"/>
    <w:rsid w:val="00D83BA5"/>
    <w:rsid w:val="00D93ED2"/>
    <w:rsid w:val="00DB6EF9"/>
    <w:rsid w:val="00DC5062"/>
    <w:rsid w:val="00DD0AC3"/>
    <w:rsid w:val="00E04944"/>
    <w:rsid w:val="00E15C4B"/>
    <w:rsid w:val="00E24325"/>
    <w:rsid w:val="00E40DAB"/>
    <w:rsid w:val="00E979D4"/>
    <w:rsid w:val="00EA12B0"/>
    <w:rsid w:val="00EC4A01"/>
    <w:rsid w:val="00EF5766"/>
    <w:rsid w:val="00F060DB"/>
    <w:rsid w:val="00F06518"/>
    <w:rsid w:val="00F11502"/>
    <w:rsid w:val="00F742B1"/>
    <w:rsid w:val="00F87F52"/>
    <w:rsid w:val="00F96D3F"/>
    <w:rsid w:val="00FA4F5C"/>
    <w:rsid w:val="00FB1389"/>
    <w:rsid w:val="00FF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6D811"/>
  <w15:chartTrackingRefBased/>
  <w15:docId w15:val="{48EB5D24-A8B6-0A4E-AADA-C67FCABF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3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3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3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3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325"/>
    <w:rPr>
      <w:rFonts w:eastAsiaTheme="majorEastAsia" w:cstheme="majorBidi"/>
      <w:color w:val="272727" w:themeColor="text1" w:themeTint="D8"/>
    </w:rPr>
  </w:style>
  <w:style w:type="paragraph" w:styleId="Title">
    <w:name w:val="Title"/>
    <w:basedOn w:val="Normal"/>
    <w:next w:val="Normal"/>
    <w:link w:val="TitleChar"/>
    <w:uiPriority w:val="10"/>
    <w:qFormat/>
    <w:rsid w:val="00E243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3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3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4325"/>
    <w:rPr>
      <w:i/>
      <w:iCs/>
      <w:color w:val="404040" w:themeColor="text1" w:themeTint="BF"/>
    </w:rPr>
  </w:style>
  <w:style w:type="paragraph" w:styleId="ListParagraph">
    <w:name w:val="List Paragraph"/>
    <w:basedOn w:val="Normal"/>
    <w:uiPriority w:val="34"/>
    <w:qFormat/>
    <w:rsid w:val="00E24325"/>
    <w:pPr>
      <w:ind w:left="720"/>
      <w:contextualSpacing/>
    </w:pPr>
  </w:style>
  <w:style w:type="character" w:styleId="IntenseEmphasis">
    <w:name w:val="Intense Emphasis"/>
    <w:basedOn w:val="DefaultParagraphFont"/>
    <w:uiPriority w:val="21"/>
    <w:qFormat/>
    <w:rsid w:val="00E24325"/>
    <w:rPr>
      <w:i/>
      <w:iCs/>
      <w:color w:val="0F4761" w:themeColor="accent1" w:themeShade="BF"/>
    </w:rPr>
  </w:style>
  <w:style w:type="paragraph" w:styleId="IntenseQuote">
    <w:name w:val="Intense Quote"/>
    <w:basedOn w:val="Normal"/>
    <w:next w:val="Normal"/>
    <w:link w:val="IntenseQuoteChar"/>
    <w:uiPriority w:val="30"/>
    <w:qFormat/>
    <w:rsid w:val="00E24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325"/>
    <w:rPr>
      <w:i/>
      <w:iCs/>
      <w:color w:val="0F4761" w:themeColor="accent1" w:themeShade="BF"/>
    </w:rPr>
  </w:style>
  <w:style w:type="character" w:styleId="IntenseReference">
    <w:name w:val="Intense Reference"/>
    <w:basedOn w:val="DefaultParagraphFont"/>
    <w:uiPriority w:val="32"/>
    <w:qFormat/>
    <w:rsid w:val="00E24325"/>
    <w:rPr>
      <w:b/>
      <w:bCs/>
      <w:smallCaps/>
      <w:color w:val="0F4761" w:themeColor="accent1" w:themeShade="BF"/>
      <w:spacing w:val="5"/>
    </w:rPr>
  </w:style>
  <w:style w:type="paragraph" w:styleId="Header">
    <w:name w:val="header"/>
    <w:basedOn w:val="Normal"/>
    <w:link w:val="HeaderChar"/>
    <w:uiPriority w:val="99"/>
    <w:unhideWhenUsed/>
    <w:rsid w:val="00E24325"/>
    <w:pPr>
      <w:tabs>
        <w:tab w:val="center" w:pos="4680"/>
        <w:tab w:val="right" w:pos="9360"/>
      </w:tabs>
    </w:pPr>
  </w:style>
  <w:style w:type="character" w:customStyle="1" w:styleId="HeaderChar">
    <w:name w:val="Header Char"/>
    <w:basedOn w:val="DefaultParagraphFont"/>
    <w:link w:val="Header"/>
    <w:uiPriority w:val="99"/>
    <w:rsid w:val="00E24325"/>
  </w:style>
  <w:style w:type="paragraph" w:styleId="Footer">
    <w:name w:val="footer"/>
    <w:basedOn w:val="Normal"/>
    <w:link w:val="FooterChar"/>
    <w:uiPriority w:val="99"/>
    <w:unhideWhenUsed/>
    <w:rsid w:val="00E24325"/>
    <w:pPr>
      <w:tabs>
        <w:tab w:val="center" w:pos="4680"/>
        <w:tab w:val="right" w:pos="9360"/>
      </w:tabs>
    </w:pPr>
  </w:style>
  <w:style w:type="character" w:customStyle="1" w:styleId="FooterChar">
    <w:name w:val="Footer Char"/>
    <w:basedOn w:val="DefaultParagraphFont"/>
    <w:link w:val="Footer"/>
    <w:uiPriority w:val="99"/>
    <w:rsid w:val="00E24325"/>
  </w:style>
  <w:style w:type="paragraph" w:styleId="TOCHeading">
    <w:name w:val="TOC Heading"/>
    <w:basedOn w:val="Heading1"/>
    <w:next w:val="Normal"/>
    <w:uiPriority w:val="39"/>
    <w:unhideWhenUsed/>
    <w:qFormat/>
    <w:rsid w:val="00E24325"/>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4325"/>
    <w:pPr>
      <w:spacing w:before="120"/>
    </w:pPr>
    <w:rPr>
      <w:b/>
      <w:bCs/>
      <w:i/>
      <w:iCs/>
    </w:rPr>
  </w:style>
  <w:style w:type="paragraph" w:styleId="TOC2">
    <w:name w:val="toc 2"/>
    <w:basedOn w:val="Normal"/>
    <w:next w:val="Normal"/>
    <w:autoRedefine/>
    <w:uiPriority w:val="39"/>
    <w:unhideWhenUsed/>
    <w:rsid w:val="00E24325"/>
    <w:pPr>
      <w:spacing w:before="120"/>
      <w:ind w:left="240"/>
    </w:pPr>
    <w:rPr>
      <w:b/>
      <w:bCs/>
      <w:sz w:val="22"/>
      <w:szCs w:val="22"/>
    </w:rPr>
  </w:style>
  <w:style w:type="paragraph" w:styleId="TOC3">
    <w:name w:val="toc 3"/>
    <w:basedOn w:val="Normal"/>
    <w:next w:val="Normal"/>
    <w:autoRedefine/>
    <w:uiPriority w:val="39"/>
    <w:unhideWhenUsed/>
    <w:rsid w:val="00E24325"/>
    <w:pPr>
      <w:ind w:left="480"/>
    </w:pPr>
    <w:rPr>
      <w:sz w:val="20"/>
      <w:szCs w:val="20"/>
    </w:rPr>
  </w:style>
  <w:style w:type="paragraph" w:styleId="TOC4">
    <w:name w:val="toc 4"/>
    <w:basedOn w:val="Normal"/>
    <w:next w:val="Normal"/>
    <w:autoRedefine/>
    <w:uiPriority w:val="39"/>
    <w:semiHidden/>
    <w:unhideWhenUsed/>
    <w:rsid w:val="00E24325"/>
    <w:pPr>
      <w:ind w:left="720"/>
    </w:pPr>
    <w:rPr>
      <w:sz w:val="20"/>
      <w:szCs w:val="20"/>
    </w:rPr>
  </w:style>
  <w:style w:type="paragraph" w:styleId="TOC5">
    <w:name w:val="toc 5"/>
    <w:basedOn w:val="Normal"/>
    <w:next w:val="Normal"/>
    <w:autoRedefine/>
    <w:uiPriority w:val="39"/>
    <w:semiHidden/>
    <w:unhideWhenUsed/>
    <w:rsid w:val="00E24325"/>
    <w:pPr>
      <w:ind w:left="960"/>
    </w:pPr>
    <w:rPr>
      <w:sz w:val="20"/>
      <w:szCs w:val="20"/>
    </w:rPr>
  </w:style>
  <w:style w:type="paragraph" w:styleId="TOC6">
    <w:name w:val="toc 6"/>
    <w:basedOn w:val="Normal"/>
    <w:next w:val="Normal"/>
    <w:autoRedefine/>
    <w:uiPriority w:val="39"/>
    <w:semiHidden/>
    <w:unhideWhenUsed/>
    <w:rsid w:val="00E24325"/>
    <w:pPr>
      <w:ind w:left="1200"/>
    </w:pPr>
    <w:rPr>
      <w:sz w:val="20"/>
      <w:szCs w:val="20"/>
    </w:rPr>
  </w:style>
  <w:style w:type="paragraph" w:styleId="TOC7">
    <w:name w:val="toc 7"/>
    <w:basedOn w:val="Normal"/>
    <w:next w:val="Normal"/>
    <w:autoRedefine/>
    <w:uiPriority w:val="39"/>
    <w:semiHidden/>
    <w:unhideWhenUsed/>
    <w:rsid w:val="00E24325"/>
    <w:pPr>
      <w:ind w:left="1440"/>
    </w:pPr>
    <w:rPr>
      <w:sz w:val="20"/>
      <w:szCs w:val="20"/>
    </w:rPr>
  </w:style>
  <w:style w:type="paragraph" w:styleId="TOC8">
    <w:name w:val="toc 8"/>
    <w:basedOn w:val="Normal"/>
    <w:next w:val="Normal"/>
    <w:autoRedefine/>
    <w:uiPriority w:val="39"/>
    <w:semiHidden/>
    <w:unhideWhenUsed/>
    <w:rsid w:val="00E24325"/>
    <w:pPr>
      <w:ind w:left="1680"/>
    </w:pPr>
    <w:rPr>
      <w:sz w:val="20"/>
      <w:szCs w:val="20"/>
    </w:rPr>
  </w:style>
  <w:style w:type="paragraph" w:styleId="TOC9">
    <w:name w:val="toc 9"/>
    <w:basedOn w:val="Normal"/>
    <w:next w:val="Normal"/>
    <w:autoRedefine/>
    <w:uiPriority w:val="39"/>
    <w:semiHidden/>
    <w:unhideWhenUsed/>
    <w:rsid w:val="00E24325"/>
    <w:pPr>
      <w:ind w:left="1920"/>
    </w:pPr>
    <w:rPr>
      <w:sz w:val="20"/>
      <w:szCs w:val="20"/>
    </w:rPr>
  </w:style>
  <w:style w:type="character" w:styleId="Hyperlink">
    <w:name w:val="Hyperlink"/>
    <w:basedOn w:val="DefaultParagraphFont"/>
    <w:uiPriority w:val="99"/>
    <w:unhideWhenUsed/>
    <w:rsid w:val="00E24325"/>
    <w:rPr>
      <w:color w:val="467886" w:themeColor="hyperlink"/>
      <w:u w:val="single"/>
    </w:rPr>
  </w:style>
  <w:style w:type="character" w:styleId="PageNumber">
    <w:name w:val="page number"/>
    <w:basedOn w:val="DefaultParagraphFont"/>
    <w:uiPriority w:val="99"/>
    <w:semiHidden/>
    <w:unhideWhenUsed/>
    <w:rsid w:val="00E24325"/>
  </w:style>
  <w:style w:type="table" w:styleId="TableGrid">
    <w:name w:val="Table Grid"/>
    <w:basedOn w:val="TableNormal"/>
    <w:uiPriority w:val="59"/>
    <w:rsid w:val="00E24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83D7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083D72"/>
  </w:style>
  <w:style w:type="character" w:customStyle="1" w:styleId="eop">
    <w:name w:val="eop"/>
    <w:basedOn w:val="DefaultParagraphFont"/>
    <w:rsid w:val="00083D72"/>
  </w:style>
  <w:style w:type="paragraph" w:styleId="NoSpacing">
    <w:name w:val="No Spacing"/>
    <w:link w:val="NoSpacingChar"/>
    <w:uiPriority w:val="1"/>
    <w:qFormat/>
    <w:rsid w:val="00083D72"/>
    <w:rPr>
      <w:rFonts w:ascii="Calibri" w:eastAsia="Calibri" w:hAnsi="Calibri" w:cs="Times New Roman"/>
      <w:kern w:val="0"/>
      <w:sz w:val="22"/>
      <w:szCs w:val="22"/>
      <w14:ligatures w14:val="none"/>
    </w:rPr>
  </w:style>
  <w:style w:type="character" w:customStyle="1" w:styleId="NoSpacingChar">
    <w:name w:val="No Spacing Char"/>
    <w:link w:val="NoSpacing"/>
    <w:uiPriority w:val="1"/>
    <w:rsid w:val="00083D72"/>
    <w:rPr>
      <w:rFonts w:ascii="Calibri" w:eastAsia="Calibri" w:hAnsi="Calibri" w:cs="Times New Roman"/>
      <w:kern w:val="0"/>
      <w:sz w:val="22"/>
      <w:szCs w:val="22"/>
      <w14:ligatures w14:val="none"/>
    </w:rPr>
  </w:style>
  <w:style w:type="paragraph" w:styleId="NormalWeb">
    <w:name w:val="Normal (Web)"/>
    <w:basedOn w:val="Normal"/>
    <w:uiPriority w:val="99"/>
    <w:semiHidden/>
    <w:unhideWhenUsed/>
    <w:rsid w:val="00083D72"/>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9E292A"/>
    <w:rPr>
      <w:color w:val="666666"/>
    </w:rPr>
  </w:style>
  <w:style w:type="numbering" w:customStyle="1" w:styleId="CurrentList1">
    <w:name w:val="Current List1"/>
    <w:uiPriority w:val="99"/>
    <w:rsid w:val="0032050B"/>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1EEA7-A555-7A4E-B666-A1050151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11706</Words>
  <Characters>66725</Characters>
  <Application>Microsoft Office Word</Application>
  <DocSecurity>0</DocSecurity>
  <Lines>556</Lines>
  <Paragraphs>156</Paragraphs>
  <ScaleCrop>false</ScaleCrop>
  <Company/>
  <LinksUpToDate>false</LinksUpToDate>
  <CharactersWithSpaces>78275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 Carnell</dc:creator>
  <cp:keywords/>
  <dc:description/>
  <cp:lastModifiedBy>Tab Carnell</cp:lastModifiedBy>
  <cp:revision>2</cp:revision>
  <dcterms:created xsi:type="dcterms:W3CDTF">2025-07-20T23:55:00Z</dcterms:created>
  <dcterms:modified xsi:type="dcterms:W3CDTF">2025-07-20T23:55:00Z</dcterms:modified>
</cp:coreProperties>
</file>