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Kenya KESCO Localization</w:t>
      </w:r>
    </w:p>
    <w:p>
      <w:r>
        <w:t>Kenya's national occupational classification (KESCO) contains 5,917 occupations. This document describes the process of mapping KESCO to the Tabiya ESCO taxonomy, producing a localized taxonomy where each KESCO occupation either links to an existing ESCO occupation or is established as a new local occupation with its own skill set.</w:t>
      </w:r>
    </w:p>
    <w:p>
      <w:pPr>
        <w:pStyle w:val="Heading1"/>
      </w:pPr>
      <w:r>
        <w:t>Overview</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Source classification</w:t>
            </w:r>
          </w:p>
        </w:tc>
        <w:tc>
          <w:tcPr>
            <w:tcW w:type="dxa" w:w="4320"/>
          </w:tcPr>
          <w:p>
            <w:r>
              <w:t>KESCO (Kenya Standard Classification of Occupations)</w:t>
            </w:r>
          </w:p>
        </w:tc>
      </w:tr>
      <w:tr>
        <w:tc>
          <w:tcPr>
            <w:tcW w:type="dxa" w:w="4320"/>
          </w:tcPr>
          <w:p>
            <w:r>
              <w:t>Total KESCO occupations</w:t>
            </w:r>
          </w:p>
        </w:tc>
        <w:tc>
          <w:tcPr>
            <w:tcW w:type="dxa" w:w="4320"/>
          </w:tcPr>
          <w:p>
            <w:r>
              <w:t>5,917</w:t>
            </w:r>
          </w:p>
        </w:tc>
      </w:tr>
      <w:tr>
        <w:tc>
          <w:tcPr>
            <w:tcW w:type="dxa" w:w="4320"/>
          </w:tcPr>
          <w:p>
            <w:r>
              <w:t>Base taxonomy</w:t>
            </w:r>
          </w:p>
        </w:tc>
        <w:tc>
          <w:tcPr>
            <w:tcW w:type="dxa" w:w="4320"/>
          </w:tcPr>
          <w:p>
            <w:r>
              <w:t>Tabiya ESCO v2.0.1</w:t>
            </w:r>
          </w:p>
        </w:tc>
      </w:tr>
      <w:tr>
        <w:tc>
          <w:tcPr>
            <w:tcW w:type="dxa" w:w="4320"/>
          </w:tcPr>
          <w:p>
            <w:r>
              <w:t>Matched to ESCO</w:t>
            </w:r>
          </w:p>
        </w:tc>
        <w:tc>
          <w:tcPr>
            <w:tcW w:type="dxa" w:w="4320"/>
          </w:tcPr>
          <w:p>
            <w:r>
              <w:t>5,701 (96.4%)</w:t>
            </w:r>
          </w:p>
        </w:tc>
      </w:tr>
      <w:tr>
        <w:tc>
          <w:tcPr>
            <w:tcW w:type="dxa" w:w="4320"/>
          </w:tcPr>
          <w:p>
            <w:r>
              <w:t>New local occupations created</w:t>
            </w:r>
          </w:p>
        </w:tc>
        <w:tc>
          <w:tcPr>
            <w:tcW w:type="dxa" w:w="4320"/>
          </w:tcPr>
          <w:p>
            <w:r>
              <w:t>69</w:t>
            </w:r>
          </w:p>
        </w:tc>
      </w:tr>
      <w:tr>
        <w:tc>
          <w:tcPr>
            <w:tcW w:type="dxa" w:w="4320"/>
          </w:tcPr>
          <w:p>
            <w:r>
              <w:t>Alternative labels added</w:t>
            </w:r>
          </w:p>
        </w:tc>
        <w:tc>
          <w:tcPr>
            <w:tcW w:type="dxa" w:w="4320"/>
          </w:tcPr>
          <w:p>
            <w:r>
              <w:t>2,760</w:t>
            </w:r>
          </w:p>
        </w:tc>
      </w:tr>
    </w:tbl>
    <w:p/>
    <w:p>
      <w:pPr>
        <w:pStyle w:val="Heading1"/>
      </w:pPr>
      <w:r>
        <w:t>Matching</w:t>
      </w:r>
    </w:p>
    <w:p>
      <w:r>
        <w:t>The matching pipeline worked in stages, resolving the easiest cases first. Exact string matching caught 2,919 occupations where the KESCO title matched an ESCO label directly. Next, Gemini embeddings were generated for all KESCO and ESCO occupations, and cosine similarity identified high-confidence semantic matches. An LLM validated these matches, confirming or rejecting each one, covering another 1,952 occupations.</w:t>
      </w:r>
    </w:p>
    <w:p>
      <w:r>
        <w:t>The remaining 975 low-confidence and unmatched items went through human review in a custom review tool. Reviewers could approve the suggested match, select a different ESCO occupation from a searchable tree, or flag the item as genuinely new to ESCO. This produced 830 additional matches and identified 216 items as new local. Of those 216, many shared the same underlying role, so they consolidated into 69 distinct new occupations.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Method</w:t>
            </w:r>
          </w:p>
        </w:tc>
        <w:tc>
          <w:tcPr>
            <w:tcW w:type="dxa" w:w="2880"/>
          </w:tcPr>
          <w:p>
            <w:r>
              <w:rPr>
                <w:b/>
              </w:rPr>
              <w:t>Occupations Resolved</w:t>
            </w:r>
          </w:p>
        </w:tc>
      </w:tr>
      <w:tr>
        <w:tc>
          <w:tcPr>
            <w:tcW w:type="dxa" w:w="2880"/>
          </w:tcPr>
          <w:p>
            <w:r>
              <w:t>1. Exact match</w:t>
            </w:r>
          </w:p>
        </w:tc>
        <w:tc>
          <w:tcPr>
            <w:tcW w:type="dxa" w:w="2880"/>
          </w:tcPr>
          <w:p>
            <w:r>
              <w:t>String matching against ESCO labels</w:t>
            </w:r>
          </w:p>
        </w:tc>
        <w:tc>
          <w:tcPr>
            <w:tcW w:type="dxa" w:w="2880"/>
          </w:tcPr>
          <w:p>
            <w:r>
              <w:t>2,919 (49%)</w:t>
            </w:r>
          </w:p>
        </w:tc>
      </w:tr>
      <w:tr>
        <w:tc>
          <w:tcPr>
            <w:tcW w:type="dxa" w:w="2880"/>
          </w:tcPr>
          <w:p>
            <w:r>
              <w:t>2. Semantic match</w:t>
            </w:r>
          </w:p>
        </w:tc>
        <w:tc>
          <w:tcPr>
            <w:tcW w:type="dxa" w:w="2880"/>
          </w:tcPr>
          <w:p>
            <w:r>
              <w:t>Gemini embeddings + cosine similarity</w:t>
            </w:r>
          </w:p>
        </w:tc>
        <w:tc>
          <w:tcPr>
            <w:tcW w:type="dxa" w:w="2880"/>
          </w:tcPr>
          <w:p>
            <w:r>
              <w:t>1,539 (26%)</w:t>
            </w:r>
          </w:p>
        </w:tc>
      </w:tr>
      <w:tr>
        <w:tc>
          <w:tcPr>
            <w:tcW w:type="dxa" w:w="2880"/>
          </w:tcPr>
          <w:p>
            <w:r>
              <w:t>3. LLM validation</w:t>
            </w:r>
          </w:p>
        </w:tc>
        <w:tc>
          <w:tcPr>
            <w:tcW w:type="dxa" w:w="2880"/>
          </w:tcPr>
          <w:p>
            <w:r>
              <w:t>Gemini confirms/rejects semantic matches</w:t>
            </w:r>
          </w:p>
        </w:tc>
        <w:tc>
          <w:tcPr>
            <w:tcW w:type="dxa" w:w="2880"/>
          </w:tcPr>
          <w:p>
            <w:r>
              <w:t>413 (7%)</w:t>
            </w:r>
          </w:p>
        </w:tc>
      </w:tr>
      <w:tr>
        <w:tc>
          <w:tcPr>
            <w:tcW w:type="dxa" w:w="2880"/>
          </w:tcPr>
          <w:p>
            <w:r>
              <w:t>4. Human review</w:t>
            </w:r>
          </w:p>
        </w:tc>
        <w:tc>
          <w:tcPr>
            <w:tcW w:type="dxa" w:w="2880"/>
          </w:tcPr>
          <w:p>
            <w:r>
              <w:t>Manual review of 975 remaining items</w:t>
            </w:r>
          </w:p>
        </w:tc>
        <w:tc>
          <w:tcPr>
            <w:tcW w:type="dxa" w:w="2880"/>
          </w:tcPr>
          <w:p>
            <w:r>
              <w:t>830 (14%)</w:t>
            </w:r>
          </w:p>
        </w:tc>
      </w:tr>
      <w:tr>
        <w:tc>
          <w:tcPr>
            <w:tcW w:type="dxa" w:w="2880"/>
          </w:tcPr>
          <w:p>
            <w:r>
              <w:t>New local</w:t>
            </w:r>
          </w:p>
        </w:tc>
        <w:tc>
          <w:tcPr>
            <w:tcW w:type="dxa" w:w="2880"/>
          </w:tcPr>
          <w:p>
            <w:r>
              <w:t>No ESCO equivalent exists</w:t>
            </w:r>
          </w:p>
        </w:tc>
        <w:tc>
          <w:tcPr>
            <w:tcW w:type="dxa" w:w="2880"/>
          </w:tcPr>
          <w:p>
            <w:r>
              <w:t>216 (3.6%)</w:t>
            </w:r>
          </w:p>
        </w:tc>
      </w:tr>
    </w:tbl>
    <w:p/>
    <w:p>
      <w:pPr>
        <w:pStyle w:val="Heading1"/>
      </w:pPr>
      <w:r>
        <w:t>Taxonomy Construction</w:t>
      </w:r>
    </w:p>
    <w:p>
      <w:r>
        <w:t>Matched occupations had their KESCO titles added as alternative labels on the corresponding ESCO occupation, adding 2,760 alt labels across 955 ESCO occupations. This means someone searching for a Kenyan job title will find the correct ESCO occupation.</w:t>
      </w:r>
    </w:p>
    <w:p>
      <w:r>
        <w:t>The 69 new local occupations were created with LLM-generated descriptions, assigned unique codes following the ISCO group of their closest ESCO parent, and inserted into the occupation hierarchy.</w:t>
      </w:r>
    </w:p>
    <w:p>
      <w:pPr>
        <w:pStyle w:val="Heading1"/>
      </w:pPr>
      <w:r>
        <w:t>Skill Assignment</w:t>
      </w:r>
    </w:p>
    <w:p>
      <w:r>
        <w:t>New local occupations needed skills since they don't inherit them from ESCO. The approach used O*NET as a bridge: each new occupation's embedding was compared against 1,016 pre-embedded O*NET occupations to find the 5 closest matches by cosine similarity. Those O*NET occupations' task statements were then mapped to ESCO skills via a validated crosswalk at the task level. This produced a candidate pool of typically 300-600 ESCO skills per occupation.</w:t>
      </w:r>
    </w:p>
    <w:p>
      <w:r>
        <w:t>Gemini 3 Flash then filtered each candidate pool down to the most relevant skills, targeting 25-50 per occupation. The final result averaged 49 skills per occupation across all 69, consistent with the existing taxonomy average.</w:t>
      </w:r>
    </w:p>
    <w:p>
      <w:pPr>
        <w:pStyle w:val="Heading1"/>
      </w:pPr>
      <w:r>
        <w:t>Final Output</w:t>
      </w:r>
    </w:p>
    <w:p>
      <w:r>
        <w:t>The final taxonomy extends Tabiya ESCO v2.0.1 with Kenya-specific content, delivered in the standard 9-file CSV format.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Records</w:t>
            </w:r>
          </w:p>
        </w:tc>
        <w:tc>
          <w:tcPr>
            <w:tcW w:type="dxa" w:w="2880"/>
          </w:tcPr>
          <w:p>
            <w:r>
              <w:rPr>
                <w:b/>
              </w:rPr>
              <w:t>Kenya Changes</w:t>
            </w:r>
          </w:p>
        </w:tc>
      </w:tr>
      <w:tr>
        <w:tc>
          <w:tcPr>
            <w:tcW w:type="dxa" w:w="2880"/>
          </w:tcPr>
          <w:p>
            <w:r>
              <w:t>occupations.csv</w:t>
            </w:r>
          </w:p>
        </w:tc>
        <w:tc>
          <w:tcPr>
            <w:tcW w:type="dxa" w:w="2880"/>
          </w:tcPr>
          <w:p>
            <w:r>
              <w:t>3,143</w:t>
            </w:r>
          </w:p>
        </w:tc>
        <w:tc>
          <w:tcPr>
            <w:tcW w:type="dxa" w:w="2880"/>
          </w:tcPr>
          <w:p>
            <w:r>
              <w:t>+69 new local occupations, +2,760 alt labels</w:t>
            </w:r>
          </w:p>
        </w:tc>
      </w:tr>
      <w:tr>
        <w:tc>
          <w:tcPr>
            <w:tcW w:type="dxa" w:w="2880"/>
          </w:tcPr>
          <w:p>
            <w:r>
              <w:t>occupation_hierarchy.csv</w:t>
            </w:r>
          </w:p>
        </w:tc>
        <w:tc>
          <w:tcPr>
            <w:tcW w:type="dxa" w:w="2880"/>
          </w:tcPr>
          <w:p>
            <w:r>
              <w:t>3,777</w:t>
            </w:r>
          </w:p>
        </w:tc>
        <w:tc>
          <w:tcPr>
            <w:tcW w:type="dxa" w:w="2880"/>
          </w:tcPr>
          <w:p>
            <w:r>
              <w:t>+69 parent links for new occupations</w:t>
            </w:r>
          </w:p>
        </w:tc>
      </w:tr>
      <w:tr>
        <w:tc>
          <w:tcPr>
            <w:tcW w:type="dxa" w:w="2880"/>
          </w:tcPr>
          <w:p>
            <w:r>
              <w:t>occupation_to_skill_relations.csv</w:t>
            </w:r>
          </w:p>
        </w:tc>
        <w:tc>
          <w:tcPr>
            <w:tcW w:type="dxa" w:w="2880"/>
          </w:tcPr>
          <w:p>
            <w:r>
              <w:t>134,179</w:t>
            </w:r>
          </w:p>
        </w:tc>
        <w:tc>
          <w:tcPr>
            <w:tcW w:type="dxa" w:w="2880"/>
          </w:tcPr>
          <w:p>
            <w:r>
              <w:t>+3,357 skill relations for new occupations</w:t>
            </w:r>
          </w:p>
        </w:tc>
      </w:tr>
      <w:tr>
        <w:tc>
          <w:tcPr>
            <w:tcW w:type="dxa" w:w="2880"/>
          </w:tcPr>
          <w:p>
            <w:r>
              <w:t>skills.csv</w:t>
            </w:r>
          </w:p>
        </w:tc>
        <w:tc>
          <w:tcPr>
            <w:tcW w:type="dxa" w:w="2880"/>
          </w:tcPr>
          <w:p>
            <w:r>
              <w:t>13,896</w:t>
            </w:r>
          </w:p>
        </w:tc>
        <w:tc>
          <w:tcPr>
            <w:tcW w:type="dxa" w:w="2880"/>
          </w:tcPr>
          <w:p>
            <w:r>
              <w:t>Unchanged</w:t>
            </w:r>
          </w:p>
        </w:tc>
      </w:tr>
      <w:tr>
        <w:tc>
          <w:tcPr>
            <w:tcW w:type="dxa" w:w="2880"/>
          </w:tcPr>
          <w:p>
            <w:r>
              <w:t>skill_hierarchy.csv</w:t>
            </w:r>
          </w:p>
        </w:tc>
        <w:tc>
          <w:tcPr>
            <w:tcW w:type="dxa" w:w="2880"/>
          </w:tcPr>
          <w:p>
            <w:r>
              <w:t>20,649</w:t>
            </w:r>
          </w:p>
        </w:tc>
        <w:tc>
          <w:tcPr>
            <w:tcW w:type="dxa" w:w="2880"/>
          </w:tcPr>
          <w:p>
            <w:r>
              <w:t>Unchanged</w:t>
            </w:r>
          </w:p>
        </w:tc>
      </w:tr>
      <w:tr>
        <w:tc>
          <w:tcPr>
            <w:tcW w:type="dxa" w:w="2880"/>
          </w:tcPr>
          <w:p>
            <w:r>
              <w:t>skill_groups.csv</w:t>
            </w:r>
          </w:p>
        </w:tc>
        <w:tc>
          <w:tcPr>
            <w:tcW w:type="dxa" w:w="2880"/>
          </w:tcPr>
          <w:p>
            <w:r>
              <w:t>640</w:t>
            </w:r>
          </w:p>
        </w:tc>
        <w:tc>
          <w:tcPr>
            <w:tcW w:type="dxa" w:w="2880"/>
          </w:tcPr>
          <w:p>
            <w:r>
              <w:t>Unchanged</w:t>
            </w:r>
          </w:p>
        </w:tc>
      </w:tr>
      <w:tr>
        <w:tc>
          <w:tcPr>
            <w:tcW w:type="dxa" w:w="2880"/>
          </w:tcPr>
          <w:p>
            <w:r>
              <w:t>skill_to_skill_relations.csv</w:t>
            </w:r>
          </w:p>
        </w:tc>
        <w:tc>
          <w:tcPr>
            <w:tcW w:type="dxa" w:w="2880"/>
          </w:tcPr>
          <w:p>
            <w:r>
              <w:t>5,898</w:t>
            </w:r>
          </w:p>
        </w:tc>
        <w:tc>
          <w:tcPr>
            <w:tcW w:type="dxa" w:w="2880"/>
          </w:tcPr>
          <w:p>
            <w:r>
              <w:t>Unchanged</w:t>
            </w:r>
          </w:p>
        </w:tc>
      </w:tr>
      <w:tr>
        <w:tc>
          <w:tcPr>
            <w:tcW w:type="dxa" w:w="2880"/>
          </w:tcPr>
          <w:p>
            <w:r>
              <w:t>occupation_groups.csv</w:t>
            </w:r>
          </w:p>
        </w:tc>
        <w:tc>
          <w:tcPr>
            <w:tcW w:type="dxa" w:w="2880"/>
          </w:tcPr>
          <w:p>
            <w:r>
              <w:t>647</w:t>
            </w:r>
          </w:p>
        </w:tc>
        <w:tc>
          <w:tcPr>
            <w:tcW w:type="dxa" w:w="2880"/>
          </w:tcPr>
          <w:p>
            <w:r>
              <w:t>Unchanged</w:t>
            </w:r>
          </w:p>
        </w:tc>
      </w:tr>
      <w:tr>
        <w:tc>
          <w:tcPr>
            <w:tcW w:type="dxa" w:w="2880"/>
          </w:tcPr>
          <w:p>
            <w:r>
              <w:t>model_info.csv</w:t>
            </w:r>
          </w:p>
        </w:tc>
        <w:tc>
          <w:tcPr>
            <w:tcW w:type="dxa" w:w="2880"/>
          </w:tcPr>
          <w:p>
            <w:r>
              <w:t>1</w:t>
            </w:r>
          </w:p>
        </w:tc>
        <w:tc>
          <w:tcPr>
            <w:tcW w:type="dxa" w:w="2880"/>
          </w:tcPr>
          <w:p>
            <w:r>
              <w:t>Updated metadata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A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A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A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