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Kenya KESCO Localization</w:t>
      </w:r>
    </w:p>
    <w:p>
      <w:r>
        <w:t>Kenya's national occupational classification (KESCO) contains 5,917 occupations. This document describes the process of mapping KESCO to the Tabiya ESCO taxonomy, producing a localized taxonomy where each KESCO occupation either links to an existing ESCO occupation or is established as a new local occupation with its own skill set.</w:t>
      </w:r>
    </w:p>
    <w:p>
      <w:pPr>
        <w:pStyle w:val="Heading1"/>
      </w:pPr>
      <w:r>
        <w:t>Overview</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Source classification</w:t>
            </w:r>
          </w:p>
        </w:tc>
        <w:tc>
          <w:tcPr>
            <w:tcW w:type="dxa" w:w="4320"/>
          </w:tcPr>
          <w:p>
            <w:r>
              <w:t>KESCO (Kenya Standard Classification of Occupations)</w:t>
            </w:r>
          </w:p>
        </w:tc>
      </w:tr>
      <w:tr>
        <w:tc>
          <w:tcPr>
            <w:tcW w:type="dxa" w:w="4320"/>
          </w:tcPr>
          <w:p>
            <w:r>
              <w:t>Total KESCO occupations</w:t>
            </w:r>
          </w:p>
        </w:tc>
        <w:tc>
          <w:tcPr>
            <w:tcW w:type="dxa" w:w="4320"/>
          </w:tcPr>
          <w:p>
            <w:r>
              <w:t>5,917</w:t>
            </w:r>
          </w:p>
        </w:tc>
      </w:tr>
      <w:tr>
        <w:tc>
          <w:tcPr>
            <w:tcW w:type="dxa" w:w="4320"/>
          </w:tcPr>
          <w:p>
            <w:r>
              <w:t>Base taxonomy</w:t>
            </w:r>
          </w:p>
        </w:tc>
        <w:tc>
          <w:tcPr>
            <w:tcW w:type="dxa" w:w="4320"/>
          </w:tcPr>
          <w:p>
            <w:r>
              <w:t>Tabiya ESCO v2.0.1</w:t>
            </w:r>
          </w:p>
        </w:tc>
      </w:tr>
      <w:tr>
        <w:tc>
          <w:tcPr>
            <w:tcW w:type="dxa" w:w="4320"/>
          </w:tcPr>
          <w:p>
            <w:r>
              <w:t>Matched to ESCO</w:t>
            </w:r>
          </w:p>
        </w:tc>
        <w:tc>
          <w:tcPr>
            <w:tcW w:type="dxa" w:w="4320"/>
          </w:tcPr>
          <w:p>
            <w:r>
              <w:t>5,701 (96.4%)</w:t>
            </w:r>
          </w:p>
        </w:tc>
      </w:tr>
      <w:tr>
        <w:tc>
          <w:tcPr>
            <w:tcW w:type="dxa" w:w="4320"/>
          </w:tcPr>
          <w:p>
            <w:r>
              <w:t>New local occupations created</w:t>
            </w:r>
          </w:p>
        </w:tc>
        <w:tc>
          <w:tcPr>
            <w:tcW w:type="dxa" w:w="4320"/>
          </w:tcPr>
          <w:p>
            <w:r>
              <w:t>69</w:t>
            </w:r>
          </w:p>
        </w:tc>
      </w:tr>
      <w:tr>
        <w:tc>
          <w:tcPr>
            <w:tcW w:type="dxa" w:w="4320"/>
          </w:tcPr>
          <w:p>
            <w:r>
              <w:t>Alternative labels added</w:t>
            </w:r>
          </w:p>
        </w:tc>
        <w:tc>
          <w:tcPr>
            <w:tcW w:type="dxa" w:w="4320"/>
          </w:tcPr>
          <w:p>
            <w:r>
              <w:t>2,760</w:t>
            </w:r>
          </w:p>
        </w:tc>
      </w:tr>
    </w:tbl>
    <w:p/>
    <w:p>
      <w:pPr>
        <w:pStyle w:val="Heading1"/>
      </w:pPr>
      <w:r>
        <w:t>Matching</w:t>
      </w:r>
    </w:p>
    <w:p>
      <w:r>
        <w:t>The matching pipeline worked in stages, resolving the easiest cases first. Exact string matching caught 2,919 occupations where the KESCO title matched an ESCO label directly. Next, Gemini embeddings were generated for all KESCO and ESCO occupations, and cosine similarity identified high-confidence semantic matches. An LLM validated these matches, confirming or rejecting each one, covering another 1,952 occupations.</w:t>
      </w:r>
    </w:p>
    <w:p>
      <w:r>
        <w:t>The remaining 975 low-confidence and unmatched items went through human review in a custom review tool. Reviewers could approve the suggested match, select a different ESCO occupation from a searchable tree, or flag the item as genuinely new to ESCO. This produced 830 additional matches and identified 216 items as new local. Of those 216, many shared the same underlying role, so they consolidated into 69 distinct new occupations.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Method</w:t>
            </w:r>
          </w:p>
        </w:tc>
        <w:tc>
          <w:tcPr>
            <w:tcW w:type="dxa" w:w="2880"/>
          </w:tcPr>
          <w:p>
            <w:r>
              <w:rPr>
                <w:b/>
              </w:rPr>
              <w:t>Occupations Resolved</w:t>
            </w:r>
          </w:p>
        </w:tc>
      </w:tr>
      <w:tr>
        <w:tc>
          <w:tcPr>
            <w:tcW w:type="dxa" w:w="2880"/>
          </w:tcPr>
          <w:p>
            <w:r>
              <w:t>1. Exact match</w:t>
            </w:r>
          </w:p>
        </w:tc>
        <w:tc>
          <w:tcPr>
            <w:tcW w:type="dxa" w:w="2880"/>
          </w:tcPr>
          <w:p>
            <w:r>
              <w:t>String matching against ESCO labels</w:t>
            </w:r>
          </w:p>
        </w:tc>
        <w:tc>
          <w:tcPr>
            <w:tcW w:type="dxa" w:w="2880"/>
          </w:tcPr>
          <w:p>
            <w:r>
              <w:t>2,919 (49%)</w:t>
            </w:r>
          </w:p>
        </w:tc>
      </w:tr>
      <w:tr>
        <w:tc>
          <w:tcPr>
            <w:tcW w:type="dxa" w:w="2880"/>
          </w:tcPr>
          <w:p>
            <w:r>
              <w:t>2. Semantic match</w:t>
            </w:r>
          </w:p>
        </w:tc>
        <w:tc>
          <w:tcPr>
            <w:tcW w:type="dxa" w:w="2880"/>
          </w:tcPr>
          <w:p>
            <w:r>
              <w:t>Gemini embeddings + cosine similarity</w:t>
            </w:r>
          </w:p>
        </w:tc>
        <w:tc>
          <w:tcPr>
            <w:tcW w:type="dxa" w:w="2880"/>
          </w:tcPr>
          <w:p>
            <w:r>
              <w:t>1,539 (26%)</w:t>
            </w:r>
          </w:p>
        </w:tc>
      </w:tr>
      <w:tr>
        <w:tc>
          <w:tcPr>
            <w:tcW w:type="dxa" w:w="2880"/>
          </w:tcPr>
          <w:p>
            <w:r>
              <w:t>3. LLM validation</w:t>
            </w:r>
          </w:p>
        </w:tc>
        <w:tc>
          <w:tcPr>
            <w:tcW w:type="dxa" w:w="2880"/>
          </w:tcPr>
          <w:p>
            <w:r>
              <w:t>Gemini confirms/rejects semantic matches</w:t>
            </w:r>
          </w:p>
        </w:tc>
        <w:tc>
          <w:tcPr>
            <w:tcW w:type="dxa" w:w="2880"/>
          </w:tcPr>
          <w:p>
            <w:r>
              <w:t>413 (7%)</w:t>
            </w:r>
          </w:p>
        </w:tc>
      </w:tr>
      <w:tr>
        <w:tc>
          <w:tcPr>
            <w:tcW w:type="dxa" w:w="2880"/>
          </w:tcPr>
          <w:p>
            <w:r>
              <w:t>4. Human review</w:t>
            </w:r>
          </w:p>
        </w:tc>
        <w:tc>
          <w:tcPr>
            <w:tcW w:type="dxa" w:w="2880"/>
          </w:tcPr>
          <w:p>
            <w:r>
              <w:t>Manual review of 975 remaining items</w:t>
            </w:r>
          </w:p>
        </w:tc>
        <w:tc>
          <w:tcPr>
            <w:tcW w:type="dxa" w:w="2880"/>
          </w:tcPr>
          <w:p>
            <w:r>
              <w:t>830 (14%)</w:t>
            </w:r>
          </w:p>
        </w:tc>
      </w:tr>
      <w:tr>
        <w:tc>
          <w:tcPr>
            <w:tcW w:type="dxa" w:w="2880"/>
          </w:tcPr>
          <w:p>
            <w:r>
              <w:t>New local</w:t>
            </w:r>
          </w:p>
        </w:tc>
        <w:tc>
          <w:tcPr>
            <w:tcW w:type="dxa" w:w="2880"/>
          </w:tcPr>
          <w:p>
            <w:r>
              <w:t>No ESCO equivalent exists</w:t>
            </w:r>
          </w:p>
        </w:tc>
        <w:tc>
          <w:tcPr>
            <w:tcW w:type="dxa" w:w="2880"/>
          </w:tcPr>
          <w:p>
            <w:r>
              <w:t>216 (3.6%)</w:t>
            </w:r>
          </w:p>
        </w:tc>
      </w:tr>
    </w:tbl>
    <w:p/>
    <w:p>
      <w:pPr>
        <w:pStyle w:val="Heading1"/>
      </w:pPr>
      <w:r>
        <w:t>Taxonomy Construction</w:t>
      </w:r>
    </w:p>
    <w:p>
      <w:r>
        <w:t>Matched occupations had their KESCO titles added as alternative labels on the corresponding ESCO occupation, adding 2,760 alt labels across 955 ESCO occupations. This means someone searching for a Kenyan job title will find the correct ESCO occupation.</w:t>
      </w:r>
    </w:p>
    <w:p>
      <w:r>
        <w:t>The 69 new local occupations were created with LLM-generated descriptions, assigned unique codes following the ISCO group of their closest ESCO parent, and inserted into the occupation hierarchy.</w:t>
      </w:r>
    </w:p>
    <w:p>
      <w:pPr>
        <w:pStyle w:val="Heading1"/>
      </w:pPr>
      <w:r>
        <w:t>Skill Assignment</w:t>
      </w:r>
    </w:p>
    <w:p>
      <w:r>
        <w:t>New local occupations needed skills since they don't inherit them from ESCO. A combined approach was developed that draws candidate skills from two complementary sources.</w:t>
      </w:r>
    </w:p>
    <w:p>
      <w:pPr>
        <w:pStyle w:val="Heading2"/>
      </w:pPr>
      <w:r>
        <w:t>Source 1: ISCO Group Pooling</w:t>
      </w:r>
    </w:p>
    <w:p>
      <w:r>
        <w:t>For each new local occupation, an LLM selected 2-6 ISCO 4-digit groups whose occupations share relevant skills. This goes beyond the occupation's own ISCO group to capture related domains. For example, an auditor general (ISCO 1112 - Senior government officials) also draws skills from group 2411 (Accountants) and 2422 (Policy administration professionals). All ESCO skills assigned to occupations in the selected groups form the ISCO candidate pool.</w:t>
      </w:r>
    </w:p>
    <w:p>
      <w:pPr>
        <w:pStyle w:val="Heading2"/>
      </w:pPr>
      <w:r>
        <w:t>Source 2: O*NET Task Crosswalk</w:t>
      </w:r>
    </w:p>
    <w:p>
      <w:r>
        <w:t>Each new local occupation's embedding was compared against 1,016 pre-embedded O*NET occupations to find the 5 closest matches by cosine similarity. Those O*NET occupations' task statements were then mapped to ESCO skills via a validated crosswalk at the task level, forming the O*NET candidate pool.</w:t>
      </w:r>
    </w:p>
    <w:p>
      <w:pPr>
        <w:pStyle w:val="Heading2"/>
      </w:pPr>
      <w:r>
        <w:t>Combined Filtering</w:t>
      </w:r>
    </w:p>
    <w:p>
      <w:r>
        <w:t>The two candidate pools were merged and deduplicated. Skills appearing in both pools received stronger signal. Gemini 3 Flash then filtered the combined pool with a prompt that accounts for the occupation's seniority level, professional values, domain knowledge needs, and the Kenyan context. The prompt distinguishes between leadership roles (which need strategic and oversight skills) and practitioner roles (which need hands-on working skills).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skill relations assigned</w:t>
            </w:r>
          </w:p>
        </w:tc>
        <w:tc>
          <w:tcPr>
            <w:tcW w:type="dxa" w:w="4320"/>
          </w:tcPr>
          <w:p>
            <w:r>
              <w:t>3,964</w:t>
            </w:r>
          </w:p>
        </w:tc>
      </w:tr>
      <w:tr>
        <w:tc>
          <w:tcPr>
            <w:tcW w:type="dxa" w:w="4320"/>
          </w:tcPr>
          <w:p>
            <w:r>
              <w:t>Average skills per occupation</w:t>
            </w:r>
          </w:p>
        </w:tc>
        <w:tc>
          <w:tcPr>
            <w:tcW w:type="dxa" w:w="4320"/>
          </w:tcPr>
          <w:p>
            <w:r>
              <w:t>57</w:t>
            </w:r>
          </w:p>
        </w:tc>
      </w:tr>
      <w:tr>
        <w:tc>
          <w:tcPr>
            <w:tcW w:type="dxa" w:w="4320"/>
          </w:tcPr>
          <w:p>
            <w:r>
              <w:t>Range</w:t>
            </w:r>
          </w:p>
        </w:tc>
        <w:tc>
          <w:tcPr>
            <w:tcW w:type="dxa" w:w="4320"/>
          </w:tcPr>
          <w:p>
            <w:r>
              <w:t>46 - 63</w:t>
            </w:r>
          </w:p>
        </w:tc>
      </w:tr>
      <w:tr>
        <w:tc>
          <w:tcPr>
            <w:tcW w:type="dxa" w:w="4320"/>
          </w:tcPr>
          <w:p>
            <w:r>
              <w:t>Skills from both pools</w:t>
            </w:r>
          </w:p>
        </w:tc>
        <w:tc>
          <w:tcPr>
            <w:tcW w:type="dxa" w:w="4320"/>
          </w:tcPr>
          <w:p>
            <w:r>
              <w:t>~65%</w:t>
            </w:r>
          </w:p>
        </w:tc>
      </w:tr>
      <w:tr>
        <w:tc>
          <w:tcPr>
            <w:tcW w:type="dxa" w:w="4320"/>
          </w:tcPr>
          <w:p>
            <w:r>
              <w:t>Skills from ISCO only</w:t>
            </w:r>
          </w:p>
        </w:tc>
        <w:tc>
          <w:tcPr>
            <w:tcW w:type="dxa" w:w="4320"/>
          </w:tcPr>
          <w:p>
            <w:r>
              <w:t>~20%</w:t>
            </w:r>
          </w:p>
        </w:tc>
      </w:tr>
      <w:tr>
        <w:tc>
          <w:tcPr>
            <w:tcW w:type="dxa" w:w="4320"/>
          </w:tcPr>
          <w:p>
            <w:r>
              <w:t>Skills from O*NET only</w:t>
            </w:r>
          </w:p>
        </w:tc>
        <w:tc>
          <w:tcPr>
            <w:tcW w:type="dxa" w:w="4320"/>
          </w:tcPr>
          <w:p>
            <w:r>
              <w:t>~15%</w:t>
            </w:r>
          </w:p>
        </w:tc>
      </w:tr>
      <w:tr>
        <w:tc>
          <w:tcPr>
            <w:tcW w:type="dxa" w:w="4320"/>
          </w:tcPr>
          <w:p>
            <w:r>
              <w:t>LLM for skill selection</w:t>
            </w:r>
          </w:p>
        </w:tc>
        <w:tc>
          <w:tcPr>
            <w:tcW w:type="dxa" w:w="4320"/>
          </w:tcPr>
          <w:p>
            <w:r>
              <w:t>Gemini 3 Flash</w:t>
            </w:r>
          </w:p>
        </w:tc>
      </w:tr>
    </w:tbl>
    <w:p/>
    <w:p>
      <w:pPr>
        <w:pStyle w:val="Heading1"/>
      </w:pPr>
      <w:r>
        <w:t>Final Output</w:t>
      </w:r>
    </w:p>
    <w:p>
      <w:r>
        <w:t>The final taxonomy extends Tabiya ESCO v2.0.1 with Kenya-specific content, delivered in the standard 9-file CSV format.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Records</w:t>
            </w:r>
          </w:p>
        </w:tc>
        <w:tc>
          <w:tcPr>
            <w:tcW w:type="dxa" w:w="2880"/>
          </w:tcPr>
          <w:p>
            <w:r>
              <w:rPr>
                <w:b/>
              </w:rPr>
              <w:t>Kenya Changes</w:t>
            </w:r>
          </w:p>
        </w:tc>
      </w:tr>
      <w:tr>
        <w:tc>
          <w:tcPr>
            <w:tcW w:type="dxa" w:w="2880"/>
          </w:tcPr>
          <w:p>
            <w:r>
              <w:t>occupations.csv</w:t>
            </w:r>
          </w:p>
        </w:tc>
        <w:tc>
          <w:tcPr>
            <w:tcW w:type="dxa" w:w="2880"/>
          </w:tcPr>
          <w:p>
            <w:r>
              <w:t>3,143</w:t>
            </w:r>
          </w:p>
        </w:tc>
        <w:tc>
          <w:tcPr>
            <w:tcW w:type="dxa" w:w="2880"/>
          </w:tcPr>
          <w:p>
            <w:r>
              <w:t>+69 new local occupations, +2,760 alt labels</w:t>
            </w:r>
          </w:p>
        </w:tc>
      </w:tr>
      <w:tr>
        <w:tc>
          <w:tcPr>
            <w:tcW w:type="dxa" w:w="2880"/>
          </w:tcPr>
          <w:p>
            <w:r>
              <w:t>occupation_hierarchy.csv</w:t>
            </w:r>
          </w:p>
        </w:tc>
        <w:tc>
          <w:tcPr>
            <w:tcW w:type="dxa" w:w="2880"/>
          </w:tcPr>
          <w:p>
            <w:r>
              <w:t>3,777</w:t>
            </w:r>
          </w:p>
        </w:tc>
        <w:tc>
          <w:tcPr>
            <w:tcW w:type="dxa" w:w="2880"/>
          </w:tcPr>
          <w:p>
            <w:r>
              <w:t>+69 parent links for new occupations</w:t>
            </w:r>
          </w:p>
        </w:tc>
      </w:tr>
      <w:tr>
        <w:tc>
          <w:tcPr>
            <w:tcW w:type="dxa" w:w="2880"/>
          </w:tcPr>
          <w:p>
            <w:r>
              <w:t>occupation_to_skill_relations.csv</w:t>
            </w:r>
          </w:p>
        </w:tc>
        <w:tc>
          <w:tcPr>
            <w:tcW w:type="dxa" w:w="2880"/>
          </w:tcPr>
          <w:p>
            <w:r>
              <w:t>134,786</w:t>
            </w:r>
          </w:p>
        </w:tc>
        <w:tc>
          <w:tcPr>
            <w:tcW w:type="dxa" w:w="2880"/>
          </w:tcPr>
          <w:p>
            <w:r>
              <w:t>+3,964 skill relations for new occupations</w:t>
            </w:r>
          </w:p>
        </w:tc>
      </w:tr>
      <w:tr>
        <w:tc>
          <w:tcPr>
            <w:tcW w:type="dxa" w:w="2880"/>
          </w:tcPr>
          <w:p>
            <w:r>
              <w:t>skills.csv</w:t>
            </w:r>
          </w:p>
        </w:tc>
        <w:tc>
          <w:tcPr>
            <w:tcW w:type="dxa" w:w="2880"/>
          </w:tcPr>
          <w:p>
            <w:r>
              <w:t>13,896</w:t>
            </w:r>
          </w:p>
        </w:tc>
        <w:tc>
          <w:tcPr>
            <w:tcW w:type="dxa" w:w="2880"/>
          </w:tcPr>
          <w:p>
            <w:r>
              <w:t>Unchanged</w:t>
            </w:r>
          </w:p>
        </w:tc>
      </w:tr>
      <w:tr>
        <w:tc>
          <w:tcPr>
            <w:tcW w:type="dxa" w:w="2880"/>
          </w:tcPr>
          <w:p>
            <w:r>
              <w:t>skill_hierarchy.csv</w:t>
            </w:r>
          </w:p>
        </w:tc>
        <w:tc>
          <w:tcPr>
            <w:tcW w:type="dxa" w:w="2880"/>
          </w:tcPr>
          <w:p>
            <w:r>
              <w:t>20,649</w:t>
            </w:r>
          </w:p>
        </w:tc>
        <w:tc>
          <w:tcPr>
            <w:tcW w:type="dxa" w:w="2880"/>
          </w:tcPr>
          <w:p>
            <w:r>
              <w:t>Unchanged</w:t>
            </w:r>
          </w:p>
        </w:tc>
      </w:tr>
      <w:tr>
        <w:tc>
          <w:tcPr>
            <w:tcW w:type="dxa" w:w="2880"/>
          </w:tcPr>
          <w:p>
            <w:r>
              <w:t>skill_groups.csv</w:t>
            </w:r>
          </w:p>
        </w:tc>
        <w:tc>
          <w:tcPr>
            <w:tcW w:type="dxa" w:w="2880"/>
          </w:tcPr>
          <w:p>
            <w:r>
              <w:t>640</w:t>
            </w:r>
          </w:p>
        </w:tc>
        <w:tc>
          <w:tcPr>
            <w:tcW w:type="dxa" w:w="2880"/>
          </w:tcPr>
          <w:p>
            <w:r>
              <w:t>Unchanged</w:t>
            </w:r>
          </w:p>
        </w:tc>
      </w:tr>
      <w:tr>
        <w:tc>
          <w:tcPr>
            <w:tcW w:type="dxa" w:w="2880"/>
          </w:tcPr>
          <w:p>
            <w:r>
              <w:t>skill_to_skill_relations.csv</w:t>
            </w:r>
          </w:p>
        </w:tc>
        <w:tc>
          <w:tcPr>
            <w:tcW w:type="dxa" w:w="2880"/>
          </w:tcPr>
          <w:p>
            <w:r>
              <w:t>5,898</w:t>
            </w:r>
          </w:p>
        </w:tc>
        <w:tc>
          <w:tcPr>
            <w:tcW w:type="dxa" w:w="2880"/>
          </w:tcPr>
          <w:p>
            <w:r>
              <w:t>Unchanged</w:t>
            </w:r>
          </w:p>
        </w:tc>
      </w:tr>
      <w:tr>
        <w:tc>
          <w:tcPr>
            <w:tcW w:type="dxa" w:w="2880"/>
          </w:tcPr>
          <w:p>
            <w:r>
              <w:t>occupation_groups.csv</w:t>
            </w:r>
          </w:p>
        </w:tc>
        <w:tc>
          <w:tcPr>
            <w:tcW w:type="dxa" w:w="2880"/>
          </w:tcPr>
          <w:p>
            <w:r>
              <w:t>647</w:t>
            </w:r>
          </w:p>
        </w:tc>
        <w:tc>
          <w:tcPr>
            <w:tcW w:type="dxa" w:w="2880"/>
          </w:tcPr>
          <w:p>
            <w:r>
              <w:t>Unchanged</w:t>
            </w:r>
          </w:p>
        </w:tc>
      </w:tr>
      <w:tr>
        <w:tc>
          <w:tcPr>
            <w:tcW w:type="dxa" w:w="2880"/>
          </w:tcPr>
          <w:p>
            <w:r>
              <w:t>model_info.csv</w:t>
            </w:r>
          </w:p>
        </w:tc>
        <w:tc>
          <w:tcPr>
            <w:tcW w:type="dxa" w:w="2880"/>
          </w:tcPr>
          <w:p>
            <w:r>
              <w:t>1</w:t>
            </w:r>
          </w:p>
        </w:tc>
        <w:tc>
          <w:tcPr>
            <w:tcW w:type="dxa" w:w="2880"/>
          </w:tcPr>
          <w:p>
            <w:r>
              <w:t>Updated metadata</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2A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2A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2A3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