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0"/>
        <w:jc w:val="center"/>
      </w:pPr>
      <w:r>
        <w:t>CHAPTER THREE</w:t>
      </w:r>
    </w:p>
    <w:p>
      <w:pPr>
        <w:pStyle w:val="Heading1"/>
        <w:jc w:val="center"/>
      </w:pPr>
      <w:r>
        <w:t>RESEARCH METHODOLOGY</w:t>
      </w:r>
    </w:p>
    <w:p>
      <w:pPr>
        <w:pStyle w:val="Heading2"/>
      </w:pPr>
      <w:r>
        <w:t>3.0 Introduction</w:t>
      </w:r>
    </w:p>
    <w:p>
      <w:pPr>
        <w:jc w:val="both"/>
      </w:pPr>
      <w:r>
        <w:rPr/>
        <w:t>Chapter One established that loan default has become a material threat to the financial health of microfinance institutions (MFIs) in Zambia, reflected in rising non-performing loans, a gross non-performing loan ratio above the prudential benchmark, higher loan-loss provisions and declining return on assets. Chapter Two developed a conceptual framework in which three loan default management strategies (credit assessment, loan monitoring and loan recovery) are the independent variables and financial performance is the dependent variable. This chapter sets out the procedures that will be used to test those relationships and so achieve the general objective: to evaluate the effect of loan default management strategies on the financial performance of microfinance institutions in Lusaka, Zambia.</w:t>
      </w:r>
    </w:p>
    <w:p>
      <w:pPr>
        <w:jc w:val="both"/>
      </w:pPr>
      <w:r>
        <w:rPr/>
        <w:t>The chapter follows the research "onion" of Saunders et al. (2019), which treats methodological choices as a connected sequence from philosophical assumptions to analysis techniques. It justifies the research philosophy, approach, strategy and design; defines the population, sampling procedure and data collection methods; describes the instrument, pilot testing, validity and reliability; and sets out the time horizon, data analysis plan and ethical safeguards. Each decision is justified against the three research questions:</w:t>
      </w:r>
    </w:p>
    <w:p>
      <w:pPr>
        <w:ind w:left="720" w:hanging="360"/>
      </w:pPr>
      <w:r>
        <w:rPr/>
        <w:t>1. What is the effect of credit assessment strategies on the financial performance of microfinance institutions in Lusaka, Zambia?</w:t>
      </w:r>
    </w:p>
    <w:p>
      <w:pPr>
        <w:ind w:left="720" w:hanging="360"/>
      </w:pPr>
      <w:r>
        <w:rPr/>
        <w:t>2. What is the effect of loan monitoring strategies on the financial performance of microfinance institutions in Lusaka, Zambia?</w:t>
      </w:r>
    </w:p>
    <w:p>
      <w:pPr>
        <w:ind w:left="720" w:hanging="360"/>
      </w:pPr>
      <w:r>
        <w:rPr/>
        <w:t>3. What is the effect of loan recovery strategies on the financial performance of microfinance institutions in Lusaka, Zambia?</w:t>
      </w:r>
    </w:p>
    <w:p>
      <w:pPr>
        <w:jc w:val="both"/>
      </w:pPr>
      <w:r>
        <w:rPr/>
        <w:t>Because this is a proposal, the chapter describes intended procedures. It reports no data, sample figures or statistical results.</w:t>
      </w:r>
    </w:p>
    <w:p>
      <w:pPr>
        <w:pStyle w:val="Heading2"/>
      </w:pPr>
      <w:r>
        <w:t>3.1 Research Philosophy</w:t>
      </w:r>
    </w:p>
    <w:p>
      <w:pPr>
        <w:jc w:val="both"/>
      </w:pPr>
      <w:r>
        <w:rPr/>
        <w:t>A research philosophy is the set of assumptions about how knowledge is developed. It covers ontology (the nature of reality), epistemology (what counts as acceptable knowledge) and axiology (the role of the researcher's values) (Saunders et al., 2019). Because these assumptions shape which questions are asked and how evidence is gathered and interpreted, four philosophies were considered: positivism, interpretivism, pragmatism and critical realism.</w:t>
      </w:r>
    </w:p>
    <w:p>
      <w:pPr>
        <w:jc w:val="both"/>
      </w:pPr>
      <w:r>
        <w:rPr>
          <w:b/>
        </w:rPr>
        <w:t>Interpretivism</w:t>
      </w:r>
      <w:r>
        <w:rPr/>
        <w:t xml:space="preserve"> holds that social reality is constructed through the meanings people attach to experience, and it seeks context-specific understanding, usually through qualitative methods (Bell et al., 2019). It would suit a study of </w:t>
      </w:r>
      <w:r>
        <w:rPr>
          <w:i/>
        </w:rPr>
        <w:t>how</w:t>
      </w:r>
      <w:r>
        <w:rPr/>
        <w:t xml:space="preserve"> credit officers make sense of borrower default. The present objectives, however, ask about the </w:t>
      </w:r>
      <w:r>
        <w:rPr>
          <w:i/>
        </w:rPr>
        <w:t>effect</w:t>
      </w:r>
      <w:r>
        <w:rPr/>
        <w:t xml:space="preserve"> of defined strategies on a defined outcome, which requires measurement rather than interpretation of meaning. </w:t>
      </w:r>
      <w:r>
        <w:rPr>
          <w:b/>
        </w:rPr>
        <w:t>Pragmatism</w:t>
      </w:r>
      <w:r>
        <w:rPr/>
        <w:t xml:space="preserve"> lets the research question drive the method and commonly supports mixed methods (Creswell &amp; Creswell, 2018). None of the approved objectives requires a qualitative strand, so pragmatism would add complexity without improving the study's ability to answer them. </w:t>
      </w:r>
      <w:r>
        <w:rPr>
          <w:b/>
        </w:rPr>
        <w:t>Critical realism</w:t>
      </w:r>
      <w:r>
        <w:rPr/>
        <w:t xml:space="preserve"> distinguishes observable events from the underlying mechanisms that generate them (Saunders et al., 2019). It would suit an investigation of the deep structural causes of default in the Zambian credit market, which lies beyond the approved scope.</w:t>
      </w:r>
    </w:p>
    <w:p>
      <w:pPr>
        <w:jc w:val="both"/>
      </w:pPr>
      <w:r>
        <w:rPr>
          <w:b/>
        </w:rPr>
        <w:t>Positivism</w:t>
      </w:r>
      <w:r>
        <w:rPr/>
        <w:t xml:space="preserve"> is therefore adopted. It holds that the social world can be studied with the logic of the natural sciences: phenomena exist independently of the researcher, can be observed and measured, and display regularities that can be identified through systematic, value-free observation (Bryman, 2016; Saunders et al., 2019). Ontologically, it assumes an objective, external reality. In this study, that means the credit assessment, monitoring and recovery practices of MFIs, and their levels of profitability, portfolio quality and liquidity, exist whatever the researcher believes about them. Epistemologically, it accepts as knowledge what can be observed and verified, and it reaches conclusions by testing hypotheses statistically. Axiologically, the researcher remains detached and uses structured instruments that limit the influence of personal values on the data.</w:t>
      </w:r>
    </w:p>
    <w:p>
      <w:pPr>
        <w:jc w:val="both"/>
      </w:pPr>
      <w:r>
        <w:rPr/>
        <w:t>Positivism fits this study for four reasons. First, the research questions concern the effect of predefined variables on one another, which is characteristic of positivist enquiry (Creswell &amp; Creswell, 2018). Second, every construct in the conceptual framework can be operationalised. Credit assessment can be measured through borrower screening and credit history checks, loan monitoring through repayment tracking and early warning systems, and loan recovery through collection and enforcement procedures. Financial performance is inherently quantitative, expressed through measures such as return on assets and portfolio at risk. Third, microfinance research has long measured performance through standardised ratios (Ledgerwood, 1999) and tested its drivers with regression models, so a positivist stance keeps the findings comparable with the empirical studies reviewed in Chapter Two. Fourth, MFI managers and the regulator need generalisable evidence on which strategies are significantly associated with better performance, and positivist methods are designed to produce that kind of evidence.</w:t>
      </w:r>
    </w:p>
    <w:p>
      <w:pPr>
        <w:jc w:val="both"/>
      </w:pPr>
      <w:r>
        <w:rPr/>
        <w:t>Positivism has known limitations. It can reduce complex organisational practice to numerical scores, neglect context and meaning, and overstate the objectivity of research that still relies on human responses (Bryman, 2016). The most relevant limitation here is that strategies and performance will be measured partly through staff perceptions, which may be affected by social desirability or institutional loyalty. These limitations do not materially weaken the study. The research questions do not require an understanding of subjective meaning. The threats to objectivity will be managed through anonymity, standardised items, validity and reliability testing, and comparison with published sector data (Sections 3.7 and 3.10). The study also claims only to estimate the direction and strength of relationships between defined variables, which is a claim positivism is well placed to support.</w:t>
      </w:r>
    </w:p>
    <w:p>
      <w:pPr>
        <w:pStyle w:val="Heading2"/>
      </w:pPr>
      <w:r>
        <w:t>3.2 Research Approach</w:t>
      </w:r>
    </w:p>
    <w:p>
      <w:pPr>
        <w:jc w:val="both"/>
      </w:pPr>
      <w:r>
        <w:rPr/>
        <w:t xml:space="preserve">Saunders et al. (2019) distinguish three approaches to theory. Deduction moves from theory to data, induction moves from data to theory, and abduction moves between the two to generate or modify theory. An </w:t>
      </w:r>
      <w:r>
        <w:rPr>
          <w:b/>
        </w:rPr>
        <w:t>inductive</w:t>
      </w:r>
      <w:r>
        <w:rPr/>
        <w:t xml:space="preserve"> approach, such as building theory from open-ended interviews with recovery officers, suits under-theorised fields. Loan default management is well theorised, however, and Chapter Two has already identified the relevant constructs. An </w:t>
      </w:r>
      <w:r>
        <w:rPr>
          <w:b/>
        </w:rPr>
        <w:t>abductive</w:t>
      </w:r>
      <w:r>
        <w:rPr/>
        <w:t xml:space="preserve"> approach starts from a surprising observation that needs explaining, which is not the case here.</w:t>
      </w:r>
    </w:p>
    <w:p>
      <w:pPr>
        <w:jc w:val="both"/>
      </w:pPr>
      <w:r>
        <w:rPr/>
        <w:t xml:space="preserve">A </w:t>
      </w:r>
      <w:r>
        <w:rPr>
          <w:b/>
        </w:rPr>
        <w:t>deductive</w:t>
      </w:r>
      <w:r>
        <w:rPr/>
        <w:t xml:space="preserve"> approach is therefore adopted. Deduction begins with existing theory and evidence, derives testable hypotheses, operationalises concepts into measurable variables, collects data and tests the hypotheses to confirm, reject or refine the theory (Bryman, 2016). It requires variables to be specified before data are collected, which is consistent with positivism.</w:t>
      </w:r>
    </w:p>
    <w:p>
      <w:pPr>
        <w:jc w:val="both"/>
      </w:pPr>
      <w:r>
        <w:rPr/>
        <w:t>In this study, the theoretical framework and empirical review in Chapter Two link sound credit risk management practice to lower default and stronger financial outcomes. From that framework, three null hypotheses are derived, one for each specific objective:</w:t>
      </w:r>
    </w:p>
    <w:p>
      <w:pPr>
        <w:pStyle w:val="ListBullet"/>
      </w:pPr>
      <w:r>
        <w:rPr>
          <w:b/>
        </w:rPr>
        <w:t>H01:</w:t>
      </w:r>
      <w:r>
        <w:rPr/>
        <w:t xml:space="preserve"> Credit assessment strategies have no significant effect on the financial performance of microfinance institutions in Lusaka, Zambia.</w:t>
      </w:r>
    </w:p>
    <w:p>
      <w:pPr>
        <w:pStyle w:val="ListBullet"/>
      </w:pPr>
      <w:r>
        <w:rPr>
          <w:b/>
        </w:rPr>
        <w:t>H02:</w:t>
      </w:r>
      <w:r>
        <w:rPr/>
        <w:t xml:space="preserve"> Loan monitoring strategies have no significant effect on the financial performance of microfinance institutions in Lusaka, Zambia.</w:t>
      </w:r>
    </w:p>
    <w:p>
      <w:pPr>
        <w:pStyle w:val="ListBullet"/>
      </w:pPr>
      <w:r>
        <w:rPr>
          <w:b/>
        </w:rPr>
        <w:t>H03:</w:t>
      </w:r>
      <w:r>
        <w:rPr/>
        <w:t xml:space="preserve"> Loan recovery strategies have no significant effect on the financial performance of microfinance institutions in Lusaka, Zambia.</w:t>
      </w:r>
    </w:p>
    <w:p>
      <w:pPr>
        <w:jc w:val="both"/>
      </w:pPr>
      <w:r>
        <w:rPr/>
        <w:t>Each null hypothesis has an alternative (H11–H13) stating that the strategy has a significant effect. The three independent variables (credit assessment, loan monitoring and loan recovery strategies) and the dependent variable (financial performance) are operationalised in the questionnaire (Section 3.8). Data are collected through a survey, and the hypotheses are tested with multiple regression (Section 3.12). The results are then interpreted against the originating theory, which closes the deductive cycle. Deduction ensures that the data collected are exactly those needed to answer the three research questions, without introducing variables outside the approved framework.</w:t>
      </w:r>
    </w:p>
    <w:p>
      <w:pPr>
        <w:pStyle w:val="Heading2"/>
      </w:pPr>
      <w:r>
        <w:t>3.3 Research Strategy</w:t>
      </w:r>
    </w:p>
    <w:p>
      <w:pPr>
        <w:jc w:val="both"/>
      </w:pPr>
      <w:r>
        <w:rPr/>
        <w:t xml:space="preserve">A research strategy is the plan through which the research questions will be answered (Saunders et al., 2019). An experiment is not feasible, because MFIs cannot be randomly assigned to loan default management strategies. A purely archival strategy using financial statements would capture performance but not the </w:t>
      </w:r>
      <w:r>
        <w:rPr>
          <w:i/>
        </w:rPr>
        <w:t>strategies</w:t>
      </w:r>
      <w:r>
        <w:rPr/>
        <w:t xml:space="preserve"> that MFIs use, and detailed institutional records are often confidential, so their availability cannot be assumed.</w:t>
      </w:r>
    </w:p>
    <w:p>
      <w:pPr>
        <w:jc w:val="both"/>
      </w:pPr>
      <w:r>
        <w:rPr/>
        <w:t xml:space="preserve">A </w:t>
      </w:r>
      <w:r>
        <w:rPr>
          <w:b/>
        </w:rPr>
        <w:t>survey strategy</w:t>
      </w:r>
      <w:r>
        <w:rPr/>
        <w:t xml:space="preserve"> is therefore adopted. Survey research collects standardised information from a sample in order to describe or explain characteristics of a population (Bryman, 2016). It suits this study for three reasons. First, the staff who carry out credit assessment, monitoring and recovery are the best-informed source on those practices, and a survey can reach them across several MFIs in Lusaka efficiently. Second, a structured questionnaire asks every respondent identical questions with identical response options, which produces standardised data that can be coded and compared (Sekaran &amp; Bougie, 2016). Third, scaled survey data support the correlation and multiple regression analysis needed to test H01 to H03 (Hair et al., 2019). Respondents will be selected by stratified random sampling (Section 3.6).</w:t>
      </w:r>
    </w:p>
    <w:p>
      <w:pPr>
        <w:jc w:val="both"/>
      </w:pPr>
      <w:r>
        <w:rPr/>
        <w:t>The strategy offers economy, wide coverage, anonymity and suitability for statistical generalisation (Saunders et al., 2019). Its limitations are possible low response rates, limited depth, reliance on self-report, and common method bias when the independent and dependent variables come from the same respondents at the same time (Podsakoff et al., 2003). These will be managed in several ways. Response rates will be supported through institutional endorsement, personal delivery and reminders (Dillman et al., 2014). Self-report bias will be reduced by guaranteeing anonymity, using neutral wording and separating the independent and dependent variable sections. Harman's single-factor test will be applied after data collection. Depth is not required by the research questions.</w:t>
      </w:r>
    </w:p>
    <w:p>
      <w:pPr>
        <w:jc w:val="both"/>
      </w:pPr>
      <w:r>
        <w:rPr/>
        <w:t xml:space="preserve">Published </w:t>
      </w:r>
      <w:r>
        <w:rPr>
          <w:b/>
        </w:rPr>
        <w:t>secondary data</w:t>
      </w:r>
      <w:r>
        <w:rPr/>
        <w:t xml:space="preserve"> will complement the survey. Bank of Zambia reports and publicly available MFI financial statements will be used to describe sector performance trends and to check whether respondents' perceptions are consistent with published evidence. Institution-specific records will be used only with written permission, and the study's ability to answer its questions does not depend on them.</w:t>
      </w:r>
    </w:p>
    <w:p>
      <w:pPr>
        <w:pStyle w:val="Heading2"/>
      </w:pPr>
      <w:r>
        <w:t>3.4 Research Design</w:t>
      </w:r>
    </w:p>
    <w:p>
      <w:pPr>
        <w:jc w:val="both"/>
      </w:pPr>
      <w:r>
        <w:rPr/>
        <w:t xml:space="preserve">Four designs were considered. A </w:t>
      </w:r>
      <w:r>
        <w:rPr>
          <w:b/>
        </w:rPr>
        <w:t>descriptive</w:t>
      </w:r>
      <w:r>
        <w:rPr/>
        <w:t xml:space="preserve"> design portrays the characteristics of a phenomenon but cannot establish whether one variable affects another. A </w:t>
      </w:r>
      <w:r>
        <w:rPr>
          <w:b/>
        </w:rPr>
        <w:t>correlational</w:t>
      </w:r>
      <w:r>
        <w:rPr/>
        <w:t xml:space="preserve"> design measures association but does not by itself estimate the combined effect of several predictors. An </w:t>
      </w:r>
      <w:r>
        <w:rPr>
          <w:b/>
        </w:rPr>
        <w:t>explanatory</w:t>
      </w:r>
      <w:r>
        <w:rPr/>
        <w:t xml:space="preserve"> design studies a problem in order to explain relationships between variables (Saunders et al., 2019). A </w:t>
      </w:r>
      <w:r>
        <w:rPr>
          <w:b/>
        </w:rPr>
        <w:t>cross-sectional</w:t>
      </w:r>
      <w:r>
        <w:rPr/>
        <w:t xml:space="preserve"> design concerns the timing of data collection (Section 3.11).</w:t>
      </w:r>
    </w:p>
    <w:p>
      <w:pPr>
        <w:jc w:val="both"/>
      </w:pPr>
      <w:r>
        <w:rPr/>
        <w:t xml:space="preserve">The study adopts an </w:t>
      </w:r>
      <w:r>
        <w:rPr>
          <w:b/>
        </w:rPr>
        <w:t>explanatory design implemented through a cross-sectional survey</w:t>
      </w:r>
      <w:r>
        <w:rPr/>
        <w:t xml:space="preserve">, with a descriptive component. The explanatory element matches the general objective of evaluating the </w:t>
      </w:r>
      <w:r>
        <w:rPr>
          <w:i/>
        </w:rPr>
        <w:t>effect</w:t>
      </w:r>
      <w:r>
        <w:rPr/>
        <w:t xml:space="preserve"> of loan default management strategies on financial performance. Each specific objective requires an estimate of how variation in one strategy relates to variation in performance while the other strategies are held constant, which the multiple regression model in Section 3.12 provides. Correlation establishes the bivariate relationships, and the descriptive component profiles respondents and the intensity with which each strategy is applied, providing context for the explanatory results.</w:t>
      </w:r>
    </w:p>
    <w:p>
      <w:pPr>
        <w:jc w:val="both"/>
      </w:pPr>
      <w:r>
        <w:rPr/>
        <w:t>The design suits MFIs in Lusaka because they operate under a common regulatory regime and similar market conditions while differing in how rigorously they screen, monitor and recover loans. That variation can be measured and related to performance. The design can test several hypotheses at once, is economical and is consistent with positivism and deduction. Its main limitation is that, without experimental control or repeated observation, it cannot prove causality. An association may reflect reverse causation, for example if more profitable MFIs can afford stronger monitoring, or it may reflect omitted variables. These risks will be controlled in four ways. The hypotheses are grounded in theory that specifies the direction of influence. Respondents will report on strategies and outcomes over a defined reference period. Regression diagnostics will be applied. Finally, "effects" will be reported in the statistical sense of regression coefficients, without overstating causal certainty.</w:t>
      </w:r>
    </w:p>
    <w:p>
      <w:pPr>
        <w:pStyle w:val="Heading2"/>
      </w:pPr>
      <w:r>
        <w:t>3.5 Study Population</w:t>
      </w:r>
    </w:p>
    <w:p>
      <w:pPr>
        <w:jc w:val="both"/>
      </w:pPr>
      <w:r>
        <w:rPr/>
        <w:t>The target population is the group to which findings are intended to generalise (Sekaran &amp; Bougie, 2016). The units of analysis are the loan default management practices and financial performance of MFIs. The units of observation (the respondents) are employees directly involved in lending and portfolio management in Bank of Zambia-licensed MFIs operating in Lusaka. Lusaka is chosen because it is Zambia's main commercial centre and hosts the head offices and largest branch networks of most MFIs.</w:t>
      </w:r>
    </w:p>
    <w:p>
      <w:pPr>
        <w:jc w:val="both"/>
      </w:pPr>
      <w:r>
        <w:rPr/>
        <w:t>Respondent categories are included only where they have direct knowledge of the study variables:</w:t>
      </w:r>
    </w:p>
    <w:p>
      <w:pPr>
        <w:pStyle w:val="ListBullet"/>
      </w:pPr>
      <w:r>
        <w:rPr>
          <w:b/>
        </w:rPr>
        <w:t>Branch and credit managers</w:t>
      </w:r>
      <w:r>
        <w:rPr/>
        <w:t xml:space="preserve"> oversee lending policy and portfolio performance across all three strategies.</w:t>
      </w:r>
    </w:p>
    <w:p>
      <w:pPr>
        <w:pStyle w:val="ListBullet"/>
      </w:pPr>
      <w:r>
        <w:rPr>
          <w:b/>
        </w:rPr>
        <w:t>Credit and loan officers</w:t>
      </w:r>
      <w:r>
        <w:rPr/>
        <w:t xml:space="preserve"> appraise and follow up borrowers, and are the primary source on credit assessment and monitoring.</w:t>
      </w:r>
    </w:p>
    <w:p>
      <w:pPr>
        <w:pStyle w:val="ListBullet"/>
      </w:pPr>
      <w:r>
        <w:rPr>
          <w:b/>
        </w:rPr>
        <w:t>Risk officers</w:t>
      </w:r>
      <w:r>
        <w:rPr/>
        <w:t xml:space="preserve"> supervise credit controls, early warning systems and portfolio reviews.</w:t>
      </w:r>
    </w:p>
    <w:p>
      <w:pPr>
        <w:pStyle w:val="ListBullet"/>
      </w:pPr>
      <w:r>
        <w:rPr>
          <w:b/>
        </w:rPr>
        <w:t>Recovery or collections officers</w:t>
      </w:r>
      <w:r>
        <w:rPr/>
        <w:t xml:space="preserve"> carry out recovery, rescheduling and enforcement.</w:t>
      </w:r>
    </w:p>
    <w:p>
      <w:pPr>
        <w:pStyle w:val="ListBullet"/>
      </w:pPr>
      <w:r>
        <w:rPr>
          <w:b/>
        </w:rPr>
        <w:t>Finance officers</w:t>
      </w:r>
      <w:r>
        <w:rPr/>
        <w:t xml:space="preserve"> hold the best-informed view of profitability, liquidity and provisioning, which strengthens measurement of the dependent variable.</w:t>
      </w:r>
    </w:p>
    <w:p>
      <w:pPr>
        <w:jc w:val="both"/>
      </w:pPr>
      <w:r>
        <w:rPr/>
        <w:t xml:space="preserve">The </w:t>
      </w:r>
      <w:r>
        <w:rPr>
          <w:b/>
        </w:rPr>
        <w:t>accessible population</w:t>
      </w:r>
      <w:r>
        <w:rPr/>
        <w:t xml:space="preserve"> consists of employees in these categories at MFIs that grant written permission and who can be reached during data collection. The </w:t>
      </w:r>
      <w:r>
        <w:rPr>
          <w:b/>
        </w:rPr>
        <w:t>inclusion criteria</w:t>
      </w:r>
      <w:r>
        <w:rPr/>
        <w:t xml:space="preserve"> are employment in a licensed MFI with Lusaka operations, occupation of one of the listed roles, and at least six months in a lending-related role, so that the respondent has observed a full loan cycle. The </w:t>
      </w:r>
      <w:r>
        <w:rPr>
          <w:b/>
        </w:rPr>
        <w:t>exclusion criteria</w:t>
      </w:r>
      <w:r>
        <w:rPr/>
        <w:t xml:space="preserve"> are roles not involved in lending or performance reporting (for example tellers, human resources and IT staff), less than six months' relevant experience, employment at a non-consenting MFI, and participation in the pilot study.</w:t>
      </w:r>
    </w:p>
    <w:p>
      <w:pPr>
        <w:jc w:val="both"/>
      </w:pPr>
      <w:r>
        <w:rPr/>
        <w:t>No population figure is stated here, because no verified figure is yet available. The number of MFIs will be taken from the Bank of Zambia's current register of licensed non-bank financial institutions. The number of eligible staff will be obtained from each participating MFI after permission is granted. Together, these will form the sampling frame.</w:t>
      </w:r>
    </w:p>
    <w:p>
      <w:pPr>
        <w:pStyle w:val="Heading2"/>
      </w:pPr>
      <w:r>
        <w:t>3.6 Sample Size and Sampling Technique</w:t>
      </w:r>
    </w:p>
    <w:p>
      <w:pPr>
        <w:jc w:val="both"/>
      </w:pPr>
      <w:r>
        <w:rPr>
          <w:b/>
        </w:rPr>
        <w:t>The final sample size will be determined after establishing the accessible population from the sampling frame.</w:t>
      </w:r>
      <w:r>
        <w:rPr/>
        <w:t xml:space="preserve"> Once the accessible population (N) is confirmed, the sample size will be calculated with Yamane's (1967) formula, n = N / (1 + N(e)²), where </w:t>
      </w:r>
      <w:r>
        <w:rPr>
          <w:i/>
        </w:rPr>
        <w:t>e</w:t>
      </w:r>
      <w:r>
        <w:rPr/>
        <w:t xml:space="preserve"> is the margin of error (0.05 at 95% confidence). This formula is suited to finite, relatively small populations and does not require a prior estimate of variance. If the population proves to be large, Cochran's (1977) formula with the finite population correction will be used instead. The sample will be inflated to allow for the non-response rate observed in the pilot study.</w:t>
      </w:r>
    </w:p>
    <w:p>
      <w:pPr>
        <w:jc w:val="both"/>
      </w:pPr>
      <w:r>
        <w:rPr/>
        <w:t>The calculated sample will also be checked against the regression rule N ≥ 50 + 8</w:t>
      </w:r>
      <w:r>
        <w:rPr>
          <w:i/>
        </w:rPr>
        <w:t>m</w:t>
      </w:r>
      <w:r>
        <w:rPr/>
        <w:t xml:space="preserve"> (Green, 1991). With three predictors this requires at least 74 usable responses. If the calculated sample falls below this figure, or the accessible population is small, all eligible staff will be surveyed as a census.</w:t>
      </w:r>
    </w:p>
    <w:p>
      <w:pPr>
        <w:jc w:val="both"/>
      </w:pPr>
      <w:r>
        <w:rPr/>
        <w:t xml:space="preserve">Sampling will proceed in </w:t>
      </w:r>
      <w:r>
        <w:rPr>
          <w:b/>
        </w:rPr>
        <w:t>two stages</w:t>
      </w:r>
      <w:r>
        <w:rPr/>
        <w:t xml:space="preserve">. In the </w:t>
      </w:r>
      <w:r>
        <w:rPr>
          <w:b/>
        </w:rPr>
        <w:t>first stage</w:t>
      </w:r>
      <w:r>
        <w:rPr/>
        <w:t xml:space="preserve">, all licensed MFIs with Lusaka operations will be invited if their number is manageable. Otherwise, MFIs will be selected purposively so that the sample covers different institution sizes and lending models (individual, group and payroll-based), because the effects of the strategies may differ across these models (Saunders et al., 2019). In the </w:t>
      </w:r>
      <w:r>
        <w:rPr>
          <w:b/>
        </w:rPr>
        <w:t>second stage</w:t>
      </w:r>
      <w:r>
        <w:rPr/>
        <w:t xml:space="preserve">, respondents will be selected by </w:t>
      </w:r>
      <w:r>
        <w:rPr>
          <w:b/>
        </w:rPr>
        <w:t>proportionate stratified random sampling</w:t>
      </w:r>
      <w:r>
        <w:rPr/>
        <w:t>. Eligible staff will be divided by job role into four strata: management, credit and loan officers, risk and recovery officers, and finance officers. The sample will be allocated to each stratum in proportion to its size, and respondents will be drawn at random from staff lists. Stratification is justified because each group holds different, specialised knowledge of the variables. Proportionate allocation prevents small groups such as recovery officers from being under-represented, and random selection within strata keeps the procedure probabilistic, which supports generalisation to the accessible population (Bryman, 2016; Sekaran &amp; Bougie, 2016).</w:t>
      </w:r>
    </w:p>
    <w:p>
      <w:pPr>
        <w:pStyle w:val="Heading2"/>
      </w:pPr>
      <w:r>
        <w:t>3.7 Data Collection Methods</w:t>
      </w:r>
    </w:p>
    <w:p>
      <w:pPr>
        <w:pStyle w:val="Heading3"/>
      </w:pPr>
      <w:r>
        <w:t>3.7.1 Primary Data</w:t>
      </w:r>
    </w:p>
    <w:p>
      <w:pPr>
        <w:jc w:val="both"/>
      </w:pPr>
      <w:r>
        <w:rPr/>
        <w:t>Primary data will be collected with a structured, self-administered questionnaire whose sections mirror the conceptual framework:</w:t>
      </w:r>
    </w:p>
    <w:p>
      <w:pPr>
        <w:pStyle w:val="ListBullet"/>
      </w:pPr>
      <w:r>
        <w:rPr>
          <w:b/>
        </w:rPr>
        <w:t>Section A:</w:t>
      </w:r>
      <w:r>
        <w:rPr/>
        <w:t xml:space="preserve"> Demographic and professional information.</w:t>
      </w:r>
    </w:p>
    <w:p>
      <w:pPr>
        <w:pStyle w:val="ListBullet"/>
      </w:pPr>
      <w:r>
        <w:rPr>
          <w:b/>
        </w:rPr>
        <w:t>Section B:</w:t>
      </w:r>
      <w:r>
        <w:rPr/>
        <w:t xml:space="preserve"> Credit assessment strategies (IV1; Objective 1).</w:t>
      </w:r>
    </w:p>
    <w:p>
      <w:pPr>
        <w:pStyle w:val="ListBullet"/>
      </w:pPr>
      <w:r>
        <w:rPr>
          <w:b/>
        </w:rPr>
        <w:t>Section C:</w:t>
      </w:r>
      <w:r>
        <w:rPr/>
        <w:t xml:space="preserve"> Loan monitoring strategies (IV2; Objective 2).</w:t>
      </w:r>
    </w:p>
    <w:p>
      <w:pPr>
        <w:pStyle w:val="ListBullet"/>
      </w:pPr>
      <w:r>
        <w:rPr>
          <w:b/>
        </w:rPr>
        <w:t>Section D:</w:t>
      </w:r>
      <w:r>
        <w:rPr/>
        <w:t xml:space="preserve"> Loan recovery strategies (IV3; Objective 3).</w:t>
      </w:r>
    </w:p>
    <w:p>
      <w:pPr>
        <w:pStyle w:val="ListBullet"/>
      </w:pPr>
      <w:r>
        <w:rPr>
          <w:b/>
        </w:rPr>
        <w:t>Section E:</w:t>
      </w:r>
      <w:r>
        <w:rPr/>
        <w:t xml:space="preserve"> Financial performance (DV).</w:t>
      </w:r>
    </w:p>
    <w:p>
      <w:pPr>
        <w:jc w:val="both"/>
      </w:pPr>
      <w:r>
        <w:rPr/>
        <w:t>Sections B to E use five-point Likert-type items (Likert, 1932) written in clear and neutral language, avoiding double-barrelled, leading and jargon-laden statements (Dillman et al., 2014). A cover letter will explain the study's purpose, the voluntary nature of participation, the confidentiality arrangements, how to respond and the expected completion time.</w:t>
      </w:r>
    </w:p>
    <w:p>
      <w:pPr>
        <w:jc w:val="both"/>
      </w:pPr>
      <w:r>
        <w:rPr/>
        <w:t>Questionnaires will be administered by the "drop-and-pick" method, with an equivalent secure online form as an alternative. After permission is obtained, a contact person in each MFI will help the researcher reach the selected respondents. Completed paper questionnaires will be returned in sealed envelopes within about two weeks, and reminders will be sent after the first week (Dillman et al., 2014). No names of individuals or institutions will appear on the questionnaires. Each MFI will be given a code known only to the researcher.</w:t>
      </w:r>
    </w:p>
    <w:p>
      <w:pPr>
        <w:pStyle w:val="Heading3"/>
      </w:pPr>
      <w:r>
        <w:t>3.7.2 Secondary Data</w:t>
      </w:r>
    </w:p>
    <w:p>
      <w:pPr>
        <w:jc w:val="both"/>
      </w:pPr>
      <w:r>
        <w:rPr/>
        <w:t>Secondary data will come from Bank of Zambia financial stability and supervision reports and statistics on the non-bank financial institutions sector, MFI annual reports and audited financial statements where publicly available, and other regulatory and financial sector publications. These sources will provide context on non-performing loans, provisions and return on assets during the reference period, support the selection of performance indicators, and allow survey responses to be checked against published trends. Confidential institutional records will be used only with written permission and only in anonymised, aggregated form.</w:t>
      </w:r>
    </w:p>
    <w:p>
      <w:pPr>
        <w:pStyle w:val="Heading2"/>
      </w:pPr>
      <w:r>
        <w:t>3.8 Research Instrument</w:t>
      </w:r>
    </w:p>
    <w:p>
      <w:pPr>
        <w:jc w:val="both"/>
      </w:pPr>
      <w:r>
        <w:rPr/>
        <w:t>The questionnaire contains closed-ended questions only, which are quick to complete, easy to code and suitable for statistical analysis (Sekaran &amp; Bougie, 2016). Section A collects categorical data on gender, age group, qualification, job role, lending experience and the institution's lending model. These data describe the sample and confirm eligibility; they are not additional study variables. Sections B to E use a five-point scale (1 = strongly disagree to 5 = strongly agree), which offers enough discrimination for regression while remaining easy to use (Saunders et al., 2019). Each construct is measured with multiple items to allow internal consistency to be tested (Hair et al., 2019), and construct scores are computed as item means.</w:t>
      </w:r>
    </w:p>
    <w:p>
      <w:pPr>
        <w:jc w:val="both"/>
      </w:pPr>
      <w:r>
        <w:rPr/>
        <w:t>Financial performance is measured perceptually in Section E. Respondents will rate changes in their institution's performance over the reference period (2023–2025, the period of deterioration documented in Chapter One). Subjective performance measures have been shown to correlate with objective accounting measures (Dess &amp; Robinson, 1984; Wall et al., 2004), and they are an accepted alternative where objective data are confidential or not comparable (Venkatraman &amp; Ramanujam, 1986). The indicators follow standard microfinance performance measurement (Ledgerwood, 1999). Return on equity is captured by a single item, because front-line staff may be less familiar with it. Table 3.1 presents the measurement matrix.</w:t>
      </w:r>
    </w:p>
    <w:p>
      <w:pPr>
        <w:jc w:val="both"/>
      </w:pPr>
      <w:r>
        <w:rPr>
          <w:b/>
        </w:rPr>
        <w:t>Table 3.1: Measurement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Pr>
                <w:b/>
                <w:sz w:val="20"/>
              </w:rPr>
              <w:t>Objective</w:t>
            </w:r>
          </w:p>
        </w:tc>
        <w:tc>
          <w:tcPr>
            <w:tcW w:type="dxa" w:w="1872"/>
          </w:tcPr>
          <w:p>
            <w:pPr>
              <w:spacing w:line="240" w:lineRule="auto" w:after="40"/>
            </w:pPr>
            <w:r>
              <w:rPr>
                <w:b/>
                <w:sz w:val="20"/>
              </w:rPr>
              <w:t>Variable</w:t>
            </w:r>
          </w:p>
        </w:tc>
        <w:tc>
          <w:tcPr>
            <w:tcW w:type="dxa" w:w="1872"/>
          </w:tcPr>
          <w:p>
            <w:pPr>
              <w:spacing w:line="240" w:lineRule="auto" w:after="40"/>
            </w:pPr>
            <w:r>
              <w:rPr>
                <w:b/>
                <w:sz w:val="20"/>
              </w:rPr>
              <w:t>Indicators</w:t>
            </w:r>
          </w:p>
        </w:tc>
        <w:tc>
          <w:tcPr>
            <w:tcW w:type="dxa" w:w="1872"/>
          </w:tcPr>
          <w:p>
            <w:pPr>
              <w:spacing w:line="240" w:lineRule="auto" w:after="40"/>
            </w:pPr>
            <w:r>
              <w:rPr>
                <w:b/>
                <w:sz w:val="20"/>
              </w:rPr>
              <w:t>Section</w:t>
            </w:r>
          </w:p>
        </w:tc>
        <w:tc>
          <w:tcPr>
            <w:tcW w:type="dxa" w:w="1872"/>
          </w:tcPr>
          <w:p>
            <w:pPr>
              <w:spacing w:line="240" w:lineRule="auto" w:after="40"/>
            </w:pPr>
            <w:r>
              <w:rPr>
                <w:b/>
                <w:sz w:val="20"/>
              </w:rPr>
              <w:t>Measurement</w:t>
            </w:r>
          </w:p>
        </w:tc>
      </w:tr>
      <w:tr>
        <w:tc>
          <w:tcPr>
            <w:tcW w:type="dxa" w:w="1872"/>
          </w:tcPr>
          <w:p>
            <w:pPr>
              <w:spacing w:line="240" w:lineRule="auto" w:after="40"/>
            </w:pPr>
            <w:r>
              <w:rPr>
                <w:sz w:val="20"/>
              </w:rPr>
              <w:t>Objective 1</w:t>
            </w:r>
          </w:p>
        </w:tc>
        <w:tc>
          <w:tcPr>
            <w:tcW w:type="dxa" w:w="1872"/>
          </w:tcPr>
          <w:p>
            <w:pPr>
              <w:spacing w:line="240" w:lineRule="auto" w:after="40"/>
            </w:pPr>
            <w:r>
              <w:rPr>
                <w:sz w:val="20"/>
              </w:rPr>
              <w:t>Credit assessment strategies (IV1)</w:t>
            </w:r>
          </w:p>
        </w:tc>
        <w:tc>
          <w:tcPr>
            <w:tcW w:type="dxa" w:w="1872"/>
          </w:tcPr>
          <w:p>
            <w:pPr>
              <w:spacing w:line="240" w:lineRule="auto" w:after="40"/>
            </w:pPr>
            <w:r>
              <w:rPr>
                <w:sz w:val="20"/>
              </w:rPr>
              <w:t>Borrower screening; creditworthiness assessment; credit history (credit reference bureau) checks; income and repayment capacity verification; collateral and guarantee assessment; credit scoring</w:t>
            </w:r>
          </w:p>
        </w:tc>
        <w:tc>
          <w:tcPr>
            <w:tcW w:type="dxa" w:w="1872"/>
          </w:tcPr>
          <w:p>
            <w:pPr>
              <w:spacing w:line="240" w:lineRule="auto" w:after="40"/>
            </w:pPr>
            <w:r>
              <w:rPr>
                <w:sz w:val="20"/>
              </w:rPr>
              <w:t>B (6–8 items)</w:t>
            </w:r>
          </w:p>
        </w:tc>
        <w:tc>
          <w:tcPr>
            <w:tcW w:type="dxa" w:w="1872"/>
          </w:tcPr>
          <w:p>
            <w:pPr>
              <w:spacing w:line="240" w:lineRule="auto" w:after="40"/>
            </w:pPr>
            <w:r>
              <w:rPr>
                <w:sz w:val="20"/>
              </w:rPr>
              <w:t>5-point Likert; composite mean</w:t>
            </w:r>
          </w:p>
        </w:tc>
      </w:tr>
      <w:tr>
        <w:tc>
          <w:tcPr>
            <w:tcW w:type="dxa" w:w="1872"/>
          </w:tcPr>
          <w:p>
            <w:pPr>
              <w:spacing w:line="240" w:lineRule="auto" w:after="40"/>
            </w:pPr>
            <w:r>
              <w:rPr>
                <w:sz w:val="20"/>
              </w:rPr>
              <w:t>Objective 2</w:t>
            </w:r>
          </w:p>
        </w:tc>
        <w:tc>
          <w:tcPr>
            <w:tcW w:type="dxa" w:w="1872"/>
          </w:tcPr>
          <w:p>
            <w:pPr>
              <w:spacing w:line="240" w:lineRule="auto" w:after="40"/>
            </w:pPr>
            <w:r>
              <w:rPr>
                <w:sz w:val="20"/>
              </w:rPr>
              <w:t>Loan monitoring strategies (IV2)</w:t>
            </w:r>
          </w:p>
        </w:tc>
        <w:tc>
          <w:tcPr>
            <w:tcW w:type="dxa" w:w="1872"/>
          </w:tcPr>
          <w:p>
            <w:pPr>
              <w:spacing w:line="240" w:lineRule="auto" w:after="40"/>
            </w:pPr>
            <w:r>
              <w:rPr>
                <w:sz w:val="20"/>
              </w:rPr>
              <w:t>Repayment monitoring; borrower follow-up; loan utilisation monitoring; early warning systems; portfolio review; delinquency tracking</w:t>
            </w:r>
          </w:p>
        </w:tc>
        <w:tc>
          <w:tcPr>
            <w:tcW w:type="dxa" w:w="1872"/>
          </w:tcPr>
          <w:p>
            <w:pPr>
              <w:spacing w:line="240" w:lineRule="auto" w:after="40"/>
            </w:pPr>
            <w:r>
              <w:rPr>
                <w:sz w:val="20"/>
              </w:rPr>
              <w:t>C (6–8 items)</w:t>
            </w:r>
          </w:p>
        </w:tc>
        <w:tc>
          <w:tcPr>
            <w:tcW w:type="dxa" w:w="1872"/>
          </w:tcPr>
          <w:p>
            <w:pPr>
              <w:spacing w:line="240" w:lineRule="auto" w:after="40"/>
            </w:pPr>
            <w:r>
              <w:rPr>
                <w:sz w:val="20"/>
              </w:rPr>
              <w:t>5-point Likert; composite mean</w:t>
            </w:r>
          </w:p>
        </w:tc>
      </w:tr>
      <w:tr>
        <w:tc>
          <w:tcPr>
            <w:tcW w:type="dxa" w:w="1872"/>
          </w:tcPr>
          <w:p>
            <w:pPr>
              <w:spacing w:line="240" w:lineRule="auto" w:after="40"/>
            </w:pPr>
            <w:r>
              <w:rPr>
                <w:sz w:val="20"/>
              </w:rPr>
              <w:t>Objective 3</w:t>
            </w:r>
          </w:p>
        </w:tc>
        <w:tc>
          <w:tcPr>
            <w:tcW w:type="dxa" w:w="1872"/>
          </w:tcPr>
          <w:p>
            <w:pPr>
              <w:spacing w:line="240" w:lineRule="auto" w:after="40"/>
            </w:pPr>
            <w:r>
              <w:rPr>
                <w:sz w:val="20"/>
              </w:rPr>
              <w:t>Loan recovery strategies (IV3)</w:t>
            </w:r>
          </w:p>
        </w:tc>
        <w:tc>
          <w:tcPr>
            <w:tcW w:type="dxa" w:w="1872"/>
          </w:tcPr>
          <w:p>
            <w:pPr>
              <w:spacing w:line="240" w:lineRule="auto" w:after="40"/>
            </w:pPr>
            <w:r>
              <w:rPr>
                <w:sz w:val="20"/>
              </w:rPr>
              <w:t>Recovery follow-up; collection procedures; repayment reminders; rescheduling; negotiated repayment; enforcement (collateral realisation, guarantor recourse, legal action)</w:t>
            </w:r>
          </w:p>
        </w:tc>
        <w:tc>
          <w:tcPr>
            <w:tcW w:type="dxa" w:w="1872"/>
          </w:tcPr>
          <w:p>
            <w:pPr>
              <w:spacing w:line="240" w:lineRule="auto" w:after="40"/>
            </w:pPr>
            <w:r>
              <w:rPr>
                <w:sz w:val="20"/>
              </w:rPr>
              <w:t>D (6–8 items)</w:t>
            </w:r>
          </w:p>
        </w:tc>
        <w:tc>
          <w:tcPr>
            <w:tcW w:type="dxa" w:w="1872"/>
          </w:tcPr>
          <w:p>
            <w:pPr>
              <w:spacing w:line="240" w:lineRule="auto" w:after="40"/>
            </w:pPr>
            <w:r>
              <w:rPr>
                <w:sz w:val="20"/>
              </w:rPr>
              <w:t>5-point Likert; composite mean</w:t>
            </w:r>
          </w:p>
        </w:tc>
      </w:tr>
      <w:tr>
        <w:tc>
          <w:tcPr>
            <w:tcW w:type="dxa" w:w="1872"/>
          </w:tcPr>
          <w:p>
            <w:pPr>
              <w:spacing w:line="240" w:lineRule="auto" w:after="40"/>
            </w:pPr>
            <w:r>
              <w:rPr>
                <w:sz w:val="20"/>
              </w:rPr>
              <w:t>Objectives 1–3</w:t>
            </w:r>
          </w:p>
        </w:tc>
        <w:tc>
          <w:tcPr>
            <w:tcW w:type="dxa" w:w="1872"/>
          </w:tcPr>
          <w:p>
            <w:pPr>
              <w:spacing w:line="240" w:lineRule="auto" w:after="40"/>
            </w:pPr>
            <w:r>
              <w:rPr>
                <w:sz w:val="20"/>
              </w:rPr>
              <w:t>Financial performance (DV)</w:t>
            </w:r>
          </w:p>
        </w:tc>
        <w:tc>
          <w:tcPr>
            <w:tcW w:type="dxa" w:w="1872"/>
          </w:tcPr>
          <w:p>
            <w:pPr>
              <w:spacing w:line="240" w:lineRule="auto" w:after="40"/>
            </w:pPr>
            <w:r>
              <w:rPr>
                <w:sz w:val="20"/>
              </w:rPr>
              <w:t>Profitability; return on assets; return on equity; portfolio quality (portfolio at risk, non-performing loans); liquidity; loan-loss provisions</w:t>
            </w:r>
          </w:p>
        </w:tc>
        <w:tc>
          <w:tcPr>
            <w:tcW w:type="dxa" w:w="1872"/>
          </w:tcPr>
          <w:p>
            <w:pPr>
              <w:spacing w:line="240" w:lineRule="auto" w:after="40"/>
            </w:pPr>
            <w:r>
              <w:rPr>
                <w:sz w:val="20"/>
              </w:rPr>
              <w:t>E (6–8 items)</w:t>
            </w:r>
          </w:p>
        </w:tc>
        <w:tc>
          <w:tcPr>
            <w:tcW w:type="dxa" w:w="1872"/>
          </w:tcPr>
          <w:p>
            <w:pPr>
              <w:spacing w:line="240" w:lineRule="auto" w:after="40"/>
            </w:pPr>
            <w:r>
              <w:rPr>
                <w:sz w:val="20"/>
              </w:rPr>
              <w:t>5-point Likert; composite mean</w:t>
            </w:r>
          </w:p>
        </w:tc>
      </w:tr>
    </w:tbl>
    <w:p/>
    <w:p>
      <w:pPr>
        <w:jc w:val="both"/>
      </w:pPr>
      <w:r>
        <w:rPr/>
        <w:t>The repayment enforcement concern raised in the statement of the problem is captured by the enforcement indicator within loan recovery, so no new variable is introduced. Table 3.2 traces each objective through the methodology.</w:t>
      </w:r>
    </w:p>
    <w:p>
      <w:pPr>
        <w:jc w:val="both"/>
      </w:pPr>
      <w:r>
        <w:rPr>
          <w:b/>
        </w:rPr>
        <w:t>Table 3.2: Methodological Alignment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20"/>
              </w:rPr>
              <w:t>Objective</w:t>
            </w:r>
          </w:p>
        </w:tc>
        <w:tc>
          <w:tcPr>
            <w:tcW w:type="dxa" w:w="1560"/>
          </w:tcPr>
          <w:p>
            <w:pPr>
              <w:spacing w:line="240" w:lineRule="auto" w:after="40"/>
            </w:pPr>
            <w:r>
              <w:rPr>
                <w:b/>
                <w:sz w:val="20"/>
              </w:rPr>
              <w:t>Question</w:t>
            </w:r>
          </w:p>
        </w:tc>
        <w:tc>
          <w:tcPr>
            <w:tcW w:type="dxa" w:w="1560"/>
          </w:tcPr>
          <w:p>
            <w:pPr>
              <w:spacing w:line="240" w:lineRule="auto" w:after="40"/>
            </w:pPr>
            <w:r>
              <w:rPr>
                <w:b/>
                <w:sz w:val="20"/>
              </w:rPr>
              <w:t>Hypothesis</w:t>
            </w:r>
          </w:p>
        </w:tc>
        <w:tc>
          <w:tcPr>
            <w:tcW w:type="dxa" w:w="1560"/>
          </w:tcPr>
          <w:p>
            <w:pPr>
              <w:spacing w:line="240" w:lineRule="auto" w:after="40"/>
            </w:pPr>
            <w:r>
              <w:rPr>
                <w:b/>
                <w:sz w:val="20"/>
              </w:rPr>
              <w:t>Data Items</w:t>
            </w:r>
          </w:p>
        </w:tc>
        <w:tc>
          <w:tcPr>
            <w:tcW w:type="dxa" w:w="1560"/>
          </w:tcPr>
          <w:p>
            <w:pPr>
              <w:spacing w:line="240" w:lineRule="auto" w:after="40"/>
            </w:pPr>
            <w:r>
              <w:rPr>
                <w:b/>
                <w:sz w:val="20"/>
              </w:rPr>
              <w:t>Analysis</w:t>
            </w:r>
          </w:p>
        </w:tc>
        <w:tc>
          <w:tcPr>
            <w:tcW w:type="dxa" w:w="1560"/>
          </w:tcPr>
          <w:p>
            <w:pPr>
              <w:spacing w:line="240" w:lineRule="auto" w:after="40"/>
            </w:pPr>
            <w:r>
              <w:rPr>
                <w:b/>
                <w:sz w:val="20"/>
              </w:rPr>
              <w:t>Outcome</w:t>
            </w:r>
          </w:p>
        </w:tc>
      </w:tr>
      <w:tr>
        <w:tc>
          <w:tcPr>
            <w:tcW w:type="dxa" w:w="1560"/>
          </w:tcPr>
          <w:p>
            <w:pPr>
              <w:spacing w:line="240" w:lineRule="auto" w:after="40"/>
            </w:pPr>
            <w:r>
              <w:rPr>
                <w:sz w:val="20"/>
              </w:rPr>
              <w:t>1. Credit assessment</w:t>
            </w:r>
          </w:p>
        </w:tc>
        <w:tc>
          <w:tcPr>
            <w:tcW w:type="dxa" w:w="1560"/>
          </w:tcPr>
          <w:p>
            <w:pPr>
              <w:spacing w:line="240" w:lineRule="auto" w:after="40"/>
            </w:pPr>
            <w:r>
              <w:rPr>
                <w:sz w:val="20"/>
              </w:rPr>
              <w:t>RQ1</w:t>
            </w:r>
          </w:p>
        </w:tc>
        <w:tc>
          <w:tcPr>
            <w:tcW w:type="dxa" w:w="1560"/>
          </w:tcPr>
          <w:p>
            <w:pPr>
              <w:spacing w:line="240" w:lineRule="auto" w:after="40"/>
            </w:pPr>
            <w:r>
              <w:rPr>
                <w:sz w:val="20"/>
              </w:rPr>
              <w:t>H01</w:t>
            </w:r>
          </w:p>
        </w:tc>
        <w:tc>
          <w:tcPr>
            <w:tcW w:type="dxa" w:w="1560"/>
          </w:tcPr>
          <w:p>
            <w:pPr>
              <w:spacing w:line="240" w:lineRule="auto" w:after="40"/>
            </w:pPr>
            <w:r>
              <w:rPr>
                <w:sz w:val="20"/>
              </w:rPr>
              <w:t>Sections B and E</w:t>
            </w:r>
          </w:p>
        </w:tc>
        <w:tc>
          <w:tcPr>
            <w:tcW w:type="dxa" w:w="1560"/>
          </w:tcPr>
          <w:p>
            <w:pPr>
              <w:spacing w:line="240" w:lineRule="auto" w:after="40"/>
            </w:pPr>
            <w:r>
              <w:rPr>
                <w:sz w:val="20"/>
              </w:rPr>
              <w:t>Descriptives; Pearson r; regression (β1)</w:t>
            </w:r>
          </w:p>
        </w:tc>
        <w:tc>
          <w:tcPr>
            <w:tcW w:type="dxa" w:w="1560"/>
          </w:tcPr>
          <w:p>
            <w:pPr>
              <w:spacing w:line="240" w:lineRule="auto" w:after="40"/>
            </w:pPr>
            <w:r>
              <w:rPr>
                <w:sz w:val="20"/>
              </w:rPr>
              <w:t>Financial performance</w:t>
            </w:r>
          </w:p>
        </w:tc>
      </w:tr>
      <w:tr>
        <w:tc>
          <w:tcPr>
            <w:tcW w:type="dxa" w:w="1560"/>
          </w:tcPr>
          <w:p>
            <w:pPr>
              <w:spacing w:line="240" w:lineRule="auto" w:after="40"/>
            </w:pPr>
            <w:r>
              <w:rPr>
                <w:sz w:val="20"/>
              </w:rPr>
              <w:t>2. Loan monitoring</w:t>
            </w:r>
          </w:p>
        </w:tc>
        <w:tc>
          <w:tcPr>
            <w:tcW w:type="dxa" w:w="1560"/>
          </w:tcPr>
          <w:p>
            <w:pPr>
              <w:spacing w:line="240" w:lineRule="auto" w:after="40"/>
            </w:pPr>
            <w:r>
              <w:rPr>
                <w:sz w:val="20"/>
              </w:rPr>
              <w:t>RQ2</w:t>
            </w:r>
          </w:p>
        </w:tc>
        <w:tc>
          <w:tcPr>
            <w:tcW w:type="dxa" w:w="1560"/>
          </w:tcPr>
          <w:p>
            <w:pPr>
              <w:spacing w:line="240" w:lineRule="auto" w:after="40"/>
            </w:pPr>
            <w:r>
              <w:rPr>
                <w:sz w:val="20"/>
              </w:rPr>
              <w:t>H02</w:t>
            </w:r>
          </w:p>
        </w:tc>
        <w:tc>
          <w:tcPr>
            <w:tcW w:type="dxa" w:w="1560"/>
          </w:tcPr>
          <w:p>
            <w:pPr>
              <w:spacing w:line="240" w:lineRule="auto" w:after="40"/>
            </w:pPr>
            <w:r>
              <w:rPr>
                <w:sz w:val="20"/>
              </w:rPr>
              <w:t>Sections C and E</w:t>
            </w:r>
          </w:p>
        </w:tc>
        <w:tc>
          <w:tcPr>
            <w:tcW w:type="dxa" w:w="1560"/>
          </w:tcPr>
          <w:p>
            <w:pPr>
              <w:spacing w:line="240" w:lineRule="auto" w:after="40"/>
            </w:pPr>
            <w:r>
              <w:rPr>
                <w:sz w:val="20"/>
              </w:rPr>
              <w:t>Descriptives; Pearson r; regression (β2)</w:t>
            </w:r>
          </w:p>
        </w:tc>
        <w:tc>
          <w:tcPr>
            <w:tcW w:type="dxa" w:w="1560"/>
          </w:tcPr>
          <w:p>
            <w:pPr>
              <w:spacing w:line="240" w:lineRule="auto" w:after="40"/>
            </w:pPr>
            <w:r>
              <w:rPr>
                <w:sz w:val="20"/>
              </w:rPr>
              <w:t>Financial performance</w:t>
            </w:r>
          </w:p>
        </w:tc>
      </w:tr>
      <w:tr>
        <w:tc>
          <w:tcPr>
            <w:tcW w:type="dxa" w:w="1560"/>
          </w:tcPr>
          <w:p>
            <w:pPr>
              <w:spacing w:line="240" w:lineRule="auto" w:after="40"/>
            </w:pPr>
            <w:r>
              <w:rPr>
                <w:sz w:val="20"/>
              </w:rPr>
              <w:t>3. Loan recovery</w:t>
            </w:r>
          </w:p>
        </w:tc>
        <w:tc>
          <w:tcPr>
            <w:tcW w:type="dxa" w:w="1560"/>
          </w:tcPr>
          <w:p>
            <w:pPr>
              <w:spacing w:line="240" w:lineRule="auto" w:after="40"/>
            </w:pPr>
            <w:r>
              <w:rPr>
                <w:sz w:val="20"/>
              </w:rPr>
              <w:t>RQ3</w:t>
            </w:r>
          </w:p>
        </w:tc>
        <w:tc>
          <w:tcPr>
            <w:tcW w:type="dxa" w:w="1560"/>
          </w:tcPr>
          <w:p>
            <w:pPr>
              <w:spacing w:line="240" w:lineRule="auto" w:after="40"/>
            </w:pPr>
            <w:r>
              <w:rPr>
                <w:sz w:val="20"/>
              </w:rPr>
              <w:t>H03</w:t>
            </w:r>
          </w:p>
        </w:tc>
        <w:tc>
          <w:tcPr>
            <w:tcW w:type="dxa" w:w="1560"/>
          </w:tcPr>
          <w:p>
            <w:pPr>
              <w:spacing w:line="240" w:lineRule="auto" w:after="40"/>
            </w:pPr>
            <w:r>
              <w:rPr>
                <w:sz w:val="20"/>
              </w:rPr>
              <w:t>Sections D and E</w:t>
            </w:r>
          </w:p>
        </w:tc>
        <w:tc>
          <w:tcPr>
            <w:tcW w:type="dxa" w:w="1560"/>
          </w:tcPr>
          <w:p>
            <w:pPr>
              <w:spacing w:line="240" w:lineRule="auto" w:after="40"/>
            </w:pPr>
            <w:r>
              <w:rPr>
                <w:sz w:val="20"/>
              </w:rPr>
              <w:t>Descriptives; Pearson r; regression (β3)</w:t>
            </w:r>
          </w:p>
        </w:tc>
        <w:tc>
          <w:tcPr>
            <w:tcW w:type="dxa" w:w="1560"/>
          </w:tcPr>
          <w:p>
            <w:pPr>
              <w:spacing w:line="240" w:lineRule="auto" w:after="40"/>
            </w:pPr>
            <w:r>
              <w:rPr>
                <w:sz w:val="20"/>
              </w:rPr>
              <w:t>Financial performance</w:t>
            </w:r>
          </w:p>
        </w:tc>
      </w:tr>
    </w:tbl>
    <w:p/>
    <w:p>
      <w:pPr>
        <w:pStyle w:val="Heading2"/>
      </w:pPr>
      <w:r>
        <w:t>3.9 Pilot Testing</w:t>
      </w:r>
    </w:p>
    <w:p>
      <w:pPr>
        <w:jc w:val="both"/>
      </w:pPr>
      <w:r>
        <w:rPr/>
        <w:t>A pilot test is a small-scale trial of the instrument and procedures, carried out to identify problems before the main study (van Teijlingen &amp; Hundley, 2001). In this study it will test whether items are understood as intended by MFI staff, measure completion time, identify ambiguous, redundant or sensitive items, check instructions and question flow, test the administration procedures and provide preliminary reliability data.</w:t>
      </w:r>
    </w:p>
    <w:p>
      <w:pPr>
        <w:jc w:val="both"/>
      </w:pPr>
      <w:r>
        <w:rPr/>
        <w:t>The pilot sample will be about 10% of the planned main sample (Connelly, 2008), with the size guided by the pilot's purposes (Hertzog, 2008). It will be drawn from the same job strata and, where possible, from an MFI outside the main sample. Pilot participants will be excluded from the main study. They will complete the questionnaire under normal conditions and then comment on any items they found unclear or inapplicable. Completion times will be recorded, and Cronbach's alpha will be computed for each scale. Items that are misunderstood, show little variance or weaken reliability will be revised or removed, and the revised instrument will be reviewed by the supervisor. No pilot results are reported, because the pilot has not yet been conducted.</w:t>
      </w:r>
    </w:p>
    <w:p>
      <w:pPr>
        <w:pStyle w:val="Heading2"/>
      </w:pPr>
      <w:r>
        <w:t>3.10 Validity and Reliability</w:t>
      </w:r>
    </w:p>
    <w:p>
      <w:pPr>
        <w:pStyle w:val="Heading3"/>
      </w:pPr>
      <w:r>
        <w:t>3.10.1 Validity</w:t>
      </w:r>
    </w:p>
    <w:p>
      <w:pPr>
        <w:jc w:val="both"/>
      </w:pPr>
      <w:r>
        <w:rPr/>
        <w:t>Validity is the extent to which an instrument measures what it is intended to measure (Saunders et al., 2019).</w:t>
      </w:r>
    </w:p>
    <w:p>
      <w:pPr>
        <w:jc w:val="both"/>
      </w:pPr>
      <w:r>
        <w:rPr>
          <w:b/>
        </w:rPr>
        <w:t>Face validity</w:t>
      </w:r>
      <w:r>
        <w:rPr/>
        <w:t xml:space="preserve"> will be established through review of the questionnaire's wording, layout and relevance by the supervisor and selected microfinance practitioners, and through feedback from the pilot.</w:t>
      </w:r>
    </w:p>
    <w:p>
      <w:pPr>
        <w:jc w:val="both"/>
      </w:pPr>
      <w:r>
        <w:rPr>
          <w:b/>
        </w:rPr>
        <w:t>Content validity</w:t>
      </w:r>
      <w:r>
        <w:rPr/>
        <w:t xml:space="preserve"> will be ensured by deriving every item from the indicators in the Chapter Two literature and the conceptual framework, and by mapping each section to a specific objective (Tables 3.1 and 3.2). In addition, the supervisor and two to three experienced credit or risk practitioners will rate the relevance of each item. Their ratings will be summarised in a content validity index, and weak items will be revised or removed (Lynn, 1986).</w:t>
      </w:r>
    </w:p>
    <w:p>
      <w:pPr>
        <w:jc w:val="both"/>
      </w:pPr>
      <w:r>
        <w:rPr>
          <w:b/>
        </w:rPr>
        <w:t>Construct validity</w:t>
      </w:r>
      <w:r>
        <w:rPr/>
        <w:t xml:space="preserve"> will be examined through exploratory factor analysis of the main data. Sampling adequacy will be confirmed with the Kaiser–Meyer–Olkin measure (at least 0.6) and Bartlett's test of sphericity (p &lt; 0.05), and items with loadings below 0.5 will be considered for removal (Hair et al., 2019). This confirms that each scale measures a distinct dimension.</w:t>
      </w:r>
    </w:p>
    <w:p>
      <w:pPr>
        <w:pStyle w:val="Heading3"/>
      </w:pPr>
      <w:r>
        <w:t>3.10.2 Reliability</w:t>
      </w:r>
    </w:p>
    <w:p>
      <w:pPr>
        <w:jc w:val="both"/>
      </w:pPr>
      <w:r>
        <w:rPr/>
        <w:t>Reliability is the consistency of measurement (Bryman, 2016). Because each construct has several Likert items, internal consistency will be assessed with Cronbach's (1951) alpha, computed separately for Sections B to E on both the pilot and the main data. A coefficient of 0.70 or above will be considered acceptable (Hair et al., 2019; Nunnally &amp; Bernstein, 1994). Where a scale falls short, item-total correlations and "alpha if item deleted" values will be examined. No alpha values are reported, because reliability can only be calculated once pilot data exist.</w:t>
      </w:r>
    </w:p>
    <w:p>
      <w:pPr>
        <w:pStyle w:val="Heading2"/>
      </w:pPr>
      <w:r>
        <w:t>3.11 Time Horizon</w:t>
      </w:r>
    </w:p>
    <w:p>
      <w:pPr>
        <w:jc w:val="both"/>
      </w:pPr>
      <w:r>
        <w:rPr/>
        <w:t xml:space="preserve">Saunders et al. (2019) distinguish cross-sectional studies, which observe a phenomenon at one point in time, from longitudinal studies, which observe it repeatedly over time. This study adopts a </w:t>
      </w:r>
      <w:r>
        <w:rPr>
          <w:b/>
        </w:rPr>
        <w:t>cross-sectional</w:t>
      </w:r>
      <w:r>
        <w:rPr/>
        <w:t xml:space="preserve"> time horizon. Data will be collected once, in a single window of about four to six weeks after approvals are granted.</w:t>
      </w:r>
    </w:p>
    <w:p>
      <w:pPr>
        <w:jc w:val="both"/>
      </w:pPr>
      <w:r>
        <w:rPr/>
        <w:t>A cross-sectional horizon is suitable because the research questions concern relationships between strategies and performance across MFIs rather than change within institutions over time. It also fits the time and resource limits of a postgraduate study, and it is the conventional horizon for explanatory surveys (Bryman, 2016). To connect the data to the problem period, respondents will report on strategies and performance over the 2023–2025 reference period. This allows a single survey to capture the years in which loan quality deteriorated.</w:t>
      </w:r>
    </w:p>
    <w:p>
      <w:pPr>
        <w:jc w:val="both"/>
      </w:pPr>
      <w:r>
        <w:rPr/>
        <w:t>Its advantages are economy, speed and the ability to compare many respondents. Its limitations are that it offers a snapshot that cannot show how relationships evolve, and that it weakens claims about temporal order. These are mitigated by the reference-period framing and by cautious interpretation (Section 3.4). The study does not claim to be longitudinal.</w:t>
      </w:r>
    </w:p>
    <w:p>
      <w:pPr>
        <w:pStyle w:val="Heading2"/>
      </w:pPr>
      <w:r>
        <w:t>3.12 Data Analysis</w:t>
      </w:r>
    </w:p>
    <w:p>
      <w:pPr>
        <w:pStyle w:val="Heading3"/>
      </w:pPr>
      <w:r>
        <w:t>3.12.1 Data Preparation</w:t>
      </w:r>
    </w:p>
    <w:p>
      <w:pPr>
        <w:jc w:val="both"/>
      </w:pPr>
      <w:r>
        <w:rPr/>
        <w:t>Questionnaires will be checked for completeness, coded and entered into IBM SPSS Statistics, with Microsoft Excel used for initial tabulation. Screening will address missing values, out-of-range entries and multivariate outliers, which will be identified with Mahalanobis distance (Tabachnick &amp; Fidell, 2019). Composite scores will then be computed for each construct.</w:t>
      </w:r>
    </w:p>
    <w:p>
      <w:pPr>
        <w:pStyle w:val="Heading3"/>
      </w:pPr>
      <w:r>
        <w:t>3.12.2 Descriptive Statistics</w:t>
      </w:r>
    </w:p>
    <w:p>
      <w:pPr>
        <w:jc w:val="both"/>
      </w:pPr>
      <w:r>
        <w:rPr/>
        <w:t>Frequencies and percentages will describe the response rate and respondent profile. Means and standard deviations will show the extent to which MFIs in Lusaka apply each strategy and how respondents assess financial performance. Item-level means will show which specific practices, such as credit reference bureau checks or early warning systems, are most and least emphasised.</w:t>
      </w:r>
    </w:p>
    <w:p>
      <w:pPr>
        <w:pStyle w:val="Heading3"/>
      </w:pPr>
      <w:r>
        <w:t>3.12.3 Inferential Statistics</w:t>
      </w:r>
    </w:p>
    <w:p>
      <w:pPr>
        <w:jc w:val="both"/>
      </w:pPr>
      <w:r>
        <w:rPr/>
        <w:t>Pearson's correlation coefficient (r) will measure the direction and strength of the bivariate relationship between each strategy and financial performance, and between the strategies themselves (Field, 2018). The hypotheses will then be tested with ordinary least squares multiple regression:</w:t>
      </w:r>
    </w:p>
    <w:p>
      <w:pPr>
        <w:jc w:val="center"/>
      </w:pPr>
      <w:r>
        <w:rPr>
          <w:b/>
        </w:rPr>
        <w:t>FP = β0 + β1CA + β2LM + β3LR + ε</w:t>
      </w:r>
    </w:p>
    <w:p>
      <w:pPr>
        <w:jc w:val="both"/>
      </w:pPr>
      <w:r>
        <w:rPr/>
        <w:t>Where:</w:t>
      </w:r>
    </w:p>
    <w:p>
      <w:pPr>
        <w:pStyle w:val="ListBullet"/>
      </w:pPr>
      <w:r>
        <w:rPr>
          <w:b/>
        </w:rPr>
        <w:t>FP</w:t>
      </w:r>
      <w:r>
        <w:rPr/>
        <w:t xml:space="preserve"> is financial performance, the dependent variable (Section E composite).</w:t>
      </w:r>
    </w:p>
    <w:p>
      <w:pPr>
        <w:pStyle w:val="ListBullet"/>
      </w:pPr>
      <w:r>
        <w:rPr>
          <w:b/>
        </w:rPr>
        <w:t>CA</w:t>
      </w:r>
      <w:r>
        <w:rPr/>
        <w:t xml:space="preserve">, </w:t>
      </w:r>
      <w:r>
        <w:rPr>
          <w:b/>
        </w:rPr>
        <w:t>LM</w:t>
      </w:r>
      <w:r>
        <w:rPr/>
        <w:t xml:space="preserve"> and </w:t>
      </w:r>
      <w:r>
        <w:rPr>
          <w:b/>
        </w:rPr>
        <w:t>LR</w:t>
      </w:r>
      <w:r>
        <w:rPr/>
        <w:t xml:space="preserve"> are the independent variables: credit assessment, loan monitoring and loan recovery strategies (Section B, C and D composites).</w:t>
      </w:r>
    </w:p>
    <w:p>
      <w:pPr>
        <w:pStyle w:val="ListBullet"/>
      </w:pPr>
      <w:r>
        <w:rPr>
          <w:b/>
        </w:rPr>
        <w:t>β0</w:t>
      </w:r>
      <w:r>
        <w:rPr/>
        <w:t xml:space="preserve"> is the intercept, the expected value of FP when all strategy scores are zero.</w:t>
      </w:r>
    </w:p>
    <w:p>
      <w:pPr>
        <w:pStyle w:val="ListBullet"/>
      </w:pPr>
      <w:r>
        <w:rPr>
          <w:b/>
        </w:rPr>
        <w:t>β1, β2, β3</w:t>
      </w:r>
      <w:r>
        <w:rPr/>
        <w:t xml:space="preserve"> are the regression coefficients, each giving the expected change in FP for a one-unit change in that strategy, holding the others constant. The sign of each coefficient shows the direction of the relationship and its size shows the magnitude. Standardised beta weights will be reported so that the three strategies can be compared.</w:t>
      </w:r>
    </w:p>
    <w:p>
      <w:pPr>
        <w:pStyle w:val="ListBullet"/>
      </w:pPr>
      <w:r>
        <w:rPr>
          <w:b/>
        </w:rPr>
        <w:t>ε</w:t>
      </w:r>
      <w:r>
        <w:rPr/>
        <w:t xml:space="preserve"> is the error term, which captures variation in FP not explained by the model.</w:t>
      </w:r>
    </w:p>
    <w:p>
      <w:pPr>
        <w:jc w:val="both"/>
      </w:pPr>
      <w:r>
        <w:rPr>
          <w:b/>
        </w:rPr>
        <w:t>H01</w:t>
      </w:r>
      <w:r>
        <w:rPr/>
        <w:t xml:space="preserve">, </w:t>
      </w:r>
      <w:r>
        <w:rPr>
          <w:b/>
        </w:rPr>
        <w:t>H02</w:t>
      </w:r>
      <w:r>
        <w:rPr/>
        <w:t xml:space="preserve"> and </w:t>
      </w:r>
      <w:r>
        <w:rPr>
          <w:b/>
        </w:rPr>
        <w:t>H03</w:t>
      </w:r>
      <w:r>
        <w:rPr/>
        <w:t xml:space="preserve"> are tested by the significance of β1, β2 and β3 respectively, using t-statistics and p-values at α = 0.05. A null hypothesis is rejected where p &lt; 0.05. Ninety-five per cent confidence intervals will be reported for each coefficient, and an interval excluding zero corroborates a significant effect. The F-test from the ANOVA will assess whether the three strategies jointly explain financial performance. R² and adjusted R² will indicate the proportion of variance explained, with adjusted R² preferred because it accounts for the number of predictors (Field, 2018).</w:t>
      </w:r>
    </w:p>
    <w:p>
      <w:pPr>
        <w:pStyle w:val="Heading3"/>
      </w:pPr>
      <w:r>
        <w:t>3.12.4 Regression Diagnostics</w:t>
      </w:r>
    </w:p>
    <w:p>
      <w:pPr>
        <w:jc w:val="both"/>
      </w:pPr>
      <w:r>
        <w:rPr/>
        <w:t>The assumptions of multiple regression will be tested before the results are interpreted (Field, 2018; Hair et al., 2019):</w:t>
      </w:r>
    </w:p>
    <w:p>
      <w:pPr>
        <w:pStyle w:val="ListBullet"/>
      </w:pPr>
      <w:r>
        <w:rPr>
          <w:b/>
        </w:rPr>
        <w:t>Linearity:</w:t>
      </w:r>
      <w:r>
        <w:rPr/>
        <w:t xml:space="preserve"> scatterplots of the predictors against FP and of residuals against predicted values.</w:t>
      </w:r>
    </w:p>
    <w:p>
      <w:pPr>
        <w:pStyle w:val="ListBullet"/>
      </w:pPr>
      <w:r>
        <w:rPr>
          <w:b/>
        </w:rPr>
        <w:t>Normality of residuals:</w:t>
      </w:r>
      <w:r>
        <w:rPr/>
        <w:t xml:space="preserve"> histograms, P–P plots, skewness and kurtosis.</w:t>
      </w:r>
    </w:p>
    <w:p>
      <w:pPr>
        <w:pStyle w:val="ListBullet"/>
      </w:pPr>
      <w:r>
        <w:rPr>
          <w:b/>
        </w:rPr>
        <w:t>Homoscedasticity:</w:t>
      </w:r>
      <w:r>
        <w:rPr/>
        <w:t xml:space="preserve"> standardised residual plots.</w:t>
      </w:r>
    </w:p>
    <w:p>
      <w:pPr>
        <w:pStyle w:val="ListBullet"/>
      </w:pPr>
      <w:r>
        <w:rPr>
          <w:b/>
        </w:rPr>
        <w:t>Multicollinearity:</w:t>
      </w:r>
      <w:r>
        <w:rPr/>
        <w:t xml:space="preserve"> VIF below 10 and tolerance above 0.10, with VIF above 5 noted as a warning, because the three strategies are related parts of credit risk management.</w:t>
      </w:r>
    </w:p>
    <w:p>
      <w:pPr>
        <w:pStyle w:val="ListBullet"/>
      </w:pPr>
      <w:r>
        <w:rPr>
          <w:b/>
        </w:rPr>
        <w:t>Independence of errors:</w:t>
      </w:r>
      <w:r>
        <w:rPr/>
        <w:t xml:space="preserve"> the Durbin–Watson statistic.</w:t>
      </w:r>
    </w:p>
    <w:p>
      <w:pPr>
        <w:jc w:val="both"/>
      </w:pPr>
      <w:r>
        <w:rPr/>
        <w:t>Because several respondents may come from the same MFI, the model will also be re-estimated with standard errors clustered by institution as a robustness check. Any violations will be remedied, for example by transformation or robust standard errors, and the remedy disclosed. Results will be interpreted against the Chapter Two literature. No results are reported here.</w:t>
      </w:r>
    </w:p>
    <w:p>
      <w:pPr>
        <w:pStyle w:val="Heading2"/>
      </w:pPr>
      <w:r>
        <w:t>3.13 Ethical Considerations</w:t>
      </w:r>
    </w:p>
    <w:p>
      <w:pPr>
        <w:jc w:val="both"/>
      </w:pPr>
      <w:r>
        <w:rPr/>
        <w:t>The study involves human participants and commercially sensitive information, so it will follow recognised research ethics principles (Bell et al., 2019; Saunders et al., 2019) and ZCAS University requirements.</w:t>
      </w:r>
    </w:p>
    <w:p>
      <w:pPr>
        <w:jc w:val="both"/>
      </w:pPr>
      <w:r>
        <w:rPr>
          <w:b/>
        </w:rPr>
        <w:t>Approval and permission.</w:t>
      </w:r>
      <w:r>
        <w:rPr/>
        <w:t xml:space="preserve"> Ethical clearance will be obtained from the ZCAS University research ethics committee or designated authority before data collection. Written permission will be obtained from each MFI on the basis of a University introductory letter.</w:t>
      </w:r>
    </w:p>
    <w:p>
      <w:pPr>
        <w:jc w:val="both"/>
      </w:pPr>
      <w:r>
        <w:rPr>
          <w:b/>
        </w:rPr>
        <w:t>Informed consent, voluntary participation and withdrawal.</w:t>
      </w:r>
      <w:r>
        <w:rPr/>
        <w:t xml:space="preserve"> Respondents will receive an information sheet explaining the purpose of the study, what participation involves and how the data will be used. Participation will be voluntary, and managers will not be asked to compel staff. Respondents may withdraw at any point before submission without penalty. They will be told that anonymous responses cannot be withdrawn once submitted.</w:t>
      </w:r>
    </w:p>
    <w:p>
      <w:pPr>
        <w:jc w:val="both"/>
      </w:pPr>
      <w:r>
        <w:rPr>
          <w:b/>
        </w:rPr>
        <w:t>Confidentiality, anonymity and privacy.</w:t>
      </w:r>
      <w:r>
        <w:rPr/>
        <w:t xml:space="preserve"> No personal identifiers will be collected, institutions will be coded, and results will be reported in aggregate, with demographic categories broad enough to prevent identification. Personal data will be handled in line with Zambia's Data Protection Act No. 3 of 2021 (Government of the Republic of Zambia, 2021).</w:t>
      </w:r>
    </w:p>
    <w:p>
      <w:pPr>
        <w:jc w:val="both"/>
      </w:pPr>
      <w:r>
        <w:rPr>
          <w:b/>
        </w:rPr>
        <w:t>Institutional and financial information.</w:t>
      </w:r>
      <w:r>
        <w:rPr/>
        <w:t xml:space="preserve"> Confidential financial records will not be requested. Any records an MFI voluntarily provides will be used only for this study, will not be shared, and will be reported in anonymised, aggregated form.</w:t>
      </w:r>
    </w:p>
    <w:p>
      <w:pPr>
        <w:jc w:val="both"/>
      </w:pPr>
      <w:r>
        <w:rPr>
          <w:b/>
        </w:rPr>
        <w:t>Data storage.</w:t>
      </w:r>
      <w:r>
        <w:rPr/>
        <w:t xml:space="preserve"> Paper questionnaires will be kept in a locked cabinet, and electronic files will be password-protected on an encrypted device. Data will be retained only as long as University regulations require and then securely destroyed.</w:t>
      </w:r>
    </w:p>
    <w:p>
      <w:pPr>
        <w:jc w:val="both"/>
      </w:pPr>
      <w:r>
        <w:rPr>
          <w:b/>
        </w:rPr>
        <w:t>Integrity.</w:t>
      </w:r>
      <w:r>
        <w:rPr/>
        <w:t xml:space="preserve"> No data will be fabricated, falsified or selectively reported, and all exclusions will be disclosed. Sources will be acknowledged using APA 7th edition, and the report will be screened with plagiarism-detection software.</w:t>
      </w:r>
    </w:p>
    <w:p>
      <w:pPr>
        <w:pStyle w:val="Heading2"/>
      </w:pPr>
      <w:r>
        <w:t>3.14 Chapter Summary</w:t>
      </w:r>
    </w:p>
    <w:p>
      <w:pPr>
        <w:jc w:val="both"/>
      </w:pPr>
      <w:r>
        <w:rPr/>
        <w:t>This chapter has presented the methodology for evaluating the effect of loan default management strategies on the financial performance of MFIs in Lusaka. The study adopts a positivist philosophy and a deductive approach, testing three null hypotheses derived from Chapter Two. It uses a survey strategy supported by published secondary data, and an explanatory design implemented through a cross-sectional survey. The population comprises lending, credit, risk, recovery, finance and management staff of licensed MFIs in Lusaka. Respondents will be selected through a two-stage procedure ending in proportionate stratified random sampling, with the sample size calculated using Yamane's formula once the accessible population is confirmed.</w:t>
      </w:r>
    </w:p>
    <w:p>
      <w:pPr>
        <w:jc w:val="both"/>
      </w:pPr>
      <w:r>
        <w:rPr/>
        <w:t>Data will be collected through a five-section Likert-scale questionnaire. Its validity will be established through expert review, alignment with the literature and factor analysis, and its reliability through Cronbach's alpha (0.70 threshold) after pilot testing. Descriptive statistics, Pearson correlation and the model FP = β0 + β1CA + β2LM + β3LR + ε will be used to test H01–H03 at the 0.05 level, under strict ethical safeguards. Together, these procedures link each approved objective, through its variable, hypothesis, questionnaire items and statistical test, to the financial performance of MFIs in Lusaka. This provides a defensible framework for answering the three research questions.</w:t>
      </w:r>
    </w:p>
    <w:p>
      <w:r>
        <w:br w:type="page"/>
      </w:r>
    </w:p>
    <w:p>
      <w:pPr>
        <w:pStyle w:val="Heading1"/>
        <w:jc w:val="center"/>
      </w:pPr>
      <w:r>
        <w:t>REFERENCES</w:t>
      </w:r>
    </w:p>
    <w:p>
      <w:pPr>
        <w:ind w:left="720" w:hanging="720"/>
      </w:pPr>
      <w:r>
        <w:rPr/>
        <w:t xml:space="preserve">Bell, E., Bryman, A., &amp; Harley, B. (2019). </w:t>
      </w:r>
      <w:r>
        <w:rPr>
          <w:i/>
        </w:rPr>
        <w:t>Business research methods</w:t>
      </w:r>
      <w:r>
        <w:rPr/>
        <w:t xml:space="preserve"> (5th ed.). Oxford University Press.</w:t>
      </w:r>
    </w:p>
    <w:p>
      <w:pPr>
        <w:ind w:left="720" w:hanging="720"/>
      </w:pPr>
      <w:r>
        <w:rPr/>
        <w:t xml:space="preserve">Bryman, A. (2016). </w:t>
      </w:r>
      <w:r>
        <w:rPr>
          <w:i/>
        </w:rPr>
        <w:t>Social research methods</w:t>
      </w:r>
      <w:r>
        <w:rPr/>
        <w:t xml:space="preserve"> (5th ed.). Oxford University Press.</w:t>
      </w:r>
    </w:p>
    <w:p>
      <w:pPr>
        <w:ind w:left="720" w:hanging="720"/>
      </w:pPr>
      <w:r>
        <w:rPr/>
        <w:t xml:space="preserve">Cochran, W. G. (1977). </w:t>
      </w:r>
      <w:r>
        <w:rPr>
          <w:i/>
        </w:rPr>
        <w:t>Sampling techniques</w:t>
      </w:r>
      <w:r>
        <w:rPr/>
        <w:t xml:space="preserve"> (3rd ed.). John Wiley &amp; Sons.</w:t>
      </w:r>
    </w:p>
    <w:p>
      <w:pPr>
        <w:ind w:left="720" w:hanging="720"/>
      </w:pPr>
      <w:r>
        <w:rPr/>
        <w:t xml:space="preserve">Connelly, L. M. (2008). Pilot studies. </w:t>
      </w:r>
      <w:r>
        <w:rPr>
          <w:i/>
        </w:rPr>
        <w:t>Medsurg Nursing, 17</w:t>
      </w:r>
      <w:r>
        <w:rPr/>
        <w:t>(6), 411–412.</w:t>
      </w:r>
    </w:p>
    <w:p>
      <w:pPr>
        <w:ind w:left="720" w:hanging="720"/>
      </w:pPr>
      <w:r>
        <w:rPr/>
        <w:t xml:space="preserve">Creswell, J. W., &amp; Creswell, J. D. (2018). </w:t>
      </w:r>
      <w:r>
        <w:rPr>
          <w:i/>
        </w:rPr>
        <w:t>Research design: Qualitative, quantitative, and mixed methods approaches</w:t>
      </w:r>
      <w:r>
        <w:rPr/>
        <w:t xml:space="preserve"> (5th ed.). SAGE Publications.</w:t>
      </w:r>
    </w:p>
    <w:p>
      <w:pPr>
        <w:ind w:left="720" w:hanging="720"/>
      </w:pPr>
      <w:r>
        <w:rPr/>
        <w:t xml:space="preserve">Cronbach, L. J. (1951). Coefficient alpha and the internal structure of tests. </w:t>
      </w:r>
      <w:r>
        <w:rPr>
          <w:i/>
        </w:rPr>
        <w:t>Psychometrika, 16</w:t>
      </w:r>
      <w:r>
        <w:rPr/>
        <w:t>(3), 297–334. https://doi.org/10.1007/BF02310555</w:t>
      </w:r>
    </w:p>
    <w:p>
      <w:pPr>
        <w:ind w:left="720" w:hanging="720"/>
      </w:pPr>
      <w:r>
        <w:rPr/>
        <w:t xml:space="preserve">Dess, G. G., &amp; Robinson, R. B., Jr. (1984). Measuring organizational performance in the absence of objective measures: The case of the privately-held firm and conglomerate business unit. </w:t>
      </w:r>
      <w:r>
        <w:rPr>
          <w:i/>
        </w:rPr>
        <w:t>Strategic Management Journal, 5</w:t>
      </w:r>
      <w:r>
        <w:rPr/>
        <w:t>(3), 265–273. https://doi.org/10.1002/smj.4250050306</w:t>
      </w:r>
    </w:p>
    <w:p>
      <w:pPr>
        <w:ind w:left="720" w:hanging="720"/>
      </w:pPr>
      <w:r>
        <w:rPr/>
        <w:t xml:space="preserve">Dillman, D. A., Smyth, J. D., &amp; Christian, L. M. (2014). </w:t>
      </w:r>
      <w:r>
        <w:rPr>
          <w:i/>
        </w:rPr>
        <w:t>Internet, phone, mail, and mixed-mode surveys: The tailored design method</w:t>
      </w:r>
      <w:r>
        <w:rPr/>
        <w:t xml:space="preserve"> (4th ed.). John Wiley &amp; Sons.</w:t>
      </w:r>
    </w:p>
    <w:p>
      <w:pPr>
        <w:ind w:left="720" w:hanging="720"/>
      </w:pPr>
      <w:r>
        <w:rPr/>
        <w:t xml:space="preserve">Field, A. (2018). </w:t>
      </w:r>
      <w:r>
        <w:rPr>
          <w:i/>
        </w:rPr>
        <w:t>Discovering statistics using IBM SPSS Statistics</w:t>
      </w:r>
      <w:r>
        <w:rPr/>
        <w:t xml:space="preserve"> (5th ed.). SAGE Publications.</w:t>
      </w:r>
    </w:p>
    <w:p>
      <w:pPr>
        <w:ind w:left="720" w:hanging="720"/>
      </w:pPr>
      <w:r>
        <w:rPr/>
        <w:t xml:space="preserve">Government of the Republic of Zambia. (2021). </w:t>
      </w:r>
      <w:r>
        <w:rPr>
          <w:i/>
        </w:rPr>
        <w:t>The Data Protection Act, No. 3 of 2021</w:t>
      </w:r>
      <w:r>
        <w:rPr/>
        <w:t>. Government Printer.</w:t>
      </w:r>
    </w:p>
    <w:p>
      <w:pPr>
        <w:ind w:left="720" w:hanging="720"/>
      </w:pPr>
      <w:r>
        <w:rPr/>
        <w:t xml:space="preserve">Green, S. B. (1991). How many subjects does it take to do a regression analysis? </w:t>
      </w:r>
      <w:r>
        <w:rPr>
          <w:i/>
        </w:rPr>
        <w:t>Multivariate Behavioral Research, 26</w:t>
      </w:r>
      <w:r>
        <w:rPr/>
        <w:t>(3), 499–510. https://doi.org/10.1207/s15327906mbr2603_7</w:t>
      </w:r>
    </w:p>
    <w:p>
      <w:pPr>
        <w:ind w:left="720" w:hanging="720"/>
      </w:pPr>
      <w:r>
        <w:rPr/>
        <w:t xml:space="preserve">Hair, J. F., Black, W. C., Babin, B. J., &amp; Anderson, R. E. (2019). </w:t>
      </w:r>
      <w:r>
        <w:rPr>
          <w:i/>
        </w:rPr>
        <w:t>Multivariate data analysis</w:t>
      </w:r>
      <w:r>
        <w:rPr/>
        <w:t xml:space="preserve"> (8th ed.). Cengage Learning.</w:t>
      </w:r>
    </w:p>
    <w:p>
      <w:pPr>
        <w:ind w:left="720" w:hanging="720"/>
      </w:pPr>
      <w:r>
        <w:rPr/>
        <w:t xml:space="preserve">Hertzog, M. A. (2008). Considerations in determining sample size for pilot studies. </w:t>
      </w:r>
      <w:r>
        <w:rPr>
          <w:i/>
        </w:rPr>
        <w:t>Research in Nursing &amp; Health, 31</w:t>
      </w:r>
      <w:r>
        <w:rPr/>
        <w:t>(2), 180–191. https://doi.org/10.1002/nur.20247</w:t>
      </w:r>
    </w:p>
    <w:p>
      <w:pPr>
        <w:ind w:left="720" w:hanging="720"/>
      </w:pPr>
      <w:r>
        <w:rPr/>
        <w:t xml:space="preserve">Ledgerwood, J. (1999). </w:t>
      </w:r>
      <w:r>
        <w:rPr>
          <w:i/>
        </w:rPr>
        <w:t>Microfinance handbook: An institutional and financial perspective</w:t>
      </w:r>
      <w:r>
        <w:rPr/>
        <w:t>. The World Bank.</w:t>
      </w:r>
    </w:p>
    <w:p>
      <w:pPr>
        <w:ind w:left="720" w:hanging="720"/>
      </w:pPr>
      <w:r>
        <w:rPr/>
        <w:t xml:space="preserve">Likert, R. (1932). A technique for the measurement of attitudes. </w:t>
      </w:r>
      <w:r>
        <w:rPr>
          <w:i/>
        </w:rPr>
        <w:t>Archives of Psychology, 22</w:t>
      </w:r>
      <w:r>
        <w:rPr/>
        <w:t>(140), 1–55.</w:t>
      </w:r>
    </w:p>
    <w:p>
      <w:pPr>
        <w:ind w:left="720" w:hanging="720"/>
      </w:pPr>
      <w:r>
        <w:rPr/>
        <w:t xml:space="preserve">Lynn, M. R. (1986). Determination and quantification of content validity. </w:t>
      </w:r>
      <w:r>
        <w:rPr>
          <w:i/>
        </w:rPr>
        <w:t>Nursing Research, 35</w:t>
      </w:r>
      <w:r>
        <w:rPr/>
        <w:t>(6), 382–386.</w:t>
      </w:r>
    </w:p>
    <w:p>
      <w:pPr>
        <w:ind w:left="720" w:hanging="720"/>
      </w:pPr>
      <w:r>
        <w:rPr/>
        <w:t xml:space="preserve">Nunnally, J. C., &amp; Bernstein, I. H. (1994). </w:t>
      </w:r>
      <w:r>
        <w:rPr>
          <w:i/>
        </w:rPr>
        <w:t>Psychometric theory</w:t>
      </w:r>
      <w:r>
        <w:rPr/>
        <w:t xml:space="preserve"> (3rd ed.). McGraw-Hill.</w:t>
      </w:r>
    </w:p>
    <w:p>
      <w:pPr>
        <w:ind w:left="720" w:hanging="720"/>
      </w:pPr>
      <w:r>
        <w:rPr/>
        <w:t xml:space="preserve">Podsakoff, P. M., MacKenzie, S. B., Lee, J.-Y., &amp; Podsakoff, N. P. (2003). Common method biases in behavioral research: A critical review of the literature and recommended remedies. </w:t>
      </w:r>
      <w:r>
        <w:rPr>
          <w:i/>
        </w:rPr>
        <w:t>Journal of Applied Psychology, 88</w:t>
      </w:r>
      <w:r>
        <w:rPr/>
        <w:t>(5), 879–903. https://doi.org/10.1037/0021-9010.88.5.879</w:t>
      </w:r>
    </w:p>
    <w:p>
      <w:pPr>
        <w:ind w:left="720" w:hanging="720"/>
      </w:pPr>
      <w:r>
        <w:rPr/>
        <w:t xml:space="preserve">Saunders, M. N. K., Lewis, P., &amp; Thornhill, A. (2019). </w:t>
      </w:r>
      <w:r>
        <w:rPr>
          <w:i/>
        </w:rPr>
        <w:t>Research methods for business students</w:t>
      </w:r>
      <w:r>
        <w:rPr/>
        <w:t xml:space="preserve"> (8th ed.). Pearson Education.</w:t>
      </w:r>
    </w:p>
    <w:p>
      <w:pPr>
        <w:ind w:left="720" w:hanging="720"/>
      </w:pPr>
      <w:r>
        <w:rPr/>
        <w:t xml:space="preserve">Sekaran, U., &amp; Bougie, R. (2016). </w:t>
      </w:r>
      <w:r>
        <w:rPr>
          <w:i/>
        </w:rPr>
        <w:t>Research methods for business: A skill-building approach</w:t>
      </w:r>
      <w:r>
        <w:rPr/>
        <w:t xml:space="preserve"> (7th ed.). John Wiley &amp; Sons.</w:t>
      </w:r>
    </w:p>
    <w:p>
      <w:pPr>
        <w:ind w:left="720" w:hanging="720"/>
      </w:pPr>
      <w:r>
        <w:rPr/>
        <w:t xml:space="preserve">Tabachnick, B. G., &amp; Fidell, L. S. (2019). </w:t>
      </w:r>
      <w:r>
        <w:rPr>
          <w:i/>
        </w:rPr>
        <w:t>Using multivariate statistics</w:t>
      </w:r>
      <w:r>
        <w:rPr/>
        <w:t xml:space="preserve"> (7th ed.). Pearson.</w:t>
      </w:r>
    </w:p>
    <w:p>
      <w:pPr>
        <w:ind w:left="720" w:hanging="720"/>
      </w:pPr>
      <w:r>
        <w:rPr/>
        <w:t xml:space="preserve">van Teijlingen, E., &amp; Hundley, V. (2001). The importance of pilot studies. </w:t>
      </w:r>
      <w:r>
        <w:rPr>
          <w:i/>
        </w:rPr>
        <w:t>Social Research Update, 35</w:t>
      </w:r>
      <w:r>
        <w:rPr/>
        <w:t>. University of Surrey.</w:t>
      </w:r>
    </w:p>
    <w:p>
      <w:pPr>
        <w:ind w:left="720" w:hanging="720"/>
      </w:pPr>
      <w:r>
        <w:rPr/>
        <w:t xml:space="preserve">Venkatraman, N., &amp; Ramanujam, V. (1986). Measurement of business performance in strategy research: A comparison of approaches. </w:t>
      </w:r>
      <w:r>
        <w:rPr>
          <w:i/>
        </w:rPr>
        <w:t>Academy of Management Review, 11</w:t>
      </w:r>
      <w:r>
        <w:rPr/>
        <w:t>(4), 801–814. https://doi.org/10.5465/amr.1986.4283976</w:t>
      </w:r>
    </w:p>
    <w:p>
      <w:pPr>
        <w:ind w:left="720" w:hanging="720"/>
      </w:pPr>
      <w:r>
        <w:rPr/>
        <w:t xml:space="preserve">Wall, T. D., Michie, J., Patterson, M., Wood, S. J., Sheehan, M., Clegg, C. W., &amp; West, M. (2004). On the validity of subjective measures of company performance. </w:t>
      </w:r>
      <w:r>
        <w:rPr>
          <w:i/>
        </w:rPr>
        <w:t>Personnel Psychology, 57</w:t>
      </w:r>
      <w:r>
        <w:rPr/>
        <w:t>(1), 95–118. https://doi.org/10.1111/j.1744-6570.2004.tb02485.x</w:t>
      </w:r>
    </w:p>
    <w:p>
      <w:pPr>
        <w:ind w:left="720" w:hanging="720"/>
      </w:pPr>
      <w:r>
        <w:rPr/>
        <w:t xml:space="preserve">Yamane, T. (1967). </w:t>
      </w:r>
      <w:r>
        <w:rPr>
          <w:i/>
        </w:rPr>
        <w:t>Statistics: An introductory analysis</w:t>
      </w:r>
      <w:r>
        <w:rPr/>
        <w:t xml:space="preserve"> (2nd ed.). Harper &amp; Row.</w:t>
      </w:r>
    </w:p>
    <w:p>
      <w:r>
        <w:br w:type="page"/>
      </w:r>
    </w:p>
    <w:p>
      <w:pPr>
        <w:pStyle w:val="Heading1"/>
        <w:jc w:val="center"/>
      </w:pPr>
      <w:r>
        <w:t>METHODOLOGY QUALITY CHECK</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40"/>
            </w:pPr>
            <w:r>
              <w:rPr>
                <w:b/>
                <w:sz w:val="20"/>
              </w:rPr>
              <w:t>Item</w:t>
            </w:r>
          </w:p>
        </w:tc>
        <w:tc>
          <w:tcPr>
            <w:tcW w:type="dxa" w:w="4680"/>
          </w:tcPr>
          <w:p>
            <w:pPr>
              <w:spacing w:line="240" w:lineRule="auto" w:after="40"/>
            </w:pPr>
            <w:r>
              <w:rPr>
                <w:b/>
                <w:sz w:val="20"/>
              </w:rPr>
              <w:t>Position Adopted</w:t>
            </w:r>
          </w:p>
        </w:tc>
      </w:tr>
      <w:tr>
        <w:tc>
          <w:tcPr>
            <w:tcW w:type="dxa" w:w="4680"/>
          </w:tcPr>
          <w:p>
            <w:pPr>
              <w:spacing w:line="240" w:lineRule="auto" w:after="40"/>
            </w:pPr>
            <w:r>
              <w:rPr>
                <w:sz w:val="20"/>
              </w:rPr>
              <w:t>Research philosophy</w:t>
            </w:r>
          </w:p>
        </w:tc>
        <w:tc>
          <w:tcPr>
            <w:tcW w:type="dxa" w:w="4680"/>
          </w:tcPr>
          <w:p>
            <w:pPr>
              <w:spacing w:line="240" w:lineRule="auto" w:after="40"/>
            </w:pPr>
            <w:r>
              <w:rPr>
                <w:sz w:val="20"/>
              </w:rPr>
              <w:t>Positivism (interpretivism, pragmatism and critical realism considered and rejected with reasons)</w:t>
            </w:r>
          </w:p>
        </w:tc>
      </w:tr>
      <w:tr>
        <w:tc>
          <w:tcPr>
            <w:tcW w:type="dxa" w:w="4680"/>
          </w:tcPr>
          <w:p>
            <w:pPr>
              <w:spacing w:line="240" w:lineRule="auto" w:after="40"/>
            </w:pPr>
            <w:r>
              <w:rPr>
                <w:sz w:val="20"/>
              </w:rPr>
              <w:t>Research approach</w:t>
            </w:r>
          </w:p>
        </w:tc>
        <w:tc>
          <w:tcPr>
            <w:tcW w:type="dxa" w:w="4680"/>
          </w:tcPr>
          <w:p>
            <w:pPr>
              <w:spacing w:line="240" w:lineRule="auto" w:after="40"/>
            </w:pPr>
            <w:r>
              <w:rPr>
                <w:sz w:val="20"/>
              </w:rPr>
              <w:t>Deductive, testing H01–H03</w:t>
            </w:r>
          </w:p>
        </w:tc>
      </w:tr>
      <w:tr>
        <w:tc>
          <w:tcPr>
            <w:tcW w:type="dxa" w:w="4680"/>
          </w:tcPr>
          <w:p>
            <w:pPr>
              <w:spacing w:line="240" w:lineRule="auto" w:after="40"/>
            </w:pPr>
            <w:r>
              <w:rPr>
                <w:sz w:val="20"/>
              </w:rPr>
              <w:t>Research strategy</w:t>
            </w:r>
          </w:p>
        </w:tc>
        <w:tc>
          <w:tcPr>
            <w:tcW w:type="dxa" w:w="4680"/>
          </w:tcPr>
          <w:p>
            <w:pPr>
              <w:spacing w:line="240" w:lineRule="auto" w:after="40"/>
            </w:pPr>
            <w:r>
              <w:rPr>
                <w:sz w:val="20"/>
              </w:rPr>
              <w:t>Survey (structured questionnaire), supplemented by published secondary data</w:t>
            </w:r>
          </w:p>
        </w:tc>
      </w:tr>
      <w:tr>
        <w:tc>
          <w:tcPr>
            <w:tcW w:type="dxa" w:w="4680"/>
          </w:tcPr>
          <w:p>
            <w:pPr>
              <w:spacing w:line="240" w:lineRule="auto" w:after="40"/>
            </w:pPr>
            <w:r>
              <w:rPr>
                <w:sz w:val="20"/>
              </w:rPr>
              <w:t>Research design</w:t>
            </w:r>
          </w:p>
        </w:tc>
        <w:tc>
          <w:tcPr>
            <w:tcW w:type="dxa" w:w="4680"/>
          </w:tcPr>
          <w:p>
            <w:pPr>
              <w:spacing w:line="240" w:lineRule="auto" w:after="40"/>
            </w:pPr>
            <w:r>
              <w:rPr>
                <w:sz w:val="20"/>
              </w:rPr>
              <w:t>Explanatory design implemented through a cross-sectional survey, with a descriptive component</w:t>
            </w:r>
          </w:p>
        </w:tc>
      </w:tr>
      <w:tr>
        <w:tc>
          <w:tcPr>
            <w:tcW w:type="dxa" w:w="4680"/>
          </w:tcPr>
          <w:p>
            <w:pPr>
              <w:spacing w:line="240" w:lineRule="auto" w:after="40"/>
            </w:pPr>
            <w:r>
              <w:rPr>
                <w:sz w:val="20"/>
              </w:rPr>
              <w:t>Time horizon</w:t>
            </w:r>
          </w:p>
        </w:tc>
        <w:tc>
          <w:tcPr>
            <w:tcW w:type="dxa" w:w="4680"/>
          </w:tcPr>
          <w:p>
            <w:pPr>
              <w:spacing w:line="240" w:lineRule="auto" w:after="40"/>
            </w:pPr>
            <w:r>
              <w:rPr>
                <w:sz w:val="20"/>
              </w:rPr>
              <w:t>Cross-sectional (single collection window; reference period 2023–2025)</w:t>
            </w:r>
          </w:p>
        </w:tc>
      </w:tr>
      <w:tr>
        <w:tc>
          <w:tcPr>
            <w:tcW w:type="dxa" w:w="4680"/>
          </w:tcPr>
          <w:p>
            <w:pPr>
              <w:spacing w:line="240" w:lineRule="auto" w:after="40"/>
            </w:pPr>
            <w:r>
              <w:rPr>
                <w:sz w:val="20"/>
              </w:rPr>
              <w:t>Population</w:t>
            </w:r>
          </w:p>
        </w:tc>
        <w:tc>
          <w:tcPr>
            <w:tcW w:type="dxa" w:w="4680"/>
          </w:tcPr>
          <w:p>
            <w:pPr>
              <w:spacing w:line="240" w:lineRule="auto" w:after="40"/>
            </w:pPr>
            <w:r>
              <w:rPr>
                <w:sz w:val="20"/>
              </w:rPr>
              <w:t>Credit, loan, risk, recovery, finance and management staff of Bank of Zambia-licensed MFIs operating in Lusaka</w:t>
            </w:r>
          </w:p>
        </w:tc>
      </w:tr>
      <w:tr>
        <w:tc>
          <w:tcPr>
            <w:tcW w:type="dxa" w:w="4680"/>
          </w:tcPr>
          <w:p>
            <w:pPr>
              <w:spacing w:line="240" w:lineRule="auto" w:after="40"/>
            </w:pPr>
            <w:r>
              <w:rPr>
                <w:sz w:val="20"/>
              </w:rPr>
              <w:t>Sampling technique</w:t>
            </w:r>
          </w:p>
        </w:tc>
        <w:tc>
          <w:tcPr>
            <w:tcW w:type="dxa" w:w="4680"/>
          </w:tcPr>
          <w:p>
            <w:pPr>
              <w:spacing w:line="240" w:lineRule="auto" w:after="40"/>
            </w:pPr>
            <w:r>
              <w:rPr>
                <w:sz w:val="20"/>
              </w:rPr>
              <w:t>Two-stage: census or purposive selection of MFIs, then proportionate stratified random sampling by job role; Yamane formula once N is known; minimum of 74 usable responses (Green, 1991)</w:t>
            </w:r>
          </w:p>
        </w:tc>
      </w:tr>
      <w:tr>
        <w:tc>
          <w:tcPr>
            <w:tcW w:type="dxa" w:w="4680"/>
          </w:tcPr>
          <w:p>
            <w:pPr>
              <w:spacing w:line="240" w:lineRule="auto" w:after="40"/>
            </w:pPr>
            <w:r>
              <w:rPr>
                <w:sz w:val="20"/>
              </w:rPr>
              <w:t>Main data collection instrument</w:t>
            </w:r>
          </w:p>
        </w:tc>
        <w:tc>
          <w:tcPr>
            <w:tcW w:type="dxa" w:w="4680"/>
          </w:tcPr>
          <w:p>
            <w:pPr>
              <w:spacing w:line="240" w:lineRule="auto" w:after="40"/>
            </w:pPr>
            <w:r>
              <w:rPr>
                <w:sz w:val="20"/>
              </w:rPr>
              <w:t>Structured five-section questionnaire, five-point Likert scale</w:t>
            </w:r>
          </w:p>
        </w:tc>
      </w:tr>
      <w:tr>
        <w:tc>
          <w:tcPr>
            <w:tcW w:type="dxa" w:w="4680"/>
          </w:tcPr>
          <w:p>
            <w:pPr>
              <w:spacing w:line="240" w:lineRule="auto" w:after="40"/>
            </w:pPr>
            <w:r>
              <w:rPr>
                <w:sz w:val="20"/>
              </w:rPr>
              <w:t>Main data analysis techniques</w:t>
            </w:r>
          </w:p>
        </w:tc>
        <w:tc>
          <w:tcPr>
            <w:tcW w:type="dxa" w:w="4680"/>
          </w:tcPr>
          <w:p>
            <w:pPr>
              <w:spacing w:line="240" w:lineRule="auto" w:after="40"/>
            </w:pPr>
            <w:r>
              <w:rPr>
                <w:sz w:val="20"/>
              </w:rPr>
              <w:t>Descriptive statistics, Pearson correlation, OLS multiple regression with diagnostic tests (IBM SPSS Statistics); Cronbach's alpha; exploratory factor analysis</w:t>
            </w:r>
          </w:p>
        </w:tc>
      </w:tr>
      <w:tr>
        <w:tc>
          <w:tcPr>
            <w:tcW w:type="dxa" w:w="4680"/>
          </w:tcPr>
          <w:p>
            <w:pPr>
              <w:spacing w:line="240" w:lineRule="auto" w:after="40"/>
            </w:pPr>
            <w:r>
              <w:rPr>
                <w:sz w:val="20"/>
              </w:rPr>
              <w:t>Independent variables</w:t>
            </w:r>
          </w:p>
        </w:tc>
        <w:tc>
          <w:tcPr>
            <w:tcW w:type="dxa" w:w="4680"/>
          </w:tcPr>
          <w:p>
            <w:pPr>
              <w:spacing w:line="240" w:lineRule="auto" w:after="40"/>
            </w:pPr>
            <w:r>
              <w:rPr>
                <w:sz w:val="20"/>
              </w:rPr>
              <w:t>Credit assessment strategies; loan monitoring strategies; loan recovery strategies</w:t>
            </w:r>
          </w:p>
        </w:tc>
      </w:tr>
      <w:tr>
        <w:tc>
          <w:tcPr>
            <w:tcW w:type="dxa" w:w="4680"/>
          </w:tcPr>
          <w:p>
            <w:pPr>
              <w:spacing w:line="240" w:lineRule="auto" w:after="40"/>
            </w:pPr>
            <w:r>
              <w:rPr>
                <w:sz w:val="20"/>
              </w:rPr>
              <w:t>Dependent variable</w:t>
            </w:r>
          </w:p>
        </w:tc>
        <w:tc>
          <w:tcPr>
            <w:tcW w:type="dxa" w:w="4680"/>
          </w:tcPr>
          <w:p>
            <w:pPr>
              <w:spacing w:line="240" w:lineRule="auto" w:after="40"/>
            </w:pPr>
            <w:r>
              <w:rPr>
                <w:sz w:val="20"/>
              </w:rPr>
              <w:t>Financial performance (profitability, ROA, ROE, portfolio quality, liquidity, loan-loss provisions)</w:t>
            </w:r>
          </w:p>
        </w:tc>
      </w:tr>
      <w:tr>
        <w:tc>
          <w:tcPr>
            <w:tcW w:type="dxa" w:w="4680"/>
          </w:tcPr>
          <w:p>
            <w:pPr>
              <w:spacing w:line="240" w:lineRule="auto" w:after="40"/>
            </w:pPr>
            <w:r>
              <w:rPr>
                <w:sz w:val="20"/>
              </w:rPr>
              <w:t>Regression model</w:t>
            </w:r>
          </w:p>
        </w:tc>
        <w:tc>
          <w:tcPr>
            <w:tcW w:type="dxa" w:w="4680"/>
          </w:tcPr>
          <w:p>
            <w:pPr>
              <w:spacing w:line="240" w:lineRule="auto" w:after="40"/>
            </w:pPr>
            <w:r>
              <w:rPr>
                <w:sz w:val="20"/>
              </w:rPr>
              <w:t>FP = β0 + β1CA + β2LM + β3LR + ε</w:t>
            </w:r>
          </w:p>
        </w:tc>
      </w:tr>
      <w:tr>
        <w:tc>
          <w:tcPr>
            <w:tcW w:type="dxa" w:w="4680"/>
          </w:tcPr>
          <w:p>
            <w:pPr>
              <w:spacing w:line="240" w:lineRule="auto" w:after="40"/>
            </w:pPr>
            <w:r>
              <w:rPr>
                <w:sz w:val="20"/>
              </w:rPr>
              <w:t>Alignment with Assignment One</w:t>
            </w:r>
          </w:p>
        </w:tc>
        <w:tc>
          <w:tcPr>
            <w:tcW w:type="dxa" w:w="4680"/>
          </w:tcPr>
          <w:p>
            <w:pPr>
              <w:spacing w:line="240" w:lineRule="auto" w:after="40"/>
            </w:pPr>
            <w:r>
              <w:rPr>
                <w:sz w:val="20"/>
              </w:rPr>
              <w:t>Same topic, problem, objectives, research questions and variables; repayment enforcement is captured within loan recovery</w:t>
            </w:r>
          </w:p>
        </w:tc>
      </w:tr>
    </w:tbl>
    <w:p/>
    <w:p>
      <w:pPr>
        <w:jc w:val="both"/>
      </w:pPr>
      <w:r>
        <w:rPr>
          <w:b/>
        </w:rPr>
        <w:t>Information the researcher must confirm before final submission:</w:t>
      </w:r>
    </w:p>
    <w:p>
      <w:pPr>
        <w:ind w:left="720" w:hanging="360"/>
      </w:pPr>
      <w:r>
        <w:rPr/>
        <w:t>1. The number of Bank of Zambia-licensed MFIs operating in Lusaka (from the current Bank of Zambia register) and the number of eligible staff, so that N, n and the stratum allocations can be calculated and inserted in Section 3.6.</w:t>
      </w:r>
    </w:p>
    <w:p>
      <w:pPr>
        <w:ind w:left="720" w:hanging="360"/>
      </w:pPr>
      <w:r>
        <w:rPr/>
        <w:t>2. That the theories named in the Chapter Two theoretical framework are named explicitly in Sections 3.0 and 3.2. This chapter refers to them generically to avoid contradicting Assignment One.</w:t>
      </w:r>
    </w:p>
    <w:p>
      <w:pPr>
        <w:ind w:left="720" w:hanging="360"/>
      </w:pPr>
      <w:r>
        <w:rPr/>
        <w:t>3. Whether hypotheses were stated in Assignment One. If they were, H01–H03 here should match their exact wording.</w:t>
      </w:r>
    </w:p>
    <w:p>
      <w:pPr>
        <w:ind w:left="720" w:hanging="360"/>
      </w:pPr>
      <w:r>
        <w:rPr/>
        <w:t>4. The name of the ZCAS ethics approving body and any ZCAS-specific methodology template or heading order.</w:t>
      </w:r>
    </w:p>
    <w:p>
      <w:pPr>
        <w:ind w:left="720" w:hanging="360"/>
      </w:pPr>
      <w:r>
        <w:rPr/>
        <w:t>5. The edition of each methodology textbook actually consulted; adjust the editions and years in the reference list if different.</w:t>
      </w:r>
    </w:p>
    <w:p>
      <w:pPr>
        <w:ind w:left="720" w:hanging="360"/>
      </w:pPr>
      <w:r>
        <w:rPr/>
        <w:t>6. Whether any MFI will grant access to institution-level financial statements. Section 3.7.2 should be updated only if written permission is obtained.</w:t>
      </w:r>
    </w:p>
    <w:p>
      <w:pPr>
        <w:ind w:left="720" w:hanging="360"/>
      </w:pPr>
      <w:r>
        <w:rPr/>
        <w:t>7. The final word count after any insertions; the target is 4,500–5,500 words, excluding references and this quality check.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imes New Roman" w:hAnsi="Times New Roman" w:cs="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before="0"/>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before="0"/>
      <w:contextualSpacing/>
    </w:pPr>
    <w:rPr>
      <w:rFonts w:ascii="Times New Roman" w:hAnsi="Times New Roman" w:cs="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