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1e6641"/>
          <w:sz w:val="32"/>
          <w:szCs w:val="32"/>
        </w:rPr>
        <w:t xml:space="preserve">Greencoat Nursery CIC</w:t>
      </w:r>
    </w:p>
    <w:p>
      <w:pPr>
        <w:spacing w:before="0" w:after="240"/>
        <w:jc w:val="center"/>
      </w:pPr>
      <w:r>
        <w:rPr>
          <w:rFonts w:ascii="Calibri" w:cs="Calibri" w:eastAsia="Calibri" w:hAnsi="Calibri"/>
          <w:b/>
          <w:bCs/>
          <w:sz w:val="28"/>
          <w:szCs w:val="28"/>
        </w:rPr>
        <w:t xml:space="preserve">Key Person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Policy reference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GNC-KP-001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All sites: Sparkhill · Bearwood · Billesley 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Statutory basis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EYFS Statutory Framework 2024, paragraphs 3.30–3.33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Adopted</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March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Review due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March 2027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Policy owner</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Taz Khan, Director</w:t>
            </w:r>
          </w:p>
        </w:tc>
      </w:tr>
    </w:tbl>
    <w:p>
      <w:pPr>
        <w:spacing w:before="80" w:after="0"/>
      </w:pPr>
      <w:r>
        <w:t xml:space="preserve"/>
      </w:r>
    </w:p>
    <w:p>
      <w:pPr>
        <w:pStyle w:val="Heading1"/>
        <w:pBdr>
          <w:bottom w:val="single" w:color="1e6641" w:sz="6" w:space="1"/>
        </w:pBdr>
        <w:spacing w:before="280" w:after="80"/>
      </w:pPr>
      <w:r>
        <w:rPr>
          <w:rFonts w:ascii="Calibri" w:cs="Calibri" w:eastAsia="Calibri" w:hAnsi="Calibri"/>
          <w:b/>
          <w:bCs/>
          <w:color w:val="1e6641"/>
          <w:sz w:val="26"/>
          <w:szCs w:val="26"/>
        </w:rPr>
        <w:t xml:space="preserve">1.  Purpose and Statutory Basis</w:t>
      </w:r>
    </w:p>
    <w:p>
      <w:pPr>
        <w:spacing w:before="80" w:after="80"/>
        <w:jc w:val="both"/>
      </w:pPr>
      <w:r>
        <w:rPr>
          <w:rFonts w:ascii="Calibri" w:cs="Calibri" w:eastAsia="Calibri" w:hAnsi="Calibri"/>
          <w:sz w:val="22"/>
          <w:szCs w:val="22"/>
        </w:rPr>
        <w:t xml:space="preserve">Greencoat Nursery CIC operates a key person system in accordance with the requirements of the Early Years Foundation Stage (EYFS) Statutory Framework 2024. Paragraphs 3.30 to 3.33 of the framework require that each child is assigned a key person and that this arrangement is explained to parents.</w:t>
      </w:r>
    </w:p>
    <w:p>
      <w:pPr>
        <w:spacing w:before="80" w:after="0"/>
      </w:pPr>
      <w:r>
        <w:t xml:space="preserve"/>
      </w:r>
    </w:p>
    <w:p>
      <w:pPr>
        <w:spacing w:before="80" w:after="80"/>
        <w:jc w:val="both"/>
      </w:pPr>
      <w:r>
        <w:rPr>
          <w:rFonts w:ascii="Calibri" w:cs="Calibri" w:eastAsia="Calibri" w:hAnsi="Calibri"/>
          <w:sz w:val="22"/>
          <w:szCs w:val="22"/>
        </w:rPr>
        <w:t xml:space="preserve">The key person system is not an optional feature of our provision — it is a legal requirement. This policy sets out how Greencoat Nursery CIC implements and maintains the key person approach across all three sites, ensuring that every child has a consistent, warm and responsive relationship with a named practitioner who knows them and their family well.</w:t>
      </w:r>
    </w:p>
    <w:p>
      <w:pPr>
        <w:pStyle w:val="Heading1"/>
        <w:pBdr>
          <w:bottom w:val="single" w:color="1e6641" w:sz="6" w:space="1"/>
        </w:pBdr>
        <w:spacing w:before="280" w:after="80"/>
      </w:pPr>
      <w:r>
        <w:rPr>
          <w:rFonts w:ascii="Calibri" w:cs="Calibri" w:eastAsia="Calibri" w:hAnsi="Calibri"/>
          <w:b/>
          <w:bCs/>
          <w:color w:val="1e6641"/>
          <w:sz w:val="26"/>
          <w:szCs w:val="26"/>
        </w:rPr>
        <w:t xml:space="preserve">2.  What a Key Person Does</w:t>
      </w:r>
    </w:p>
    <w:p>
      <w:pPr>
        <w:spacing w:before="80" w:after="80"/>
        <w:jc w:val="both"/>
      </w:pPr>
      <w:r>
        <w:rPr>
          <w:rFonts w:ascii="Calibri" w:cs="Calibri" w:eastAsia="Calibri" w:hAnsi="Calibri"/>
          <w:sz w:val="22"/>
          <w:szCs w:val="22"/>
        </w:rPr>
        <w:t xml:space="preserve">The key person is responsible for the following in relation to their allocated children:</w:t>
      </w:r>
    </w:p>
    <w:p>
      <w:pPr>
        <w:pStyle w:val="ListParagraph"/>
        <w:numPr>
          <w:ilvl w:val="0"/>
          <w:numId w:val="2"/>
        </w:numPr>
        <w:spacing w:before="50" w:after="50"/>
        <w:jc w:val="both"/>
      </w:pPr>
      <w:r>
        <w:rPr>
          <w:rFonts w:ascii="Calibri" w:cs="Calibri" w:eastAsia="Calibri" w:hAnsi="Calibri"/>
          <w:sz w:val="22"/>
          <w:szCs w:val="22"/>
        </w:rPr>
        <w:t xml:space="preserve">Building a secure, warm and consistent relationship with each allocated child and their family, from the point of initial contact through to transition.</w:t>
      </w:r>
    </w:p>
    <w:p>
      <w:pPr>
        <w:pStyle w:val="ListParagraph"/>
        <w:numPr>
          <w:ilvl w:val="0"/>
          <w:numId w:val="2"/>
        </w:numPr>
        <w:spacing w:before="50" w:after="50"/>
        <w:jc w:val="both"/>
      </w:pPr>
      <w:r>
        <w:rPr>
          <w:rFonts w:ascii="Calibri" w:cs="Calibri" w:eastAsia="Calibri" w:hAnsi="Calibri"/>
          <w:sz w:val="22"/>
          <w:szCs w:val="22"/>
        </w:rPr>
        <w:t xml:space="preserve">Carrying out observations and assessments of each allocated child’s development, learning and wellbeing, and contributing to their developmental records.</w:t>
      </w:r>
    </w:p>
    <w:p>
      <w:pPr>
        <w:pStyle w:val="ListParagraph"/>
        <w:numPr>
          <w:ilvl w:val="0"/>
          <w:numId w:val="2"/>
        </w:numPr>
        <w:spacing w:before="50" w:after="50"/>
        <w:jc w:val="both"/>
      </w:pPr>
      <w:r>
        <w:rPr>
          <w:rFonts w:ascii="Calibri" w:cs="Calibri" w:eastAsia="Calibri" w:hAnsi="Calibri"/>
          <w:sz w:val="22"/>
          <w:szCs w:val="22"/>
        </w:rPr>
        <w:t xml:space="preserve">Acting as the primary point of contact for the child’s parents and carers — sharing daily feedback, raising concerns, and communicating significant information in both directions.</w:t>
      </w:r>
    </w:p>
    <w:p>
      <w:pPr>
        <w:pStyle w:val="ListParagraph"/>
        <w:numPr>
          <w:ilvl w:val="0"/>
          <w:numId w:val="2"/>
        </w:numPr>
        <w:spacing w:before="50" w:after="50"/>
        <w:jc w:val="both"/>
      </w:pPr>
      <w:r>
        <w:rPr>
          <w:rFonts w:ascii="Calibri" w:cs="Calibri" w:eastAsia="Calibri" w:hAnsi="Calibri"/>
          <w:sz w:val="22"/>
          <w:szCs w:val="22"/>
        </w:rPr>
        <w:t xml:space="preserve">Responding to each allocated child’s individual emotional, physical and developmental needs throughout the day, including during routines such as mealtimes, rest periods and intimate care.</w:t>
      </w:r>
    </w:p>
    <w:p>
      <w:pPr>
        <w:pStyle w:val="ListParagraph"/>
        <w:numPr>
          <w:ilvl w:val="0"/>
          <w:numId w:val="2"/>
        </w:numPr>
        <w:spacing w:before="50" w:after="50"/>
        <w:jc w:val="both"/>
      </w:pPr>
      <w:r>
        <w:rPr>
          <w:rFonts w:ascii="Calibri" w:cs="Calibri" w:eastAsia="Calibri" w:hAnsi="Calibri"/>
          <w:sz w:val="22"/>
          <w:szCs w:val="22"/>
        </w:rPr>
        <w:t xml:space="preserve">Contributing to the planning and delivery of activities and experiences that are responsive to each allocated child’s interests, stage of development and next steps.</w:t>
      </w:r>
    </w:p>
    <w:p>
      <w:pPr>
        <w:pStyle w:val="ListParagraph"/>
        <w:numPr>
          <w:ilvl w:val="0"/>
          <w:numId w:val="2"/>
        </w:numPr>
        <w:spacing w:before="50" w:after="50"/>
        <w:jc w:val="both"/>
      </w:pPr>
      <w:r>
        <w:rPr>
          <w:rFonts w:ascii="Calibri" w:cs="Calibri" w:eastAsia="Calibri" w:hAnsi="Calibri"/>
          <w:sz w:val="22"/>
          <w:szCs w:val="22"/>
        </w:rPr>
        <w:t xml:space="preserve">Monitoring the welfare and attendance of allocated children and raising any concerns — including unexplained absences — with the site manager or DSL in accordance with the Safeguarding Policy and Absence Policy (Children).</w:t>
      </w:r>
    </w:p>
    <w:p>
      <w:pPr>
        <w:pStyle w:val="ListParagraph"/>
        <w:numPr>
          <w:ilvl w:val="0"/>
          <w:numId w:val="2"/>
        </w:numPr>
        <w:spacing w:before="50" w:after="50"/>
        <w:jc w:val="both"/>
      </w:pPr>
      <w:r>
        <w:rPr>
          <w:rFonts w:ascii="Calibri" w:cs="Calibri" w:eastAsia="Calibri" w:hAnsi="Calibri"/>
          <w:sz w:val="22"/>
          <w:szCs w:val="22"/>
        </w:rPr>
        <w:t xml:space="preserve">Completing and maintaining the child’s learning journey and any associated documentation, including EYFS Progress Checks at age two where relevant.</w:t>
      </w:r>
    </w:p>
    <w:p>
      <w:pPr>
        <w:pStyle w:val="ListParagraph"/>
        <w:numPr>
          <w:ilvl w:val="0"/>
          <w:numId w:val="2"/>
        </w:numPr>
        <w:spacing w:before="50" w:after="50"/>
        <w:jc w:val="both"/>
      </w:pPr>
      <w:r>
        <w:rPr>
          <w:rFonts w:ascii="Calibri" w:cs="Calibri" w:eastAsia="Calibri" w:hAnsi="Calibri"/>
          <w:sz w:val="22"/>
          <w:szCs w:val="22"/>
        </w:rPr>
        <w:t xml:space="preserve">Working with the SENCo (Sidra Begum) and the child’s parents where a child has, or may have, special educational needs or disabilities, and contributing to any support plans or Education, Health and Care Plan processes.</w:t>
      </w:r>
    </w:p>
    <w:p>
      <w:pPr>
        <w:pStyle w:val="ListParagraph"/>
        <w:numPr>
          <w:ilvl w:val="0"/>
          <w:numId w:val="2"/>
        </w:numPr>
        <w:spacing w:before="50" w:after="50"/>
        <w:jc w:val="both"/>
      </w:pPr>
      <w:r>
        <w:rPr>
          <w:rFonts w:ascii="Calibri" w:cs="Calibri" w:eastAsia="Calibri" w:hAnsi="Calibri"/>
          <w:sz w:val="22"/>
          <w:szCs w:val="22"/>
        </w:rPr>
        <w:t xml:space="preserve">Supporting the child’s transition between rooms, settings and on to school, in accordance with the Transitions Policy.</w:t>
      </w:r>
    </w:p>
    <w:p>
      <w:pPr>
        <w:spacing w:before="80" w:after="0"/>
      </w:pPr>
      <w:r>
        <w:t xml:space="preserve"/>
      </w:r>
    </w:p>
    <w:p>
      <w:pPr>
        <w:spacing w:before="80" w:after="80"/>
        <w:jc w:val="both"/>
      </w:pPr>
      <w:r>
        <w:rPr>
          <w:rFonts w:ascii="Calibri" w:cs="Calibri" w:eastAsia="Calibri" w:hAnsi="Calibri"/>
          <w:sz w:val="22"/>
          <w:szCs w:val="22"/>
        </w:rPr>
        <w:t xml:space="preserve">The key person must also be physically present for the child as much as operationally possible. Where a key person is absent, a named buddy or secondary key person ensures continuity of care.</w:t>
      </w:r>
    </w:p>
    <w:p>
      <w:pPr>
        <w:pStyle w:val="Heading1"/>
        <w:pBdr>
          <w:bottom w:val="single" w:color="1e6641" w:sz="6" w:space="1"/>
        </w:pBdr>
        <w:spacing w:before="280" w:after="80"/>
      </w:pPr>
      <w:r>
        <w:rPr>
          <w:rFonts w:ascii="Calibri" w:cs="Calibri" w:eastAsia="Calibri" w:hAnsi="Calibri"/>
          <w:b/>
          <w:bCs/>
          <w:color w:val="1e6641"/>
          <w:sz w:val="26"/>
          <w:szCs w:val="26"/>
        </w:rPr>
        <w:t xml:space="preserve">3.  Assignment of a Key Person</w:t>
      </w:r>
    </w:p>
    <w:p>
      <w:pPr>
        <w:spacing w:before="80" w:after="80"/>
        <w:jc w:val="both"/>
      </w:pPr>
      <w:r>
        <w:rPr>
          <w:rFonts w:ascii="Calibri" w:cs="Calibri" w:eastAsia="Calibri" w:hAnsi="Calibri"/>
          <w:sz w:val="22"/>
          <w:szCs w:val="22"/>
        </w:rPr>
        <w:t xml:space="preserve">Every child enrolled at Greencoat Nursery CIC is allocated a key person before or at the point of their first session. The site manager is responsible for making key person assignments, taking into account:</w:t>
      </w:r>
    </w:p>
    <w:p>
      <w:pPr>
        <w:pStyle w:val="ListParagraph"/>
        <w:numPr>
          <w:ilvl w:val="0"/>
          <w:numId w:val="2"/>
        </w:numPr>
        <w:spacing w:before="50" w:after="50"/>
        <w:jc w:val="both"/>
      </w:pPr>
      <w:r>
        <w:rPr>
          <w:rFonts w:ascii="Calibri" w:cs="Calibri" w:eastAsia="Calibri" w:hAnsi="Calibri"/>
          <w:sz w:val="22"/>
          <w:szCs w:val="22"/>
        </w:rPr>
        <w:t xml:space="preserve">The number of children already allocated to each practitioner.</w:t>
      </w:r>
    </w:p>
    <w:p>
      <w:pPr>
        <w:pStyle w:val="ListParagraph"/>
        <w:numPr>
          <w:ilvl w:val="0"/>
          <w:numId w:val="2"/>
        </w:numPr>
        <w:spacing w:before="50" w:after="50"/>
        <w:jc w:val="both"/>
      </w:pPr>
      <w:r>
        <w:rPr>
          <w:rFonts w:ascii="Calibri" w:cs="Calibri" w:eastAsia="Calibri" w:hAnsi="Calibri"/>
          <w:sz w:val="22"/>
          <w:szCs w:val="22"/>
        </w:rPr>
        <w:t xml:space="preserve">The compatibility of the child’s settling-in schedule with the key person’s working pattern.</w:t>
      </w:r>
    </w:p>
    <w:p>
      <w:pPr>
        <w:pStyle w:val="ListParagraph"/>
        <w:numPr>
          <w:ilvl w:val="0"/>
          <w:numId w:val="2"/>
        </w:numPr>
        <w:spacing w:before="50" w:after="50"/>
        <w:jc w:val="both"/>
      </w:pPr>
      <w:r>
        <w:rPr>
          <w:rFonts w:ascii="Calibri" w:cs="Calibri" w:eastAsia="Calibri" w:hAnsi="Calibri"/>
          <w:sz w:val="22"/>
          <w:szCs w:val="22"/>
        </w:rPr>
        <w:t xml:space="preserve">The age and developmental stage of the child and the practitioner’s relevant experience.</w:t>
      </w:r>
    </w:p>
    <w:p>
      <w:pPr>
        <w:pStyle w:val="ListParagraph"/>
        <w:numPr>
          <w:ilvl w:val="0"/>
          <w:numId w:val="2"/>
        </w:numPr>
        <w:spacing w:before="50" w:after="50"/>
        <w:jc w:val="both"/>
      </w:pPr>
      <w:r>
        <w:rPr>
          <w:rFonts w:ascii="Calibri" w:cs="Calibri" w:eastAsia="Calibri" w:hAnsi="Calibri"/>
          <w:sz w:val="22"/>
          <w:szCs w:val="22"/>
        </w:rPr>
        <w:t xml:space="preserve">Any continuity considerations for children transitioning between rooms within the nursery.</w:t>
      </w:r>
    </w:p>
    <w:p>
      <w:pPr>
        <w:spacing w:before="80" w:after="0"/>
      </w:pPr>
      <w:r>
        <w:t xml:space="preserve"/>
      </w:r>
    </w:p>
    <w:p>
      <w:pPr>
        <w:spacing w:before="80" w:after="80"/>
        <w:jc w:val="both"/>
      </w:pPr>
      <w:r>
        <w:rPr>
          <w:rFonts w:ascii="Calibri" w:cs="Calibri" w:eastAsia="Calibri" w:hAnsi="Calibri"/>
          <w:sz w:val="22"/>
          <w:szCs w:val="22"/>
        </w:rPr>
        <w:t xml:space="preserve">Key person assignments are communicated to parents and carers verbally and in writing at or before the start of the child’s first settling-in session. Parents are also informed of the buddy arrangement that applies during their key person’s absence.</w:t>
      </w:r>
    </w:p>
    <w:p>
      <w:pPr>
        <w:spacing w:before="80" w:after="0"/>
      </w:pPr>
      <w:r>
        <w:t xml:space="preserve"/>
      </w:r>
    </w:p>
    <w:p>
      <w:pPr>
        <w:spacing w:before="80" w:after="80"/>
        <w:jc w:val="both"/>
      </w:pPr>
      <w:r>
        <w:rPr>
          <w:rFonts w:ascii="Calibri" w:cs="Calibri" w:eastAsia="Calibri" w:hAnsi="Calibri"/>
          <w:sz w:val="22"/>
          <w:szCs w:val="22"/>
        </w:rPr>
        <w:t xml:space="preserve">Practitioners may hold key person responsibility for a maximum of a manageable caseload, as determined by the site manager in line with staff ratios and group sizes. Where a key person has an excessive caseload, the site manager will redistribute assignments.</w:t>
      </w:r>
    </w:p>
    <w:p>
      <w:pPr>
        <w:pStyle w:val="Heading1"/>
        <w:pBdr>
          <w:bottom w:val="single" w:sz="6" w:space="1" w:color="1e6641"/>
        </w:pBdr>
        <w:spacing w:before="280" w:after="100"/>
      </w:pPr>
      <w:r>
        <w:rPr>
          <w:rFonts w:ascii="Calibri" w:hAnsi="Calibri" w:cs="Calibri"/>
          <w:b/>
          <w:bCs/>
          <w:color w:val="1e6641"/>
          <w:sz w:val="26"/>
          <w:szCs w:val="26"/>
        </w:rPr>
        <w:t>4.  Key Person Caseload</w:t>
      </w:r>
    </w:p>
    <w:p>
      <w:pPr>
        <w:spacing w:before="80" w:after="80"/>
        <w:jc w:val="both"/>
        <w:rPr>
          <w:rFonts w:ascii="Calibri" w:hAnsi="Calibri" w:cs="Calibri"/>
          <w:sz w:val="22"/>
        </w:rPr>
      </w:pPr>
      <w:r>
        <w:rPr>
          <w:rFonts w:ascii="Calibri" w:hAnsi="Calibri" w:cs="Calibri"/>
          <w:sz w:val="22"/>
        </w:rPr>
        <w:t xml:space="preserve">There is no fixed maximum number of children a key person may hold. Caseloads are determined by the site manager based on each child’s booking pattern and the session structure at each site.</w:t>
      </w:r>
    </w:p>
    <w:p>
      <w:pPr>
        <w:spacing w:before="80" w:after="80"/>
        <w:jc w:val="both"/>
        <w:rPr>
          <w:rFonts w:ascii="Calibri" w:hAnsi="Calibri" w:cs="Calibri"/>
          <w:sz w:val="22"/>
        </w:rPr>
      </w:pPr>
      <w:r>
        <w:rPr>
          <w:rFonts w:ascii="Calibri" w:hAnsi="Calibri" w:cs="Calibri"/>
          <w:sz w:val="22"/>
        </w:rPr>
        <w:t xml:space="preserve">In practice, a practitioner in the preschool room may hold key person responsibility for a larger group than the statutory ratio would suggest when children attend across split sessions with little overlap. For example, a practitioner covering an 8am–8pm day may be the named key person for up to 16 children while remaining within the statutory 1:8 ratio at any one time. Where an Early Years Teacher or Level 6 practitioner is present and the enhanced 1:13 ratio applies, the key person caseload may reflect that arrangement accordingly.</w:t>
      </w:r>
    </w:p>
    <w:p>
      <w:pPr>
        <w:spacing w:before="80" w:after="80"/>
        <w:jc w:val="both"/>
        <w:rPr>
          <w:rFonts w:ascii="Calibri" w:hAnsi="Calibri" w:cs="Calibri"/>
          <w:sz w:val="22"/>
        </w:rPr>
      </w:pPr>
      <w:r>
        <w:rPr>
          <w:rFonts w:ascii="Calibri" w:hAnsi="Calibri" w:cs="Calibri"/>
          <w:sz w:val="22"/>
        </w:rPr>
        <w:t xml:space="preserve">The guiding principle is that every key person must be genuinely able to fulfil the responsibilities in Section 2 for each allocated child. Where the site manager considers that a caseload prevents meaningful key person practice — regardless of ratio compliance — assignments will be redistributed. Practitioners must raise any concerns about their capacity with the site manager promptly.</w:t>
      </w:r>
    </w:p>
    <w:p>
      <w:pPr>
        <w:spacing w:before="80" w:after="0"/>
      </w:pPr>
      <w:r>
        <w:t xml:space="preserve"/>
      </w:r>
    </w:p>
    <w:p>
      <w:pPr>
        <w:pStyle w:val="Heading1"/>
        <w:pBdr>
          <w:bottom w:val="single" w:color="1e6641" w:sz="6" w:space="1"/>
        </w:pBdr>
        <w:spacing w:before="280" w:after="80"/>
      </w:pPr>
      <w:r>
        <w:rPr>
          <w:rFonts w:ascii="Calibri" w:cs="Calibri" w:eastAsia="Calibri" w:hAnsi="Calibri"/>
          <w:b/>
          <w:bCs/>
          <w:color w:val="1e6641"/>
          <w:sz w:val="26"/>
          <w:szCs w:val="26"/>
        </w:rPr>
        <w:t xml:space="preserve">5.  Key Person Absence and Continuity</w:t>
      </w:r>
    </w:p>
    <w:p>
      <w:pPr>
        <w:spacing w:before="80" w:after="80"/>
        <w:jc w:val="both"/>
      </w:pPr>
      <w:r>
        <w:rPr>
          <w:rFonts w:ascii="Calibri" w:cs="Calibri" w:eastAsia="Calibri" w:hAnsi="Calibri"/>
          <w:sz w:val="22"/>
          <w:szCs w:val="22"/>
        </w:rPr>
        <w:t xml:space="preserve">Every key person has a designated buddy (secondary key person) who is familiar with each of the key person’s allocated children and can step in without disruption during planned and unplanned absence. The buddy arrangement is:</w:t>
      </w:r>
    </w:p>
    <w:p>
      <w:pPr>
        <w:pStyle w:val="ListParagraph"/>
        <w:numPr>
          <w:ilvl w:val="0"/>
          <w:numId w:val="2"/>
        </w:numPr>
        <w:spacing w:before="50" w:after="50"/>
        <w:jc w:val="both"/>
      </w:pPr>
      <w:r>
        <w:rPr>
          <w:rFonts w:ascii="Calibri" w:cs="Calibri" w:eastAsia="Calibri" w:hAnsi="Calibri"/>
          <w:sz w:val="22"/>
          <w:szCs w:val="22"/>
        </w:rPr>
        <w:t xml:space="preserve">Communicated to parents at induction so they are not surprised or concerned when the buddy provides care.</w:t>
      </w:r>
    </w:p>
    <w:p>
      <w:pPr>
        <w:pStyle w:val="ListParagraph"/>
        <w:numPr>
          <w:ilvl w:val="0"/>
          <w:numId w:val="2"/>
        </w:numPr>
        <w:spacing w:before="50" w:after="50"/>
        <w:jc w:val="both"/>
      </w:pPr>
      <w:r>
        <w:rPr>
          <w:rFonts w:ascii="Calibri" w:cs="Calibri" w:eastAsia="Calibri" w:hAnsi="Calibri"/>
          <w:sz w:val="22"/>
          <w:szCs w:val="22"/>
        </w:rPr>
        <w:t xml:space="preserve">Reviewed whenever there is a change in staffing to ensure it remains viable.</w:t>
      </w:r>
    </w:p>
    <w:p>
      <w:pPr>
        <w:pStyle w:val="ListParagraph"/>
        <w:numPr>
          <w:ilvl w:val="0"/>
          <w:numId w:val="2"/>
        </w:numPr>
        <w:spacing w:before="50" w:after="50"/>
        <w:jc w:val="both"/>
      </w:pPr>
      <w:r>
        <w:rPr>
          <w:rFonts w:ascii="Calibri" w:cs="Calibri" w:eastAsia="Calibri" w:hAnsi="Calibri"/>
          <w:sz w:val="22"/>
          <w:szCs w:val="22"/>
        </w:rPr>
        <w:t xml:space="preserve">Documented in the child’s registration records.</w:t>
      </w:r>
    </w:p>
    <w:p>
      <w:pPr>
        <w:spacing w:before="80" w:after="0"/>
      </w:pPr>
      <w:r>
        <w:t xml:space="preserve"/>
      </w:r>
    </w:p>
    <w:p>
      <w:pPr>
        <w:spacing w:before="80" w:after="80"/>
        <w:jc w:val="both"/>
      </w:pPr>
      <w:r>
        <w:rPr>
          <w:rFonts w:ascii="Calibri" w:cs="Calibri" w:eastAsia="Calibri" w:hAnsi="Calibri"/>
          <w:sz w:val="22"/>
          <w:szCs w:val="22"/>
        </w:rPr>
        <w:t xml:space="preserve">Where a key person is absent for an extended period (more than two consecutive weeks), the site manager will review whether a temporary or permanent key person reassignment is in the child’s best interests, taking into account the child’s age, stage of development and the strength of the existing relationship.</w:t>
      </w:r>
    </w:p>
    <w:p>
      <w:pPr>
        <w:pStyle w:val="Heading1"/>
        <w:pBdr>
          <w:bottom w:val="single" w:color="1e6641" w:sz="6" w:space="1"/>
        </w:pBdr>
        <w:spacing w:before="280" w:after="80"/>
      </w:pPr>
      <w:r>
        <w:rPr>
          <w:rFonts w:ascii="Calibri" w:cs="Calibri" w:eastAsia="Calibri" w:hAnsi="Calibri"/>
          <w:b/>
          <w:bCs/>
          <w:color w:val="1e6641"/>
          <w:sz w:val="26"/>
          <w:szCs w:val="26"/>
        </w:rPr>
        <w:t xml:space="preserve">6.  Changing a Key Person</w:t>
      </w:r>
    </w:p>
    <w:p>
      <w:pPr>
        <w:spacing w:before="80" w:after="80"/>
        <w:jc w:val="both"/>
      </w:pPr>
      <w:r>
        <w:rPr>
          <w:rFonts w:ascii="Calibri" w:cs="Calibri" w:eastAsia="Calibri" w:hAnsi="Calibri"/>
          <w:sz w:val="22"/>
          <w:szCs w:val="22"/>
        </w:rPr>
        <w:t xml:space="preserve">A child’s key person may change for a number of legitimate reasons, including:</w:t>
      </w:r>
    </w:p>
    <w:p>
      <w:pPr>
        <w:pStyle w:val="ListParagraph"/>
        <w:numPr>
          <w:ilvl w:val="0"/>
          <w:numId w:val="2"/>
        </w:numPr>
        <w:spacing w:before="50" w:after="50"/>
        <w:jc w:val="both"/>
      </w:pPr>
      <w:r>
        <w:rPr>
          <w:rFonts w:ascii="Calibri" w:cs="Calibri" w:eastAsia="Calibri" w:hAnsi="Calibri"/>
          <w:sz w:val="22"/>
          <w:szCs w:val="22"/>
        </w:rPr>
        <w:t xml:space="preserve">The key person leaving employment at Greencoat Nursery CIC.</w:t>
      </w:r>
    </w:p>
    <w:p>
      <w:pPr>
        <w:pStyle w:val="ListParagraph"/>
        <w:numPr>
          <w:ilvl w:val="0"/>
          <w:numId w:val="2"/>
        </w:numPr>
        <w:spacing w:before="50" w:after="50"/>
        <w:jc w:val="both"/>
      </w:pPr>
      <w:r>
        <w:rPr>
          <w:rFonts w:ascii="Calibri" w:cs="Calibri" w:eastAsia="Calibri" w:hAnsi="Calibri"/>
          <w:sz w:val="22"/>
          <w:szCs w:val="22"/>
        </w:rPr>
        <w:t xml:space="preserve">The child transitioning to a different room where a different practitioner takes responsibility.</w:t>
      </w:r>
    </w:p>
    <w:p>
      <w:pPr>
        <w:pStyle w:val="ListParagraph"/>
        <w:numPr>
          <w:ilvl w:val="0"/>
          <w:numId w:val="2"/>
        </w:numPr>
        <w:spacing w:before="50" w:after="50"/>
        <w:jc w:val="both"/>
      </w:pPr>
      <w:r>
        <w:rPr>
          <w:rFonts w:ascii="Calibri" w:cs="Calibri" w:eastAsia="Calibri" w:hAnsi="Calibri"/>
          <w:sz w:val="22"/>
          <w:szCs w:val="22"/>
        </w:rPr>
        <w:t xml:space="preserve">The existing relationship is not meeting the child’s needs, as identified through observation or parental feedback.</w:t>
      </w:r>
    </w:p>
    <w:p>
      <w:pPr>
        <w:pStyle w:val="ListParagraph"/>
        <w:numPr>
          <w:ilvl w:val="0"/>
          <w:numId w:val="2"/>
        </w:numPr>
        <w:spacing w:before="50" w:after="50"/>
        <w:jc w:val="both"/>
      </w:pPr>
      <w:r>
        <w:rPr>
          <w:rFonts w:ascii="Calibri" w:cs="Calibri" w:eastAsia="Calibri" w:hAnsi="Calibri"/>
          <w:sz w:val="22"/>
          <w:szCs w:val="22"/>
        </w:rPr>
        <w:t xml:space="preserve">A mutual agreement between the nursery, the key person and the family that a different practitioner would better serve the child.</w:t>
      </w:r>
    </w:p>
    <w:p>
      <w:pPr>
        <w:spacing w:before="80" w:after="0"/>
      </w:pPr>
      <w:r>
        <w:t xml:space="preserve"/>
      </w:r>
    </w:p>
    <w:p>
      <w:pPr>
        <w:spacing w:before="80" w:after="80"/>
        <w:jc w:val="both"/>
      </w:pPr>
      <w:r>
        <w:rPr>
          <w:rFonts w:ascii="Calibri" w:cs="Calibri" w:eastAsia="Calibri" w:hAnsi="Calibri"/>
          <w:sz w:val="22"/>
          <w:szCs w:val="22"/>
        </w:rPr>
        <w:t xml:space="preserve">Where a key person change is planned, it is managed as a supported transition: the outgoing and incoming key persons work alongside each other during a handover period, sharing developmental knowledge, the child’s learning journey and any specific care information. Parents are informed of the change in advance wherever possible and their views are sought.</w:t>
      </w:r>
    </w:p>
    <w:p>
      <w:pPr>
        <w:spacing w:before="80" w:after="0"/>
      </w:pPr>
      <w:r>
        <w:t xml:space="preserve"/>
      </w:r>
    </w:p>
    <w:p>
      <w:pPr>
        <w:spacing w:before="80" w:after="80"/>
        <w:jc w:val="both"/>
      </w:pPr>
      <w:r>
        <w:rPr>
          <w:rFonts w:ascii="Calibri" w:cs="Calibri" w:eastAsia="Calibri" w:hAnsi="Calibri"/>
          <w:sz w:val="22"/>
          <w:szCs w:val="22"/>
        </w:rPr>
        <w:t xml:space="preserve">Where a key person leaves suddenly or without notice, the site manager ensures that an alternative is identified immediately and parents are informed the same day.</w:t>
      </w:r>
    </w:p>
    <w:p>
      <w:pPr>
        <w:pStyle w:val="Heading1"/>
        <w:pBdr>
          <w:bottom w:val="single" w:color="1e6641" w:sz="6" w:space="1"/>
        </w:pBdr>
        <w:spacing w:before="280" w:after="80"/>
      </w:pPr>
      <w:r>
        <w:rPr>
          <w:rFonts w:ascii="Calibri" w:cs="Calibri" w:eastAsia="Calibri" w:hAnsi="Calibri"/>
          <w:b/>
          <w:bCs/>
          <w:color w:val="1e6641"/>
          <w:sz w:val="26"/>
          <w:szCs w:val="26"/>
        </w:rPr>
        <w:t xml:space="preserve">7.  The Key Person and Safeguarding</w:t>
      </w:r>
    </w:p>
    <w:p>
      <w:pPr>
        <w:spacing w:before="80" w:after="80"/>
        <w:jc w:val="both"/>
      </w:pPr>
      <w:r>
        <w:rPr>
          <w:rFonts w:ascii="Calibri" w:cs="Calibri" w:eastAsia="Calibri" w:hAnsi="Calibri"/>
          <w:sz w:val="22"/>
          <w:szCs w:val="22"/>
        </w:rPr>
        <w:t xml:space="preserve">The key person is frequently the first person to notice a change in a child’s behaviour, physical presentation or emotional wellbeing. They must:</w:t>
      </w:r>
    </w:p>
    <w:p>
      <w:pPr>
        <w:pStyle w:val="ListParagraph"/>
        <w:numPr>
          <w:ilvl w:val="0"/>
          <w:numId w:val="2"/>
        </w:numPr>
        <w:spacing w:before="50" w:after="50"/>
        <w:jc w:val="both"/>
      </w:pPr>
      <w:r>
        <w:rPr>
          <w:rFonts w:ascii="Calibri" w:cs="Calibri" w:eastAsia="Calibri" w:hAnsi="Calibri"/>
          <w:sz w:val="22"/>
          <w:szCs w:val="22"/>
        </w:rPr>
        <w:t xml:space="preserve">Report any concern — however minor — to the site DSL without delay. Concerns should not be held until the end of the session.</w:t>
      </w:r>
    </w:p>
    <w:p>
      <w:pPr>
        <w:pStyle w:val="ListParagraph"/>
        <w:numPr>
          <w:ilvl w:val="0"/>
          <w:numId w:val="2"/>
        </w:numPr>
        <w:spacing w:before="50" w:after="50"/>
        <w:jc w:val="both"/>
      </w:pPr>
      <w:r>
        <w:rPr>
          <w:rFonts w:ascii="Calibri" w:cs="Calibri" w:eastAsia="Calibri" w:hAnsi="Calibri"/>
          <w:sz w:val="22"/>
          <w:szCs w:val="22"/>
        </w:rPr>
        <w:t xml:space="preserve">Record welfare observations accurately and contemporaneously using the nursery’s agreed recording process.</w:t>
      </w:r>
    </w:p>
    <w:p>
      <w:pPr>
        <w:pStyle w:val="ListParagraph"/>
        <w:numPr>
          <w:ilvl w:val="0"/>
          <w:numId w:val="2"/>
        </w:numPr>
        <w:spacing w:before="50" w:after="50"/>
        <w:jc w:val="both"/>
      </w:pPr>
      <w:r>
        <w:rPr>
          <w:rFonts w:ascii="Calibri" w:cs="Calibri" w:eastAsia="Calibri" w:hAnsi="Calibri"/>
          <w:sz w:val="22"/>
          <w:szCs w:val="22"/>
        </w:rPr>
        <w:t xml:space="preserve">Avoid making promises of confidentiality to a child or family member.</w:t>
      </w:r>
    </w:p>
    <w:p>
      <w:pPr>
        <w:pStyle w:val="ListParagraph"/>
        <w:numPr>
          <w:ilvl w:val="0"/>
          <w:numId w:val="2"/>
        </w:numPr>
        <w:spacing w:before="50" w:after="50"/>
        <w:jc w:val="both"/>
      </w:pPr>
      <w:r>
        <w:rPr>
          <w:rFonts w:ascii="Calibri" w:cs="Calibri" w:eastAsia="Calibri" w:hAnsi="Calibri"/>
          <w:sz w:val="22"/>
          <w:szCs w:val="22"/>
        </w:rPr>
        <w:t xml:space="preserve">Follow up on unexplained absences in accordance with the Absence Policy (Children) and report patterns of concern to the DSL.</w:t>
      </w:r>
    </w:p>
    <w:p>
      <w:pPr>
        <w:spacing w:before="80" w:after="0"/>
      </w:pPr>
      <w:r>
        <w:t xml:space="preserve"/>
      </w:r>
    </w:p>
    <w:p>
      <w:pPr>
        <w:spacing w:before="80" w:after="80"/>
        <w:jc w:val="both"/>
      </w:pPr>
      <w:r>
        <w:rPr>
          <w:rFonts w:ascii="Calibri" w:cs="Calibri" w:eastAsia="Calibri" w:hAnsi="Calibri"/>
          <w:sz w:val="22"/>
          <w:szCs w:val="22"/>
        </w:rPr>
        <w:t xml:space="preserve">A key person’s knowledge of their allocated children is a safeguarding asset. The site DSL will consult key persons when assessing concerns and key persons may be asked to contribute to any assessment, conference or review process.</w:t>
      </w:r>
    </w:p>
    <w:p>
      <w:pPr>
        <w:pStyle w:val="Heading1"/>
        <w:pBdr>
          <w:bottom w:val="single" w:color="1e6641" w:sz="6" w:space="1"/>
        </w:pBdr>
        <w:spacing w:before="280" w:after="80"/>
      </w:pPr>
      <w:r>
        <w:rPr>
          <w:rFonts w:ascii="Calibri" w:cs="Calibri" w:eastAsia="Calibri" w:hAnsi="Calibri"/>
          <w:b/>
          <w:bCs/>
          <w:color w:val="1e6641"/>
          <w:sz w:val="26"/>
          <w:szCs w:val="26"/>
        </w:rPr>
        <w:t xml:space="preserve">8.  The Key Person and SEND</w:t>
      </w:r>
    </w:p>
    <w:p>
      <w:pPr>
        <w:spacing w:before="80" w:after="80"/>
        <w:jc w:val="both"/>
      </w:pPr>
      <w:r>
        <w:rPr>
          <w:rFonts w:ascii="Calibri" w:cs="Calibri" w:eastAsia="Calibri" w:hAnsi="Calibri"/>
          <w:sz w:val="22"/>
          <w:szCs w:val="22"/>
        </w:rPr>
        <w:t xml:space="preserve">Where a child has, or may have, special educational needs or disabilities, the key person plays a central role in the graduated approach to support. Specifically:</w:t>
      </w:r>
    </w:p>
    <w:p>
      <w:pPr>
        <w:pStyle w:val="ListParagraph"/>
        <w:numPr>
          <w:ilvl w:val="0"/>
          <w:numId w:val="2"/>
        </w:numPr>
        <w:spacing w:before="50" w:after="50"/>
        <w:jc w:val="both"/>
      </w:pPr>
      <w:r>
        <w:rPr>
          <w:rFonts w:ascii="Calibri" w:cs="Calibri" w:eastAsia="Calibri" w:hAnsi="Calibri"/>
          <w:sz w:val="22"/>
          <w:szCs w:val="22"/>
        </w:rPr>
        <w:t xml:space="preserve">The key person contributes observations and assessments to the ‘Assess’ phase of the SEND support cycle.</w:t>
      </w:r>
    </w:p>
    <w:p>
      <w:pPr>
        <w:pStyle w:val="ListParagraph"/>
        <w:numPr>
          <w:ilvl w:val="0"/>
          <w:numId w:val="2"/>
        </w:numPr>
        <w:spacing w:before="50" w:after="50"/>
        <w:jc w:val="both"/>
      </w:pPr>
      <w:r>
        <w:rPr>
          <w:rFonts w:ascii="Calibri" w:cs="Calibri" w:eastAsia="Calibri" w:hAnsi="Calibri"/>
          <w:sz w:val="22"/>
          <w:szCs w:val="22"/>
        </w:rPr>
        <w:t xml:space="preserve">The key person implements agreed strategies as part of the ‘Do’ phase, on a daily basis.</w:t>
      </w:r>
    </w:p>
    <w:p>
      <w:pPr>
        <w:pStyle w:val="ListParagraph"/>
        <w:numPr>
          <w:ilvl w:val="0"/>
          <w:numId w:val="2"/>
        </w:numPr>
        <w:spacing w:before="50" w:after="50"/>
        <w:jc w:val="both"/>
      </w:pPr>
      <w:r>
        <w:rPr>
          <w:rFonts w:ascii="Calibri" w:cs="Calibri" w:eastAsia="Calibri" w:hAnsi="Calibri"/>
          <w:sz w:val="22"/>
          <w:szCs w:val="22"/>
        </w:rPr>
        <w:t xml:space="preserve">The key person participates in review meetings with the SENCo, the child’s parents and any external specialists.</w:t>
      </w:r>
    </w:p>
    <w:p>
      <w:pPr>
        <w:pStyle w:val="ListParagraph"/>
        <w:numPr>
          <w:ilvl w:val="0"/>
          <w:numId w:val="2"/>
        </w:numPr>
        <w:spacing w:before="50" w:after="50"/>
        <w:jc w:val="both"/>
      </w:pPr>
      <w:r>
        <w:rPr>
          <w:rFonts w:ascii="Calibri" w:cs="Calibri" w:eastAsia="Calibri" w:hAnsi="Calibri"/>
          <w:sz w:val="22"/>
          <w:szCs w:val="22"/>
        </w:rPr>
        <w:t xml:space="preserve">The key person maintains records of progress and any concerns relating to the child’s development or wellbeing.</w:t>
      </w:r>
    </w:p>
    <w:p>
      <w:pPr>
        <w:spacing w:before="80" w:after="0"/>
      </w:pPr>
      <w:r>
        <w:t xml:space="preserve"/>
      </w:r>
    </w:p>
    <w:p>
      <w:pPr>
        <w:spacing w:before="80" w:after="80"/>
        <w:jc w:val="both"/>
      </w:pPr>
      <w:r>
        <w:rPr>
          <w:rFonts w:ascii="Calibri" w:cs="Calibri" w:eastAsia="Calibri" w:hAnsi="Calibri"/>
          <w:sz w:val="22"/>
          <w:szCs w:val="22"/>
        </w:rPr>
        <w:t xml:space="preserve">The SENCo for Greencoat Nursery CIC is Sidra Begum, who supports key persons across all three sites in their work with children who have SEND. Key persons should contact Sidra Begum at the earliest opportunity if they have a developmental concern about any allocated child.</w:t>
      </w:r>
    </w:p>
    <w:p>
      <w:pPr>
        <w:pStyle w:val="Heading1"/>
        <w:pBdr>
          <w:bottom w:val="single" w:color="1e6641" w:sz="6" w:space="1"/>
        </w:pBdr>
        <w:spacing w:before="280" w:after="80"/>
      </w:pPr>
      <w:r>
        <w:rPr>
          <w:rFonts w:ascii="Calibri" w:cs="Calibri" w:eastAsia="Calibri" w:hAnsi="Calibri"/>
          <w:b/>
          <w:bCs/>
          <w:color w:val="1e6641"/>
          <w:sz w:val="26"/>
          <w:szCs w:val="26"/>
        </w:rPr>
        <w:t xml:space="preserve">9.  Parents and the Key Person Relationship</w:t>
      </w:r>
    </w:p>
    <w:p>
      <w:pPr>
        <w:spacing w:before="80" w:after="80"/>
        <w:jc w:val="both"/>
      </w:pPr>
      <w:r>
        <w:rPr>
          <w:rFonts w:ascii="Calibri" w:cs="Calibri" w:eastAsia="Calibri" w:hAnsi="Calibri"/>
          <w:sz w:val="22"/>
          <w:szCs w:val="22"/>
        </w:rPr>
        <w:t xml:space="preserve">We actively encourage parents and carers to build a relationship with their child’s key person. The key person:</w:t>
      </w:r>
    </w:p>
    <w:p>
      <w:pPr>
        <w:pStyle w:val="ListParagraph"/>
        <w:numPr>
          <w:ilvl w:val="0"/>
          <w:numId w:val="2"/>
        </w:numPr>
        <w:spacing w:before="50" w:after="50"/>
        <w:jc w:val="both"/>
      </w:pPr>
      <w:r>
        <w:rPr>
          <w:rFonts w:ascii="Calibri" w:cs="Calibri" w:eastAsia="Calibri" w:hAnsi="Calibri"/>
          <w:sz w:val="22"/>
          <w:szCs w:val="22"/>
        </w:rPr>
        <w:t xml:space="preserve">Welcomes the child and family at the start of each session where operationally possible.</w:t>
      </w:r>
    </w:p>
    <w:p>
      <w:pPr>
        <w:pStyle w:val="ListParagraph"/>
        <w:numPr>
          <w:ilvl w:val="0"/>
          <w:numId w:val="2"/>
        </w:numPr>
        <w:spacing w:before="50" w:after="50"/>
        <w:jc w:val="both"/>
      </w:pPr>
      <w:r>
        <w:rPr>
          <w:rFonts w:ascii="Calibri" w:cs="Calibri" w:eastAsia="Calibri" w:hAnsi="Calibri"/>
          <w:sz w:val="22"/>
          <w:szCs w:val="22"/>
        </w:rPr>
        <w:t xml:space="preserve">Provides a verbal update on the child’s day at collection, including what the child has eaten, any significant activities, emotional wellbeing and toilet training progress where relevant.</w:t>
      </w:r>
    </w:p>
    <w:p>
      <w:pPr>
        <w:pStyle w:val="ListParagraph"/>
        <w:numPr>
          <w:ilvl w:val="0"/>
          <w:numId w:val="2"/>
        </w:numPr>
        <w:spacing w:before="50" w:after="50"/>
        <w:jc w:val="both"/>
      </w:pPr>
      <w:r>
        <w:rPr>
          <w:rFonts w:ascii="Calibri" w:cs="Calibri" w:eastAsia="Calibri" w:hAnsi="Calibri"/>
          <w:sz w:val="22"/>
          <w:szCs w:val="22"/>
        </w:rPr>
        <w:t xml:space="preserve">Shares written observations, next steps and developmental milestones with parents through the nursery’s chosen communication platform.</w:t>
      </w:r>
    </w:p>
    <w:p>
      <w:pPr>
        <w:pStyle w:val="ListParagraph"/>
        <w:numPr>
          <w:ilvl w:val="0"/>
          <w:numId w:val="2"/>
        </w:numPr>
        <w:spacing w:before="50" w:after="50"/>
        <w:jc w:val="both"/>
      </w:pPr>
      <w:r>
        <w:rPr>
          <w:rFonts w:ascii="Calibri" w:cs="Calibri" w:eastAsia="Calibri" w:hAnsi="Calibri"/>
          <w:sz w:val="22"/>
          <w:szCs w:val="22"/>
        </w:rPr>
        <w:t xml:space="preserve">Is available for a key person review meeting at least twice per year, or more frequently if the parent requests it or the child’s needs require it.</w:t>
      </w:r>
    </w:p>
    <w:p>
      <w:pPr>
        <w:spacing w:before="80" w:after="0"/>
      </w:pPr>
      <w:r>
        <w:t xml:space="preserve"/>
      </w:r>
    </w:p>
    <w:p>
      <w:pPr>
        <w:spacing w:before="80" w:after="80"/>
        <w:jc w:val="both"/>
      </w:pPr>
      <w:r>
        <w:rPr>
          <w:rFonts w:ascii="Calibri" w:cs="Calibri" w:eastAsia="Calibri" w:hAnsi="Calibri"/>
          <w:sz w:val="22"/>
          <w:szCs w:val="22"/>
        </w:rPr>
        <w:t xml:space="preserve">If a parent has any concern about the key person relationship — including if they feel the relationship is not working well — they should speak to the site manager in the first instance. A key person change will always be considered if it is in the child’s best interests.</w:t>
      </w:r>
    </w:p>
    <w:p>
      <w:pPr>
        <w:pStyle w:val="Heading1"/>
        <w:pBdr>
          <w:bottom w:val="single" w:color="1e6641" w:sz="6" w:space="1"/>
        </w:pBdr>
        <w:spacing w:before="280" w:after="80"/>
      </w:pPr>
      <w:r>
        <w:rPr>
          <w:rFonts w:ascii="Calibri" w:cs="Calibri" w:eastAsia="Calibri" w:hAnsi="Calibri"/>
          <w:b/>
          <w:bCs/>
          <w:color w:val="1e6641"/>
          <w:sz w:val="26"/>
          <w:szCs w:val="26"/>
        </w:rPr>
        <w:t xml:space="preserve">10.  Training and Competence</w:t>
      </w:r>
    </w:p>
    <w:p>
      <w:pPr>
        <w:spacing w:before="80" w:after="80"/>
        <w:jc w:val="both"/>
      </w:pPr>
      <w:r>
        <w:rPr>
          <w:rFonts w:ascii="Calibri" w:cs="Calibri" w:eastAsia="Calibri" w:hAnsi="Calibri"/>
          <w:sz w:val="22"/>
          <w:szCs w:val="22"/>
        </w:rPr>
        <w:t xml:space="preserve">All key persons are expected to:</w:t>
      </w:r>
    </w:p>
    <w:p>
      <w:pPr>
        <w:pStyle w:val="ListParagraph"/>
        <w:numPr>
          <w:ilvl w:val="0"/>
          <w:numId w:val="2"/>
        </w:numPr>
        <w:spacing w:before="50" w:after="50"/>
        <w:jc w:val="both"/>
      </w:pPr>
      <w:r>
        <w:rPr>
          <w:rFonts w:ascii="Calibri" w:cs="Calibri" w:eastAsia="Calibri" w:hAnsi="Calibri"/>
          <w:sz w:val="22"/>
          <w:szCs w:val="22"/>
        </w:rPr>
        <w:t xml:space="preserve">Have a good working knowledge of the EYFS framework, including the characteristics of effective learning and the seven areas of learning and development.</w:t>
      </w:r>
    </w:p>
    <w:p>
      <w:pPr>
        <w:pStyle w:val="ListParagraph"/>
        <w:numPr>
          <w:ilvl w:val="0"/>
          <w:numId w:val="2"/>
        </w:numPr>
        <w:spacing w:before="50" w:after="50"/>
        <w:jc w:val="both"/>
      </w:pPr>
      <w:r>
        <w:rPr>
          <w:rFonts w:ascii="Calibri" w:cs="Calibri" w:eastAsia="Calibri" w:hAnsi="Calibri"/>
          <w:sz w:val="22"/>
          <w:szCs w:val="22"/>
        </w:rPr>
        <w:t xml:space="preserve">Complete the nursery’s safeguarding induction training and maintain up-to-date awareness of safeguarding procedures.</w:t>
      </w:r>
    </w:p>
    <w:p>
      <w:pPr>
        <w:pStyle w:val="ListParagraph"/>
        <w:numPr>
          <w:ilvl w:val="0"/>
          <w:numId w:val="2"/>
        </w:numPr>
        <w:spacing w:before="50" w:after="50"/>
        <w:jc w:val="both"/>
      </w:pPr>
      <w:r>
        <w:rPr>
          <w:rFonts w:ascii="Calibri" w:cs="Calibri" w:eastAsia="Calibri" w:hAnsi="Calibri"/>
          <w:sz w:val="22"/>
          <w:szCs w:val="22"/>
        </w:rPr>
        <w:t xml:space="preserve">Participate in supervisions with the site manager in accordance with the Supervision Policy, during which their key person responsibilities and any concerns about allocated children may be discussed.</w:t>
      </w:r>
    </w:p>
    <w:p>
      <w:pPr>
        <w:pStyle w:val="ListParagraph"/>
        <w:numPr>
          <w:ilvl w:val="0"/>
          <w:numId w:val="2"/>
        </w:numPr>
        <w:spacing w:before="50" w:after="50"/>
        <w:jc w:val="both"/>
      </w:pPr>
      <w:r>
        <w:rPr>
          <w:rFonts w:ascii="Calibri" w:cs="Calibri" w:eastAsia="Calibri" w:hAnsi="Calibri"/>
          <w:sz w:val="22"/>
          <w:szCs w:val="22"/>
        </w:rPr>
        <w:t xml:space="preserve">Engage in continuous professional development, including any training identified through appraisal or supervision as relevant to their key person role.</w:t>
      </w:r>
    </w:p>
    <w:p>
      <w:pPr>
        <w:spacing w:before="80" w:after="0"/>
      </w:pPr>
      <w:r>
        <w:t xml:space="preserve"/>
      </w:r>
    </w:p>
    <w:p>
      <w:pPr>
        <w:spacing w:before="80" w:after="80"/>
        <w:jc w:val="both"/>
      </w:pPr>
      <w:r>
        <w:rPr>
          <w:rFonts w:ascii="Calibri" w:cs="Calibri" w:eastAsia="Calibri" w:hAnsi="Calibri"/>
          <w:sz w:val="22"/>
          <w:szCs w:val="22"/>
        </w:rPr>
        <w:t xml:space="preserve">New practitioners who take on key person responsibilities for the first time are supported by their site manager and are introduced to their allocated children’s families as early as possible in their employment.</w:t>
      </w:r>
    </w:p>
    <w:p>
      <w:pPr>
        <w:pStyle w:val="Heading1"/>
        <w:pBdr>
          <w:bottom w:val="single" w:color="1e6641" w:sz="6" w:space="1"/>
        </w:pBdr>
        <w:spacing w:before="280" w:after="80"/>
      </w:pPr>
      <w:r>
        <w:rPr>
          <w:rFonts w:ascii="Calibri" w:cs="Calibri" w:eastAsia="Calibri" w:hAnsi="Calibri"/>
          <w:b/>
          <w:bCs/>
          <w:color w:val="1e6641"/>
          <w:sz w:val="26"/>
          <w:szCs w:val="26"/>
        </w:rPr>
        <w:t xml:space="preserve">11.  Responsibilities</w:t>
      </w:r>
    </w:p>
    <w:p>
      <w:pPr>
        <w:spacing w:before="80" w:after="80"/>
        <w:jc w:val="both"/>
      </w:pPr>
      <w:r>
        <w:rPr>
          <w:rFonts w:ascii="Calibri" w:cs="Calibri" w:eastAsia="Calibri" w:hAnsi="Calibri"/>
          <w:sz w:val="22"/>
          <w:szCs w:val="22"/>
        </w:rPr>
        <w:t xml:space="preserve">The site manager is responsible for:</w:t>
      </w:r>
    </w:p>
    <w:p>
      <w:pPr>
        <w:pStyle w:val="ListParagraph"/>
        <w:numPr>
          <w:ilvl w:val="0"/>
          <w:numId w:val="2"/>
        </w:numPr>
        <w:spacing w:before="50" w:after="50"/>
        <w:jc w:val="both"/>
      </w:pPr>
      <w:r>
        <w:rPr>
          <w:rFonts w:ascii="Calibri" w:cs="Calibri" w:eastAsia="Calibri" w:hAnsi="Calibri"/>
          <w:sz w:val="22"/>
          <w:szCs w:val="22"/>
        </w:rPr>
        <w:t xml:space="preserve">Making and reviewing key person assignments.</w:t>
      </w:r>
    </w:p>
    <w:p>
      <w:pPr>
        <w:pStyle w:val="ListParagraph"/>
        <w:numPr>
          <w:ilvl w:val="0"/>
          <w:numId w:val="2"/>
        </w:numPr>
        <w:spacing w:before="50" w:after="50"/>
        <w:jc w:val="both"/>
      </w:pPr>
      <w:r>
        <w:rPr>
          <w:rFonts w:ascii="Calibri" w:cs="Calibri" w:eastAsia="Calibri" w:hAnsi="Calibri"/>
          <w:sz w:val="22"/>
          <w:szCs w:val="22"/>
        </w:rPr>
        <w:t xml:space="preserve">Ensuring all children have a named key person and a named buddy at all times.</w:t>
      </w:r>
    </w:p>
    <w:p>
      <w:pPr>
        <w:pStyle w:val="ListParagraph"/>
        <w:numPr>
          <w:ilvl w:val="0"/>
          <w:numId w:val="2"/>
        </w:numPr>
        <w:spacing w:before="50" w:after="50"/>
        <w:jc w:val="both"/>
      </w:pPr>
      <w:r>
        <w:rPr>
          <w:rFonts w:ascii="Calibri" w:cs="Calibri" w:eastAsia="Calibri" w:hAnsi="Calibri"/>
          <w:sz w:val="22"/>
          <w:szCs w:val="22"/>
        </w:rPr>
        <w:t xml:space="preserve">Communicating key person assignments to parents and carers.</w:t>
      </w:r>
    </w:p>
    <w:p>
      <w:pPr>
        <w:pStyle w:val="ListParagraph"/>
        <w:numPr>
          <w:ilvl w:val="0"/>
          <w:numId w:val="2"/>
        </w:numPr>
        <w:spacing w:before="50" w:after="50"/>
        <w:jc w:val="both"/>
      </w:pPr>
      <w:r>
        <w:rPr>
          <w:rFonts w:ascii="Calibri" w:cs="Calibri" w:eastAsia="Calibri" w:hAnsi="Calibri"/>
          <w:sz w:val="22"/>
          <w:szCs w:val="22"/>
        </w:rPr>
        <w:t xml:space="preserve">Monitoring key person caseloads and redistributing where necessary.</w:t>
      </w:r>
    </w:p>
    <w:p>
      <w:pPr>
        <w:pStyle w:val="ListParagraph"/>
        <w:numPr>
          <w:ilvl w:val="0"/>
          <w:numId w:val="2"/>
        </w:numPr>
        <w:spacing w:before="50" w:after="50"/>
        <w:jc w:val="both"/>
      </w:pPr>
      <w:r>
        <w:rPr>
          <w:rFonts w:ascii="Calibri" w:cs="Calibri" w:eastAsia="Calibri" w:hAnsi="Calibri"/>
          <w:sz w:val="22"/>
          <w:szCs w:val="22"/>
        </w:rPr>
        <w:t xml:space="preserve">Supporting key persons through supervision, training and day-to-day management.</w:t>
      </w:r>
    </w:p>
    <w:p>
      <w:pPr>
        <w:spacing w:before="80" w:after="0"/>
      </w:pPr>
      <w:r>
        <w:t xml:space="preserve"/>
      </w:r>
    </w:p>
    <w:p>
      <w:pPr>
        <w:spacing w:before="80" w:after="80"/>
        <w:jc w:val="both"/>
      </w:pPr>
      <w:r>
        <w:rPr>
          <w:rFonts w:ascii="Calibri" w:cs="Calibri" w:eastAsia="Calibri" w:hAnsi="Calibri"/>
          <w:sz w:val="22"/>
          <w:szCs w:val="22"/>
        </w:rPr>
        <w:t xml:space="preserve">The Director (Taz Khan) is responsible for:</w:t>
      </w:r>
    </w:p>
    <w:p>
      <w:pPr>
        <w:pStyle w:val="ListParagraph"/>
        <w:numPr>
          <w:ilvl w:val="0"/>
          <w:numId w:val="2"/>
        </w:numPr>
        <w:spacing w:before="50" w:after="50"/>
        <w:jc w:val="both"/>
      </w:pPr>
      <w:r>
        <w:rPr>
          <w:rFonts w:ascii="Calibri" w:cs="Calibri" w:eastAsia="Calibri" w:hAnsi="Calibri"/>
          <w:sz w:val="22"/>
          <w:szCs w:val="22"/>
        </w:rPr>
        <w:t xml:space="preserve">Ensuring this policy is reviewed annually and reflects current statutory requirements.</w:t>
      </w:r>
    </w:p>
    <w:p>
      <w:pPr>
        <w:pStyle w:val="ListParagraph"/>
        <w:numPr>
          <w:ilvl w:val="0"/>
          <w:numId w:val="2"/>
        </w:numPr>
        <w:spacing w:before="50" w:after="50"/>
        <w:jc w:val="both"/>
      </w:pPr>
      <w:r>
        <w:rPr>
          <w:rFonts w:ascii="Calibri" w:cs="Calibri" w:eastAsia="Calibri" w:hAnsi="Calibri"/>
          <w:sz w:val="22"/>
          <w:szCs w:val="22"/>
        </w:rPr>
        <w:t xml:space="preserve">Ensuring sufficient qualified staff are employed to fulfil key person responsibilities across all three sites.</w:t>
      </w:r>
    </w:p>
    <w:p>
      <w:pPr>
        <w:spacing w:before="80" w:after="0"/>
      </w:pPr>
      <w:r>
        <w:t xml:space="preserve"/>
      </w:r>
    </w:p>
    <w:p>
      <w:pPr>
        <w:spacing w:before="80" w:after="80"/>
        <w:jc w:val="both"/>
      </w:pPr>
      <w:r>
        <w:rPr>
          <w:rFonts w:ascii="Calibri" w:cs="Calibri" w:eastAsia="Calibri" w:hAnsi="Calibri"/>
          <w:sz w:val="22"/>
          <w:szCs w:val="22"/>
        </w:rPr>
        <w:t xml:space="preserve">All key persons are responsible for:</w:t>
      </w:r>
    </w:p>
    <w:p>
      <w:pPr>
        <w:pStyle w:val="ListParagraph"/>
        <w:numPr>
          <w:ilvl w:val="0"/>
          <w:numId w:val="2"/>
        </w:numPr>
        <w:spacing w:before="50" w:after="50"/>
        <w:jc w:val="both"/>
      </w:pPr>
      <w:r>
        <w:rPr>
          <w:rFonts w:ascii="Calibri" w:cs="Calibri" w:eastAsia="Calibri" w:hAnsi="Calibri"/>
          <w:sz w:val="22"/>
          <w:szCs w:val="22"/>
        </w:rPr>
        <w:t xml:space="preserve">Fulfilling the responsibilities set out in Section 2 of this policy in respect of every allocated child.</w:t>
      </w:r>
    </w:p>
    <w:p>
      <w:pPr>
        <w:pStyle w:val="ListParagraph"/>
        <w:numPr>
          <w:ilvl w:val="0"/>
          <w:numId w:val="2"/>
        </w:numPr>
        <w:spacing w:before="50" w:after="50"/>
        <w:jc w:val="both"/>
      </w:pPr>
      <w:r>
        <w:rPr>
          <w:rFonts w:ascii="Calibri" w:cs="Calibri" w:eastAsia="Calibri" w:hAnsi="Calibri"/>
          <w:sz w:val="22"/>
          <w:szCs w:val="22"/>
        </w:rPr>
        <w:t xml:space="preserve">Raising any concern about their capacity to fulfil their key person responsibilities with the site manager without delay.</w:t>
      </w:r>
    </w:p>
    <w:p>
      <w:pPr>
        <w:pStyle w:val="Heading1"/>
        <w:pBdr>
          <w:bottom w:val="single" w:color="1e6641" w:sz="6" w:space="1"/>
        </w:pBdr>
        <w:spacing w:before="280" w:after="80"/>
      </w:pPr>
      <w:r>
        <w:rPr>
          <w:rFonts w:ascii="Calibri" w:cs="Calibri" w:eastAsia="Calibri" w:hAnsi="Calibri"/>
          <w:b/>
          <w:bCs/>
          <w:color w:val="1e6641"/>
          <w:sz w:val="26"/>
          <w:szCs w:val="26"/>
        </w:rPr>
        <w:t xml:space="preserve">12.  Related Policies</w:t>
      </w:r>
    </w:p>
    <w:p>
      <w:pPr>
        <w:spacing w:before="80" w:after="80"/>
        <w:jc w:val="both"/>
      </w:pPr>
      <w:r>
        <w:rPr>
          <w:rFonts w:ascii="Calibri" w:cs="Calibri" w:eastAsia="Calibri" w:hAnsi="Calibri"/>
          <w:sz w:val="22"/>
          <w:szCs w:val="22"/>
        </w:rPr>
        <w:t xml:space="preserve">This policy should be read alongside:</w:t>
      </w:r>
    </w:p>
    <w:p>
      <w:pPr>
        <w:pStyle w:val="ListParagraph"/>
        <w:numPr>
          <w:ilvl w:val="0"/>
          <w:numId w:val="2"/>
        </w:numPr>
        <w:spacing w:before="50" w:after="50"/>
        <w:jc w:val="both"/>
      </w:pPr>
      <w:r>
        <w:rPr>
          <w:rFonts w:ascii="Calibri" w:cs="Calibri" w:eastAsia="Calibri" w:hAnsi="Calibri"/>
          <w:sz w:val="22"/>
          <w:szCs w:val="22"/>
        </w:rPr>
        <w:t xml:space="preserve">Safeguarding Children and Child Protection Policy</w:t>
      </w:r>
    </w:p>
    <w:p>
      <w:pPr>
        <w:pStyle w:val="ListParagraph"/>
        <w:numPr>
          <w:ilvl w:val="0"/>
          <w:numId w:val="2"/>
        </w:numPr>
        <w:spacing w:before="50" w:after="50"/>
        <w:jc w:val="both"/>
      </w:pPr>
      <w:r>
        <w:rPr>
          <w:rFonts w:ascii="Calibri" w:cs="Calibri" w:eastAsia="Calibri" w:hAnsi="Calibri"/>
          <w:sz w:val="22"/>
          <w:szCs w:val="22"/>
        </w:rPr>
        <w:t xml:space="preserve">Absence Policy (Children)</w:t>
      </w:r>
    </w:p>
    <w:p>
      <w:pPr>
        <w:pStyle w:val="ListParagraph"/>
        <w:numPr>
          <w:ilvl w:val="0"/>
          <w:numId w:val="2"/>
        </w:numPr>
        <w:spacing w:before="50" w:after="50"/>
        <w:jc w:val="both"/>
      </w:pPr>
      <w:r>
        <w:rPr>
          <w:rFonts w:ascii="Calibri" w:cs="Calibri" w:eastAsia="Calibri" w:hAnsi="Calibri"/>
          <w:sz w:val="22"/>
          <w:szCs w:val="22"/>
        </w:rPr>
        <w:t xml:space="preserve">SEND Policy</w:t>
      </w:r>
    </w:p>
    <w:p>
      <w:pPr>
        <w:pStyle w:val="ListParagraph"/>
        <w:numPr>
          <w:ilvl w:val="0"/>
          <w:numId w:val="2"/>
        </w:numPr>
        <w:spacing w:before="50" w:after="50"/>
        <w:jc w:val="both"/>
      </w:pPr>
      <w:r>
        <w:rPr>
          <w:rFonts w:ascii="Calibri" w:cs="Calibri" w:eastAsia="Calibri" w:hAnsi="Calibri"/>
          <w:sz w:val="22"/>
          <w:szCs w:val="22"/>
        </w:rPr>
        <w:t xml:space="preserve">Settling In Policy</w:t>
      </w:r>
    </w:p>
    <w:p>
      <w:pPr>
        <w:pStyle w:val="ListParagraph"/>
        <w:numPr>
          <w:ilvl w:val="0"/>
          <w:numId w:val="2"/>
        </w:numPr>
        <w:spacing w:before="50" w:after="50"/>
        <w:jc w:val="both"/>
      </w:pPr>
      <w:r>
        <w:rPr>
          <w:rFonts w:ascii="Calibri" w:cs="Calibri" w:eastAsia="Calibri" w:hAnsi="Calibri"/>
          <w:sz w:val="22"/>
          <w:szCs w:val="22"/>
        </w:rPr>
        <w:t xml:space="preserve">Transitions Policy</w:t>
      </w:r>
    </w:p>
    <w:p>
      <w:pPr>
        <w:pStyle w:val="ListParagraph"/>
        <w:numPr>
          <w:ilvl w:val="0"/>
          <w:numId w:val="2"/>
        </w:numPr>
        <w:spacing w:before="50" w:after="50"/>
        <w:jc w:val="both"/>
      </w:pPr>
      <w:r>
        <w:rPr>
          <w:rFonts w:ascii="Calibri" w:cs="Calibri" w:eastAsia="Calibri" w:hAnsi="Calibri"/>
          <w:sz w:val="22"/>
          <w:szCs w:val="22"/>
        </w:rPr>
        <w:t xml:space="preserve">Supervision Policy</w:t>
      </w:r>
    </w:p>
    <w:p>
      <w:pPr>
        <w:pStyle w:val="ListParagraph"/>
        <w:numPr>
          <w:ilvl w:val="0"/>
          <w:numId w:val="2"/>
        </w:numPr>
        <w:spacing w:before="50" w:after="50"/>
        <w:jc w:val="both"/>
      </w:pPr>
      <w:r>
        <w:rPr>
          <w:rFonts w:ascii="Calibri" w:cs="Calibri" w:eastAsia="Calibri" w:hAnsi="Calibri"/>
          <w:sz w:val="22"/>
          <w:szCs w:val="22"/>
        </w:rPr>
        <w:t xml:space="preserve">Intimate Care and Toileting Policy</w:t>
      </w:r>
    </w:p>
    <w:p>
      <w:pPr>
        <w:pStyle w:val="ListParagraph"/>
        <w:numPr>
          <w:ilvl w:val="0"/>
          <w:numId w:val="2"/>
        </w:numPr>
        <w:spacing w:before="50" w:after="50"/>
        <w:jc w:val="both"/>
      </w:pPr>
      <w:r>
        <w:rPr>
          <w:rFonts w:ascii="Calibri" w:cs="Calibri" w:eastAsia="Calibri" w:hAnsi="Calibri"/>
          <w:sz w:val="22"/>
          <w:szCs w:val="22"/>
        </w:rPr>
        <w:t xml:space="preserve">Parents as Partners Policy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r>
              <w:rPr>
                <w:rFonts w:ascii="Calibri" w:cs="Calibri" w:eastAsia="Calibri" w:hAnsi="Calibri"/>
                <w:b/>
                <w:bCs/>
                <w:color w:val="FFFFFF"/>
                <w:sz w:val="20"/>
                <w:szCs w:val="20"/>
              </w:rPr>
              <w:t xml:space="preserve">This policy was adopted on</w:t>
            </w:r>
          </w:p>
        </w:tc>
        <w:tc>
          <w:tcPr>
            <w:tcW w:type="dxa" w:w="3026"/>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r>
              <w:rPr>
                <w:rFonts w:ascii="Calibri" w:cs="Calibri" w:eastAsia="Calibri" w:hAnsi="Calibri"/>
                <w:b/>
                <w:bCs/>
                <w:color w:val="FFFFFF"/>
                <w:sz w:val="20"/>
                <w:szCs w:val="20"/>
              </w:rPr>
              <w:t xml:space="preserve">Signed on behalf of the nursery</w:t>
            </w:r>
          </w:p>
        </w:tc>
        <w:tc>
          <w:tcPr>
            <w:tcW w:type="dxa" w:w="30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r>
              <w:rPr>
                <w:rFonts w:ascii="Calibri" w:cs="Calibri" w:eastAsia="Calibri" w:hAnsi="Calibri"/>
                <w:b/>
                <w:bCs/>
                <w:color w:val="FFFFFF"/>
                <w:sz w:val="20"/>
                <w:szCs w:val="20"/>
              </w:rPr>
              <w:t xml:space="preserve">Date for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March 2026</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Taz Khan — Director, Greencoat Nursery CIC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6641" w:sz="6" w:space="1"/>
      </w:pBdr>
      <w:spacing w:before="280" w:after="80"/>
      <w:outlineLvl w:val="0"/>
    </w:pPr>
    <w:rPr>
      <w:rFonts w:ascii="Calibri" w:cs="Calibri" w:eastAsia="Calibri" w:hAnsi="Calibri"/>
      <w:b/>
      <w:bCs/>
      <w:color w:val="1e6641"/>
      <w:sz w:val="26"/>
      <w:szCs w:val="26"/>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2026-03-24T20:24:45.234Z</dcterms:created>
  <dcterms:modified xsi:type="dcterms:W3CDTF">2026-03-24T20:24:45.234Z</dcterms:modified>
</cp:coreProperties>
</file>

<file path=docProps/custom.xml><?xml version="1.0" encoding="utf-8"?>
<Properties xmlns="http://schemas.openxmlformats.org/officeDocument/2006/custom-properties" xmlns:vt="http://schemas.openxmlformats.org/officeDocument/2006/docPropsVTypes"/>
</file>