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Calibri" w:cs="Calibri" w:eastAsia="Calibri" w:hAnsi="Calibri"/>
          <w:b/>
          <w:bCs/>
          <w:color w:val="1e6641"/>
          <w:sz w:val="40"/>
          <w:szCs w:val="40"/>
        </w:rPr>
        <w:t xml:space="preserve">Greencoat Nursery CIC</w:t>
      </w:r>
    </w:p>
    <w:p>
      <w:pPr>
        <w:spacing w:before="0" w:after="60"/>
        <w:jc w:val="center"/>
      </w:pPr>
      <w:r>
        <w:rPr>
          <w:rFonts w:ascii="Calibri" w:cs="Calibri" w:eastAsia="Calibri" w:hAnsi="Calibri"/>
          <w:color w:val="555555"/>
          <w:sz w:val="24"/>
          <w:szCs w:val="24"/>
        </w:rPr>
        <w:t xml:space="preserve">Sparkhill  ·  Bearwood  ·  Billesley Ark</w:t>
      </w:r>
    </w:p>
    <w:p>
      <w:pPr>
        <w:spacing w:before="60" w:after="0"/>
      </w:pPr>
      <w:r>
        <w:t xml:space="preserve"/>
      </w:r>
    </w:p>
    <w:p>
      <w:pPr>
        <w:spacing w:before="60" w:after="120"/>
        <w:jc w:val="center"/>
      </w:pPr>
      <w:r>
        <w:rPr>
          <w:rFonts w:ascii="Calibri" w:cs="Calibri" w:eastAsia="Calibri" w:hAnsi="Calibri"/>
          <w:b/>
          <w:bCs/>
          <w:sz w:val="36"/>
          <w:szCs w:val="36"/>
        </w:rPr>
        <w:t xml:space="preserve">Safeguarding Children and Child Protection Policy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Policy reference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GNC-SG-001</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Version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March 2026 (v5 — merged and restructured)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Applies 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All staff, students and volunteers at all three sites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Policy owner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Taz Khan — Director and Organisational DSL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Review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March 2027 (reviewed annually or after any significant incident)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Children served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Ages 0–5 years</w:t>
            </w:r>
          </w:p>
        </w:tc>
      </w:tr>
    </w:tbl>
    <w:p>
      <w:pPr>
        <w:spacing w:before="60" w:after="0"/>
      </w:pPr>
      <w:r>
        <w:t xml:space="preserve"/>
      </w:r>
    </w:p>
    <w:p>
      <w:pPr>
        <w:pBdr>
          <w:top w:val="single" w:color="1e6641" w:sz="6"/>
          <w:bottom w:val="single" w:color="1e6641" w:sz="6"/>
        </w:pBdr>
        <w:shd w:fill="F0FDF4" w:val="clear"/>
        <w:spacing w:before="60" w:after="40"/>
        <w:jc w:val="center"/>
      </w:pPr>
      <w:r>
        <w:rPr>
          <w:rFonts w:ascii="Calibri" w:cs="Calibri" w:eastAsia="Calibri" w:hAnsi="Calibri"/>
          <w:b/>
          <w:bCs/>
          <w:color w:val="1e6641"/>
          <w:sz w:val="22"/>
          <w:szCs w:val="22"/>
        </w:rPr>
        <w:t xml:space="preserve">How to use this policy</w:t>
      </w:r>
    </w:p>
    <w:p>
      <w:pPr>
        <w:shd w:fill="F0FDF4" w:val="clear"/>
        <w:spacing w:before="60" w:after="40"/>
      </w:pPr>
      <w:r>
        <w:rPr>
          <w:rFonts w:ascii="Calibri" w:cs="Calibri" w:eastAsia="Calibri" w:hAnsi="Calibri"/>
          <w:sz w:val="22"/>
          <w:szCs w:val="22"/>
        </w:rPr>
        <w:t xml:space="preserve">PART A (pages 2–8) is for ALL staff, students and volunteers. Read it, discuss it at induction, and know where to find it.</w:t>
      </w:r>
    </w:p>
    <w:p>
      <w:pPr>
        <w:shd w:fill="F0FDF4" w:val="clear"/>
        <w:spacing w:before="40" w:after="60"/>
      </w:pPr>
      <w:r>
        <w:rPr>
          <w:rFonts w:ascii="Calibri" w:cs="Calibri" w:eastAsia="Calibri" w:hAnsi="Calibri"/>
          <w:sz w:val="22"/>
          <w:szCs w:val="22"/>
        </w:rPr>
        <w:t xml:space="preserve">PART B (pages 9–14) is for Designated Safeguarding Leads and the leadership team.</w:t>
      </w:r>
    </w:p>
    <w:p>
      <w:r>
        <w:br w:type="page"/>
      </w:r>
    </w:p>
    <w:p>
      <w:pPr>
        <w:spacing w:before="0" w:after="120"/>
      </w:pPr>
      <w:bookmarkStart w:name="toc" w:id="1"/>
      <w:r>
        <w:rPr>
          <w:rFonts w:ascii="Calibri" w:cs="Calibri" w:eastAsia="Calibri" w:hAnsi="Calibri"/>
          <w:b/>
          <w:bCs/>
          <w:color w:val="1e6641"/>
          <w:sz w:val="32"/>
          <w:szCs w:val="32"/>
        </w:rPr>
        <w:t xml:space="preserve">Contents</w:t>
      </w:r>
      <w:bookmarkEnd w:id="1"/>
    </w:p>
    <w:p>
      <w:pPr>
        <w:spacing w:before="120" w:after="40"/>
      </w:pPr>
      <w:r>
        <w:rPr>
          <w:rFonts w:ascii="Calibri" w:cs="Calibri" w:eastAsia="Calibri" w:hAnsi="Calibri"/>
          <w:b/>
          <w:bCs/>
          <w:sz w:val="22"/>
          <w:szCs w:val="22"/>
        </w:rPr>
        <w:t xml:space="preserve">PART A — All Staff</w:t>
      </w:r>
    </w:p>
    <w:p>
      <w:pPr>
        <w:spacing w:before="40" w:after="40"/>
      </w:pPr>
      <w:hyperlink w:history="1" w:anchor="a_commitment">
        <w:r>
          <w:rPr>
            <w:rFonts w:ascii="Calibri" w:cs="Calibri" w:eastAsia="Calibri" w:hAnsi="Calibri"/>
            <w:color w:val="1e6641"/>
            <w:sz w:val="22"/>
            <w:szCs w:val="22"/>
            <w:u w:val="single"/>
          </w:rPr>
          <w:t xml:space="preserve">Our commitment and policy intention</w:t>
        </w:r>
      </w:hyperlink>
    </w:p>
    <w:p>
      <w:pPr>
        <w:spacing w:before="40" w:after="40"/>
      </w:pPr>
      <w:hyperlink w:history="1" w:anchor="a_contacts">
        <w:r>
          <w:rPr>
            <w:rFonts w:ascii="Calibri" w:cs="Calibri" w:eastAsia="Calibri" w:hAnsi="Calibri"/>
            <w:color w:val="1e6641"/>
            <w:sz w:val="22"/>
            <w:szCs w:val="22"/>
            <w:u w:val="single"/>
          </w:rPr>
          <w:t xml:space="preserve">DSL contacts — who to call</w:t>
        </w:r>
      </w:hyperlink>
    </w:p>
    <w:p>
      <w:pPr>
        <w:spacing w:before="40" w:after="40"/>
      </w:pPr>
      <w:hyperlink w:history="1" w:anchor="a_whatdo">
        <w:r>
          <w:rPr>
            <w:rFonts w:ascii="Calibri" w:cs="Calibri" w:eastAsia="Calibri" w:hAnsi="Calibri"/>
            <w:color w:val="1e6641"/>
            <w:sz w:val="22"/>
            <w:szCs w:val="22"/>
            <w:u w:val="single"/>
          </w:rPr>
          <w:t xml:space="preserve">What to do if you have a concern</w:t>
        </w:r>
      </w:hyperlink>
    </w:p>
    <w:p>
      <w:pPr>
        <w:spacing w:before="40" w:after="40"/>
      </w:pPr>
      <w:hyperlink w:history="1" w:anchor="a_recognise">
        <w:r>
          <w:rPr>
            <w:rFonts w:ascii="Calibri" w:cs="Calibri" w:eastAsia="Calibri" w:hAnsi="Calibri"/>
            <w:color w:val="1e6641"/>
            <w:sz w:val="22"/>
            <w:szCs w:val="22"/>
            <w:u w:val="single"/>
          </w:rPr>
          <w:t xml:space="preserve">Recognising abuse and neglect</w:t>
        </w:r>
      </w:hyperlink>
    </w:p>
    <w:p>
      <w:pPr>
        <w:spacing w:before="40" w:after="40"/>
      </w:pPr>
      <w:hyperlink w:history="1" w:anchor="a_physical">
        <w:r>
          <w:rPr>
            <w:rFonts w:ascii="Calibri" w:cs="Calibri" w:eastAsia="Calibri" w:hAnsi="Calibri"/>
            <w:color w:val="1e6641"/>
            <w:sz w:val="22"/>
            <w:szCs w:val="22"/>
            <w:u w:val="single"/>
          </w:rPr>
          <w:t xml:space="preserve">  Physical abuse</w:t>
        </w:r>
      </w:hyperlink>
    </w:p>
    <w:p>
      <w:pPr>
        <w:spacing w:before="40" w:after="40"/>
      </w:pPr>
      <w:hyperlink w:history="1" w:anchor="a_fii">
        <w:r>
          <w:rPr>
            <w:rFonts w:ascii="Calibri" w:cs="Calibri" w:eastAsia="Calibri" w:hAnsi="Calibri"/>
            <w:color w:val="1e6641"/>
            <w:sz w:val="22"/>
            <w:szCs w:val="22"/>
            <w:u w:val="single"/>
          </w:rPr>
          <w:t xml:space="preserve">  Fabricated or Induced Illness (FII)</w:t>
        </w:r>
      </w:hyperlink>
    </w:p>
    <w:p>
      <w:pPr>
        <w:spacing w:before="40" w:after="40"/>
      </w:pPr>
      <w:hyperlink w:history="1" w:anchor="a_fgm">
        <w:r>
          <w:rPr>
            <w:rFonts w:ascii="Calibri" w:cs="Calibri" w:eastAsia="Calibri" w:hAnsi="Calibri"/>
            <w:color w:val="1e6641"/>
            <w:sz w:val="22"/>
            <w:szCs w:val="22"/>
            <w:u w:val="single"/>
          </w:rPr>
          <w:t xml:space="preserve">  Female Genital Mutilation (FGM)</w:t>
        </w:r>
      </w:hyperlink>
    </w:p>
    <w:p>
      <w:pPr>
        <w:spacing w:before="40" w:after="40"/>
      </w:pPr>
      <w:hyperlink w:history="1" w:anchor="a_emotional">
        <w:r>
          <w:rPr>
            <w:rFonts w:ascii="Calibri" w:cs="Calibri" w:eastAsia="Calibri" w:hAnsi="Calibri"/>
            <w:color w:val="1e6641"/>
            <w:sz w:val="22"/>
            <w:szCs w:val="22"/>
            <w:u w:val="single"/>
          </w:rPr>
          <w:t xml:space="preserve">  Emotional abuse</w:t>
        </w:r>
      </w:hyperlink>
    </w:p>
    <w:p>
      <w:pPr>
        <w:spacing w:before="40" w:after="40"/>
      </w:pPr>
      <w:hyperlink w:history="1" w:anchor="a_sexual">
        <w:r>
          <w:rPr>
            <w:rFonts w:ascii="Calibri" w:cs="Calibri" w:eastAsia="Calibri" w:hAnsi="Calibri"/>
            <w:color w:val="1e6641"/>
            <w:sz w:val="22"/>
            <w:szCs w:val="22"/>
            <w:u w:val="single"/>
          </w:rPr>
          <w:t xml:space="preserve">  Sexual abuse</w:t>
        </w:r>
      </w:hyperlink>
    </w:p>
    <w:p>
      <w:pPr>
        <w:spacing w:before="40" w:after="40"/>
      </w:pPr>
      <w:hyperlink w:history="1" w:anchor="a_neglect">
        <w:r>
          <w:rPr>
            <w:rFonts w:ascii="Calibri" w:cs="Calibri" w:eastAsia="Calibri" w:hAnsi="Calibri"/>
            <w:color w:val="1e6641"/>
            <w:sz w:val="22"/>
            <w:szCs w:val="22"/>
            <w:u w:val="single"/>
          </w:rPr>
          <w:t xml:space="preserve">  Neglect</w:t>
        </w:r>
      </w:hyperlink>
    </w:p>
    <w:p>
      <w:pPr>
        <w:spacing w:before="40" w:after="40"/>
      </w:pPr>
      <w:hyperlink w:history="1" w:anchor="a_coc">
        <w:r>
          <w:rPr>
            <w:rFonts w:ascii="Calibri" w:cs="Calibri" w:eastAsia="Calibri" w:hAnsi="Calibri"/>
            <w:color w:val="1e6641"/>
            <w:sz w:val="22"/>
            <w:szCs w:val="22"/>
            <w:u w:val="single"/>
          </w:rPr>
          <w:t xml:space="preserve">  Child-on-child abuse</w:t>
        </w:r>
      </w:hyperlink>
    </w:p>
    <w:p>
      <w:pPr>
        <w:spacing w:before="40" w:after="40"/>
      </w:pPr>
      <w:hyperlink w:history="1" w:anchor="a_domestic">
        <w:r>
          <w:rPr>
            <w:rFonts w:ascii="Calibri" w:cs="Calibri" w:eastAsia="Calibri" w:hAnsi="Calibri"/>
            <w:color w:val="1e6641"/>
            <w:sz w:val="22"/>
            <w:szCs w:val="22"/>
            <w:u w:val="single"/>
          </w:rPr>
          <w:t xml:space="preserve">  Domestic abuse</w:t>
        </w:r>
      </w:hyperlink>
    </w:p>
    <w:p>
      <w:pPr>
        <w:spacing w:before="40" w:after="40"/>
      </w:pPr>
      <w:hyperlink w:history="1" w:anchor="a_cse">
        <w:r>
          <w:rPr>
            <w:rFonts w:ascii="Calibri" w:cs="Calibri" w:eastAsia="Calibri" w:hAnsi="Calibri"/>
            <w:color w:val="1e6641"/>
            <w:sz w:val="22"/>
            <w:szCs w:val="22"/>
            <w:u w:val="single"/>
          </w:rPr>
          <w:t xml:space="preserve">  Child Sexual and Criminal Exploitation</w:t>
        </w:r>
      </w:hyperlink>
    </w:p>
    <w:p>
      <w:pPr>
        <w:spacing w:before="40" w:after="40"/>
      </w:pPr>
      <w:hyperlink w:history="1" w:anchor="a_trafficking">
        <w:r>
          <w:rPr>
            <w:rFonts w:ascii="Calibri" w:cs="Calibri" w:eastAsia="Calibri" w:hAnsi="Calibri"/>
            <w:color w:val="1e6641"/>
            <w:sz w:val="22"/>
            <w:szCs w:val="22"/>
            <w:u w:val="single"/>
          </w:rPr>
          <w:t xml:space="preserve">  Child trafficking and modern slavery</w:t>
        </w:r>
      </w:hyperlink>
    </w:p>
    <w:p>
      <w:pPr>
        <w:spacing w:before="40" w:after="40"/>
      </w:pPr>
      <w:hyperlink w:history="1" w:anchor="a_contextual">
        <w:r>
          <w:rPr>
            <w:rFonts w:ascii="Calibri" w:cs="Calibri" w:eastAsia="Calibri" w:hAnsi="Calibri"/>
            <w:color w:val="1e6641"/>
            <w:sz w:val="22"/>
            <w:szCs w:val="22"/>
            <w:u w:val="single"/>
          </w:rPr>
          <w:t xml:space="preserve">  Contextual safeguarding and county lines</w:t>
        </w:r>
      </w:hyperlink>
    </w:p>
    <w:p>
      <w:pPr>
        <w:spacing w:before="40" w:after="40"/>
      </w:pPr>
      <w:hyperlink w:history="1" w:anchor="a_hba">
        <w:r>
          <w:rPr>
            <w:rFonts w:ascii="Calibri" w:cs="Calibri" w:eastAsia="Calibri" w:hAnsi="Calibri"/>
            <w:color w:val="1e6641"/>
            <w:sz w:val="22"/>
            <w:szCs w:val="22"/>
            <w:u w:val="single"/>
          </w:rPr>
          <w:t xml:space="preserve">  Honour-based abuse, forced marriage and CALFB</w:t>
        </w:r>
      </w:hyperlink>
    </w:p>
    <w:p>
      <w:pPr>
        <w:spacing w:before="40" w:after="40"/>
      </w:pPr>
      <w:hyperlink w:history="1" w:anchor="a_prevent">
        <w:r>
          <w:rPr>
            <w:rFonts w:ascii="Calibri" w:cs="Calibri" w:eastAsia="Calibri" w:hAnsi="Calibri"/>
            <w:color w:val="1e6641"/>
            <w:sz w:val="22"/>
            <w:szCs w:val="22"/>
            <w:u w:val="single"/>
          </w:rPr>
          <w:t xml:space="preserve">  Extremism and radicalisation</w:t>
        </w:r>
      </w:hyperlink>
    </w:p>
    <w:p>
      <w:pPr>
        <w:spacing w:before="40" w:after="40"/>
      </w:pPr>
      <w:hyperlink w:history="1" w:anchor="a_online">
        <w:r>
          <w:rPr>
            <w:rFonts w:ascii="Calibri" w:cs="Calibri" w:eastAsia="Calibri" w:hAnsi="Calibri"/>
            <w:color w:val="1e6641"/>
            <w:sz w:val="22"/>
            <w:szCs w:val="22"/>
            <w:u w:val="single"/>
          </w:rPr>
          <w:t xml:space="preserve">  Online safety</w:t>
        </w:r>
      </w:hyperlink>
    </w:p>
    <w:p>
      <w:pPr>
        <w:spacing w:before="40" w:after="40"/>
      </w:pPr>
      <w:hyperlink w:history="1" w:anchor="a_disclosure">
        <w:r>
          <w:rPr>
            <w:rFonts w:ascii="Calibri" w:cs="Calibri" w:eastAsia="Calibri" w:hAnsi="Calibri"/>
            <w:color w:val="1e6641"/>
            <w:sz w:val="22"/>
            <w:szCs w:val="22"/>
            <w:u w:val="single"/>
          </w:rPr>
          <w:t xml:space="preserve">Responding to a disclosure</w:t>
        </w:r>
      </w:hyperlink>
    </w:p>
    <w:p>
      <w:pPr>
        <w:spacing w:before="40" w:after="40"/>
      </w:pPr>
      <w:hyperlink w:history="1" w:anchor="a_confidentiality">
        <w:r>
          <w:rPr>
            <w:rFonts w:ascii="Calibri" w:cs="Calibri" w:eastAsia="Calibri" w:hAnsi="Calibri"/>
            <w:color w:val="1e6641"/>
            <w:sz w:val="22"/>
            <w:szCs w:val="22"/>
            <w:u w:val="single"/>
          </w:rPr>
          <w:t xml:space="preserve">Confidentiality</w:t>
        </w:r>
      </w:hyperlink>
    </w:p>
    <w:p>
      <w:pPr>
        <w:spacing w:before="40" w:after="40"/>
      </w:pPr>
      <w:hyperlink w:history="1" w:anchor="a_earlyhelp">
        <w:r>
          <w:rPr>
            <w:rFonts w:ascii="Calibri" w:cs="Calibri" w:eastAsia="Calibri" w:hAnsi="Calibri"/>
            <w:color w:val="1e6641"/>
            <w:sz w:val="22"/>
            <w:szCs w:val="22"/>
            <w:u w:val="single"/>
          </w:rPr>
          <w:t xml:space="preserve">Early Help</w:t>
        </w:r>
      </w:hyperlink>
    </w:p>
    <w:p>
      <w:pPr>
        <w:spacing w:before="40" w:after="40"/>
      </w:pPr>
      <w:hyperlink w:history="1" w:anchor="a_supporting">
        <w:r>
          <w:rPr>
            <w:rFonts w:ascii="Calibri" w:cs="Calibri" w:eastAsia="Calibri" w:hAnsi="Calibri"/>
            <w:color w:val="1e6641"/>
            <w:sz w:val="22"/>
            <w:szCs w:val="22"/>
            <w:u w:val="single"/>
          </w:rPr>
          <w:t xml:space="preserve">Supporting policies</w:t>
        </w:r>
      </w:hyperlink>
    </w:p>
    <w:p>
      <w:pPr>
        <w:spacing w:before="60" w:after="0"/>
      </w:pPr>
      <w:r>
        <w:t xml:space="preserve"/>
      </w:r>
    </w:p>
    <w:p>
      <w:pPr>
        <w:spacing w:before="120" w:after="40"/>
      </w:pPr>
      <w:r>
        <w:rPr>
          <w:rFonts w:ascii="Calibri" w:cs="Calibri" w:eastAsia="Calibri" w:hAnsi="Calibri"/>
          <w:b/>
          <w:bCs/>
          <w:sz w:val="22"/>
          <w:szCs w:val="22"/>
        </w:rPr>
        <w:t xml:space="preserve">PART B — DSL and Leadership</w:t>
      </w:r>
    </w:p>
    <w:p>
      <w:pPr>
        <w:spacing w:before="40" w:after="40"/>
      </w:pPr>
      <w:hyperlink w:history="1" w:anchor="b_dslrole">
        <w:r>
          <w:rPr>
            <w:rFonts w:ascii="Calibri" w:cs="Calibri" w:eastAsia="Calibri" w:hAnsi="Calibri"/>
            <w:color w:val="1e6641"/>
            <w:sz w:val="22"/>
            <w:szCs w:val="22"/>
            <w:u w:val="single"/>
          </w:rPr>
          <w:t xml:space="preserve">The role of the DSL</w:t>
        </w:r>
      </w:hyperlink>
    </w:p>
    <w:p>
      <w:pPr>
        <w:spacing w:before="40" w:after="40"/>
      </w:pPr>
      <w:hyperlink w:history="1" w:anchor="b_thresholds">
        <w:r>
          <w:rPr>
            <w:rFonts w:ascii="Calibri" w:cs="Calibri" w:eastAsia="Calibri" w:hAnsi="Calibri"/>
            <w:color w:val="1e6641"/>
            <w:sz w:val="22"/>
            <w:szCs w:val="22"/>
            <w:u w:val="single"/>
          </w:rPr>
          <w:t xml:space="preserve">Thresholds — Right Help Right Time</w:t>
        </w:r>
      </w:hyperlink>
    </w:p>
    <w:p>
      <w:pPr>
        <w:spacing w:before="40" w:after="40"/>
      </w:pPr>
      <w:hyperlink w:history="1" w:anchor="b_attendance">
        <w:r>
          <w:rPr>
            <w:rFonts w:ascii="Calibri" w:cs="Calibri" w:eastAsia="Calibri" w:hAnsi="Calibri"/>
            <w:color w:val="1e6641"/>
            <w:sz w:val="22"/>
            <w:szCs w:val="22"/>
            <w:u w:val="single"/>
          </w:rPr>
          <w:t xml:space="preserve">Monitoring children's attendance</w:t>
        </w:r>
      </w:hyperlink>
    </w:p>
    <w:p>
      <w:pPr>
        <w:spacing w:before="40" w:after="40"/>
      </w:pPr>
      <w:hyperlink w:history="1" w:anchor="b_llc">
        <w:r>
          <w:rPr>
            <w:rFonts w:ascii="Calibri" w:cs="Calibri" w:eastAsia="Calibri" w:hAnsi="Calibri"/>
            <w:color w:val="1e6641"/>
            <w:sz w:val="22"/>
            <w:szCs w:val="22"/>
            <w:u w:val="single"/>
          </w:rPr>
          <w:t xml:space="preserve">Low-level concerns</w:t>
        </w:r>
      </w:hyperlink>
    </w:p>
    <w:p>
      <w:pPr>
        <w:spacing w:before="40" w:after="40"/>
      </w:pPr>
      <w:hyperlink w:history="1" w:anchor="b_parents">
        <w:r>
          <w:rPr>
            <w:rFonts w:ascii="Calibri" w:cs="Calibri" w:eastAsia="Calibri" w:hAnsi="Calibri"/>
            <w:color w:val="1e6641"/>
            <w:sz w:val="22"/>
            <w:szCs w:val="22"/>
            <w:u w:val="single"/>
          </w:rPr>
          <w:t xml:space="preserve">Informing parents and supporting families</w:t>
        </w:r>
      </w:hyperlink>
    </w:p>
    <w:p>
      <w:pPr>
        <w:spacing w:before="40" w:after="40"/>
      </w:pPr>
      <w:hyperlink w:history="1" w:anchor="b_reporting">
        <w:r>
          <w:rPr>
            <w:rFonts w:ascii="Calibri" w:cs="Calibri" w:eastAsia="Calibri" w:hAnsi="Calibri"/>
            <w:color w:val="1e6641"/>
            <w:sz w:val="22"/>
            <w:szCs w:val="22"/>
            <w:u w:val="single"/>
          </w:rPr>
          <w:t xml:space="preserve">Reporting procedure — step by step</w:t>
        </w:r>
      </w:hyperlink>
    </w:p>
    <w:p>
      <w:pPr>
        <w:spacing w:before="40" w:after="40"/>
      </w:pPr>
      <w:hyperlink w:history="1" w:anchor="b_lado">
        <w:r>
          <w:rPr>
            <w:rFonts w:ascii="Calibri" w:cs="Calibri" w:eastAsia="Calibri" w:hAnsi="Calibri"/>
            <w:color w:val="1e6641"/>
            <w:sz w:val="22"/>
            <w:szCs w:val="22"/>
            <w:u w:val="single"/>
          </w:rPr>
          <w:t xml:space="preserve">Allegations against staff — LADO process</w:t>
        </w:r>
      </w:hyperlink>
    </w:p>
    <w:p>
      <w:pPr>
        <w:spacing w:before="40" w:after="40"/>
      </w:pPr>
      <w:hyperlink w:history="1" w:anchor="b_staffsupport">
        <w:r>
          <w:rPr>
            <w:rFonts w:ascii="Calibri" w:cs="Calibri" w:eastAsia="Calibri" w:hAnsi="Calibri"/>
            <w:color w:val="1e6641"/>
            <w:sz w:val="22"/>
            <w:szCs w:val="22"/>
            <w:u w:val="single"/>
          </w:rPr>
          <w:t xml:space="preserve">Support for staff</w:t>
        </w:r>
      </w:hyperlink>
    </w:p>
    <w:p>
      <w:pPr>
        <w:spacing w:before="40" w:after="40"/>
      </w:pPr>
      <w:hyperlink w:history="1" w:anchor="b_recording">
        <w:r>
          <w:rPr>
            <w:rFonts w:ascii="Calibri" w:cs="Calibri" w:eastAsia="Calibri" w:hAnsi="Calibri"/>
            <w:color w:val="1e6641"/>
            <w:sz w:val="22"/>
            <w:szCs w:val="22"/>
            <w:u w:val="single"/>
          </w:rPr>
          <w:t xml:space="preserve">What to include in a written record</w:t>
        </w:r>
      </w:hyperlink>
    </w:p>
    <w:p>
      <w:pPr>
        <w:spacing w:before="40" w:after="40"/>
      </w:pPr>
      <w:hyperlink w:history="1" w:anchor="b_recruitment">
        <w:r>
          <w:rPr>
            <w:rFonts w:ascii="Calibri" w:cs="Calibri" w:eastAsia="Calibri" w:hAnsi="Calibri"/>
            <w:color w:val="1e6641"/>
            <w:sz w:val="22"/>
            <w:szCs w:val="22"/>
            <w:u w:val="single"/>
          </w:rPr>
          <w:t xml:space="preserve">Recruitment, selection and induction</w:t>
        </w:r>
      </w:hyperlink>
    </w:p>
    <w:p>
      <w:pPr>
        <w:spacing w:before="40" w:after="40"/>
      </w:pPr>
      <w:hyperlink w:history="1" w:anchor="b_training">
        <w:r>
          <w:rPr>
            <w:rFonts w:ascii="Calibri" w:cs="Calibri" w:eastAsia="Calibri" w:hAnsi="Calibri"/>
            <w:color w:val="1e6641"/>
            <w:sz w:val="22"/>
            <w:szCs w:val="22"/>
            <w:u w:val="single"/>
          </w:rPr>
          <w:t xml:space="preserve">Training programme and Annex C compliance</w:t>
        </w:r>
      </w:hyperlink>
    </w:p>
    <w:p>
      <w:pPr>
        <w:spacing w:before="60" w:after="0"/>
      </w:pPr>
      <w:r>
        <w:t xml:space="preserve"/>
      </w:r>
    </w:p>
    <w:p>
      <w:pPr>
        <w:spacing w:before="120" w:after="40"/>
      </w:pPr>
      <w:r>
        <w:rPr>
          <w:rFonts w:ascii="Calibri" w:cs="Calibri" w:eastAsia="Calibri" w:hAnsi="Calibri"/>
          <w:b/>
          <w:bCs/>
          <w:sz w:val="22"/>
          <w:szCs w:val="22"/>
        </w:rPr>
        <w:t xml:space="preserve">Reference</w:t>
      </w:r>
    </w:p>
    <w:p>
      <w:pPr>
        <w:spacing w:before="40" w:after="40"/>
      </w:pPr>
      <w:hyperlink w:history="1" w:anchor="ref_contacts">
        <w:r>
          <w:rPr>
            <w:rFonts w:ascii="Calibri" w:cs="Calibri" w:eastAsia="Calibri" w:hAnsi="Calibri"/>
            <w:color w:val="1e6641"/>
            <w:sz w:val="22"/>
            <w:szCs w:val="22"/>
            <w:u w:val="single"/>
          </w:rPr>
          <w:t xml:space="preserve">Birmingham statutory contacts</w:t>
        </w:r>
      </w:hyperlink>
    </w:p>
    <w:p>
      <w:pPr>
        <w:spacing w:before="40" w:after="40"/>
      </w:pPr>
      <w:hyperlink w:history="1" w:anchor="ref_other">
        <w:r>
          <w:rPr>
            <w:rFonts w:ascii="Calibri" w:cs="Calibri" w:eastAsia="Calibri" w:hAnsi="Calibri"/>
            <w:color w:val="1e6641"/>
            <w:sz w:val="22"/>
            <w:szCs w:val="22"/>
            <w:u w:val="single"/>
          </w:rPr>
          <w:t xml:space="preserve">Other useful contacts</w:t>
        </w:r>
      </w:hyperlink>
    </w:p>
    <w:p>
      <w:pPr>
        <w:spacing w:before="40" w:after="40"/>
      </w:pPr>
      <w:hyperlink w:history="1" w:anchor="ref_legal">
        <w:r>
          <w:rPr>
            <w:rFonts w:ascii="Calibri" w:cs="Calibri" w:eastAsia="Calibri" w:hAnsi="Calibri"/>
            <w:color w:val="1e6641"/>
            <w:sz w:val="22"/>
            <w:szCs w:val="22"/>
            <w:u w:val="single"/>
          </w:rPr>
          <w:t xml:space="preserve">Legal framework</w:t>
        </w:r>
      </w:hyperlink>
    </w:p>
    <w:p>
      <w:r>
        <w:br w:type="page"/>
      </w:r>
    </w:p>
    <w:p>
      <w:pPr>
        <w:shd w:fill="1e6641" w:val="clear"/>
        <w:spacing w:before="0" w:after="60"/>
        <w:jc w:val="center"/>
      </w:pPr>
      <w:r>
        <w:rPr>
          <w:rFonts w:ascii="Calibri" w:cs="Calibri" w:eastAsia="Calibri" w:hAnsi="Calibri"/>
          <w:b/>
          <w:bCs/>
          <w:color w:val="FFFFFF"/>
          <w:sz w:val="32"/>
          <w:szCs w:val="32"/>
        </w:rPr>
        <w:t xml:space="preserve">PART A — All Staff</w:t>
      </w:r>
    </w:p>
    <w:p>
      <w:pPr>
        <w:shd w:fill="1e6641" w:val="clear"/>
        <w:spacing w:before="0" w:after="120"/>
        <w:jc w:val="center"/>
      </w:pPr>
      <w:r>
        <w:rPr>
          <w:rFonts w:ascii="Calibri" w:cs="Calibri" w:eastAsia="Calibri" w:hAnsi="Calibri"/>
          <w:color w:val="FFFFFF"/>
          <w:sz w:val="22"/>
          <w:szCs w:val="22"/>
        </w:rPr>
        <w:t xml:space="preserve">Every member of staff, student and volunteer must read and understand this section</w:t>
      </w:r>
    </w:p>
    <w:p>
      <w:pPr>
        <w:spacing w:before="60" w:after="0"/>
      </w:pPr>
      <w:r>
        <w:t xml:space="preserve"/>
      </w:r>
    </w:p>
    <w:p>
      <w:pPr>
        <w:pBdr>
          <w:bottom w:val="single" w:color="1e6641" w:sz="8" w:space="2"/>
        </w:pBdr>
        <w:spacing w:before="300" w:after="100"/>
      </w:pPr>
      <w:bookmarkStart w:name="a_commitment" w:id="1"/>
      <w:r>
        <w:rPr>
          <w:rFonts w:ascii="Calibri" w:cs="Calibri" w:eastAsia="Calibri" w:hAnsi="Calibri"/>
          <w:b/>
          <w:bCs/>
          <w:color w:val="1e6641"/>
          <w:sz w:val="28"/>
          <w:szCs w:val="28"/>
        </w:rPr>
        <w:t xml:space="preserve">Our commitment and policy intention</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Greencoat Nursery CIC is committed to safeguarding and promoting the welfare of every child in our care. Safeguarding is everyone's responsibility — not just the DSL's. All staff, students and volunteers must be vigilant, report concerns without delay, and never assume that someone else has already acted.</w:t>
      </w:r>
    </w:p>
    <w:p>
      <w:pPr>
        <w:spacing w:before="60" w:after="0"/>
      </w:pPr>
      <w:r>
        <w:t xml:space="preserve"/>
      </w:r>
    </w:p>
    <w:p>
      <w:pPr>
        <w:spacing w:before="60" w:after="60"/>
        <w:jc w:val="both"/>
      </w:pPr>
      <w:r>
        <w:rPr>
          <w:rFonts w:ascii="Calibri" w:cs="Calibri" w:eastAsia="Calibri" w:hAnsi="Calibri"/>
          <w:sz w:val="22"/>
          <w:szCs w:val="22"/>
        </w:rPr>
        <w:t xml:space="preserve">Safeguarding and promoting children's welfare means:</w:t>
      </w:r>
    </w:p>
    <w:p>
      <w:pPr>
        <w:pStyle w:val="ListParagraph"/>
        <w:numPr>
          <w:ilvl w:val="0"/>
          <w:numId w:val="2"/>
        </w:numPr>
        <w:spacing w:before="40" w:after="40"/>
        <w:jc w:val="both"/>
      </w:pPr>
      <w:r>
        <w:rPr>
          <w:rFonts w:ascii="Calibri" w:cs="Calibri" w:eastAsia="Calibri" w:hAnsi="Calibri"/>
          <w:sz w:val="22"/>
          <w:szCs w:val="22"/>
        </w:rPr>
        <w:t xml:space="preserve">Providing help and support as soon as problems emerge</w:t>
      </w:r>
    </w:p>
    <w:p>
      <w:pPr>
        <w:pStyle w:val="ListParagraph"/>
        <w:numPr>
          <w:ilvl w:val="0"/>
          <w:numId w:val="2"/>
        </w:numPr>
        <w:spacing w:before="40" w:after="40"/>
        <w:jc w:val="both"/>
      </w:pPr>
      <w:r>
        <w:rPr>
          <w:rFonts w:ascii="Calibri" w:cs="Calibri" w:eastAsia="Calibri" w:hAnsi="Calibri"/>
          <w:sz w:val="22"/>
          <w:szCs w:val="22"/>
        </w:rPr>
        <w:t xml:space="preserve">Protecting children from maltreatment, whether within or outside the home, including online</w:t>
      </w:r>
    </w:p>
    <w:p>
      <w:pPr>
        <w:pStyle w:val="ListParagraph"/>
        <w:numPr>
          <w:ilvl w:val="0"/>
          <w:numId w:val="2"/>
        </w:numPr>
        <w:spacing w:before="40" w:after="40"/>
        <w:jc w:val="both"/>
      </w:pPr>
      <w:r>
        <w:rPr>
          <w:rFonts w:ascii="Calibri" w:cs="Calibri" w:eastAsia="Calibri" w:hAnsi="Calibri"/>
          <w:sz w:val="22"/>
          <w:szCs w:val="22"/>
        </w:rPr>
        <w:t xml:space="preserve">Preventing impairment of children's mental and physical health or development</w:t>
      </w:r>
    </w:p>
    <w:p>
      <w:pPr>
        <w:pStyle w:val="ListParagraph"/>
        <w:numPr>
          <w:ilvl w:val="0"/>
          <w:numId w:val="2"/>
        </w:numPr>
        <w:spacing w:before="40" w:after="40"/>
        <w:jc w:val="both"/>
      </w:pPr>
      <w:r>
        <w:rPr>
          <w:rFonts w:ascii="Calibri" w:cs="Calibri" w:eastAsia="Calibri" w:hAnsi="Calibri"/>
          <w:sz w:val="22"/>
          <w:szCs w:val="22"/>
        </w:rPr>
        <w:t xml:space="preserve">Ensuring children grow up in circumstances consistent with safe and effective care</w:t>
      </w:r>
    </w:p>
    <w:p>
      <w:pPr>
        <w:pStyle w:val="ListParagraph"/>
        <w:numPr>
          <w:ilvl w:val="0"/>
          <w:numId w:val="2"/>
        </w:numPr>
        <w:spacing w:before="40" w:after="40"/>
        <w:jc w:val="both"/>
      </w:pPr>
      <w:r>
        <w:rPr>
          <w:rFonts w:ascii="Calibri" w:cs="Calibri" w:eastAsia="Calibri" w:hAnsi="Calibri"/>
          <w:sz w:val="22"/>
          <w:szCs w:val="22"/>
        </w:rPr>
        <w:t xml:space="preserve">Taking action to enable all children to have the best outcomes</w:t>
      </w:r>
    </w:p>
    <w:p>
      <w:pPr>
        <w:spacing w:before="60" w:after="0"/>
      </w:pPr>
      <w:r>
        <w:t xml:space="preserve"/>
      </w:r>
    </w:p>
    <w:p>
      <w:pPr>
        <w:spacing w:before="60" w:after="60"/>
        <w:jc w:val="both"/>
      </w:pPr>
      <w:r>
        <w:rPr>
          <w:rFonts w:ascii="Calibri" w:cs="Calibri" w:eastAsia="Calibri" w:hAnsi="Calibri"/>
          <w:sz w:val="22"/>
          <w:szCs w:val="22"/>
        </w:rPr>
        <w:t xml:space="preserve">Child protection is part of safeguarding — not separate to it. It refers specifically to activity undertaken to protect individual children who are suffering, or likely to suffer, significant harm.</w:t>
      </w:r>
    </w:p>
    <w:p>
      <w:pPr>
        <w:spacing w:before="60" w:after="60"/>
        <w:jc w:val="both"/>
      </w:pPr>
      <w:r>
        <w:rPr>
          <w:rFonts w:ascii="Calibri" w:cs="Calibri" w:eastAsia="Calibri" w:hAnsi="Calibri"/>
          <w:i/>
          <w:iCs/>
          <w:sz w:val="22"/>
          <w:szCs w:val="22"/>
        </w:rPr>
        <w:t xml:space="preserve">This policy applies to all children up to the age of 18. It is reviewed annually and always reflects the current EYFS statutory framework and Birmingham Safeguarding Children Partnership (BSCP) procedures.</w:t>
      </w:r>
    </w:p>
    <w:p>
      <w:pPr>
        <w:spacing w:before="60" w:after="0"/>
      </w:pPr>
      <w:r>
        <w:t xml:space="preserve"/>
      </w:r>
    </w:p>
    <w:p>
      <w:pPr>
        <w:pBdr>
          <w:bottom w:val="single" w:color="1e6641" w:sz="8" w:space="2"/>
        </w:pBdr>
        <w:spacing w:before="300" w:after="100"/>
      </w:pPr>
      <w:bookmarkStart w:name="a_contacts" w:id="1"/>
      <w:r>
        <w:rPr>
          <w:rFonts w:ascii="Calibri" w:cs="Calibri" w:eastAsia="Calibri" w:hAnsi="Calibri"/>
          <w:b/>
          <w:bCs/>
          <w:color w:val="1e6641"/>
          <w:sz w:val="28"/>
          <w:szCs w:val="28"/>
        </w:rPr>
        <w:t xml:space="preserve">DSL contacts — who to call</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There is always at least one DSL on duty during Greencoat's opening hours. In any safeguarding situation, tell your DSL immediately — do not wait until the end of your shift.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Name</w:t>
            </w:r>
          </w:p>
        </w:tc>
        <w:tc>
          <w:tcPr>
            <w:tcW w:type="dxa" w:w="336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Organisational DSL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Taz Khan (Director)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07525 536007</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Site DSL — Sparkhill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Zahra Rashid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07858 100 777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Site DSL — Bearwood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Sadiyah Begum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0121 257 3598</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bCs/>
                <w:color w:val="000000"/>
                <w:sz w:val="20"/>
                <w:szCs w:val="20"/>
              </w:rPr>
              <w:t xml:space="preserve">Site DSL — Billesley Ark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Joanna Payne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07756 882000</w:t>
            </w:r>
          </w:p>
        </w:tc>
      </w:tr>
    </w:tbl>
    <w:p>
      <w:pPr>
        <w:spacing w:before="60" w:after="0"/>
      </w:pPr>
      <w:r>
        <w:t xml:space="preserve"/>
      </w:r>
    </w:p>
    <w:p>
      <w:pPr>
        <w:spacing w:before="60" w:after="60"/>
        <w:jc w:val="both"/>
      </w:pPr>
      <w:r>
        <w:rPr>
          <w:rFonts w:ascii="Calibri" w:cs="Calibri" w:eastAsia="Calibri" w:hAnsi="Calibri"/>
          <w:sz w:val="22"/>
          <w:szCs w:val="22"/>
        </w:rPr>
        <w:t xml:space="preserve">If your site DSL is unavailable, contact the Organisational DSL (Taz Khan). If Taz Khan is also unavailable, contact BSCP directly on 0121 303 1888. Do not leave a concern unactioned because your DSL is not present.</w:t>
      </w:r>
    </w:p>
    <w:p>
      <w:pPr>
        <w:spacing w:before="60" w:after="0"/>
      </w:pPr>
      <w:r>
        <w:t xml:space="preserve"/>
      </w:r>
    </w:p>
    <w:p>
      <w:pPr>
        <w:pBdr>
          <w:bottom w:val="single" w:color="1e6641" w:sz="8" w:space="2"/>
        </w:pBdr>
        <w:spacing w:before="300" w:after="100"/>
      </w:pPr>
      <w:bookmarkStart w:name="a_whatdo" w:id="1"/>
      <w:r>
        <w:rPr>
          <w:rFonts w:ascii="Calibri" w:cs="Calibri" w:eastAsia="Calibri" w:hAnsi="Calibri"/>
          <w:b/>
          <w:bCs/>
          <w:color w:val="1e6641"/>
          <w:sz w:val="28"/>
          <w:szCs w:val="28"/>
        </w:rPr>
        <w:t xml:space="preserve">What to do if you have a concern</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b/>
          <w:bCs/>
          <w:color w:val="dc2626"/>
          <w:sz w:val="22"/>
          <w:szCs w:val="22"/>
        </w:rPr>
        <w:t xml:space="preserve">NEVER:</w:t>
      </w:r>
    </w:p>
    <w:p>
      <w:pPr>
        <w:pStyle w:val="ListParagraph"/>
        <w:numPr>
          <w:ilvl w:val="0"/>
          <w:numId w:val="2"/>
        </w:numPr>
        <w:spacing w:before="40" w:after="40"/>
        <w:jc w:val="both"/>
      </w:pPr>
      <w:r>
        <w:rPr>
          <w:rFonts w:ascii="Calibri" w:cs="Calibri" w:eastAsia="Calibri" w:hAnsi="Calibri"/>
          <w:sz w:val="22"/>
          <w:szCs w:val="22"/>
        </w:rPr>
        <w:t xml:space="preserve">Investigate the concern yourself or interview the child</w:t>
      </w:r>
    </w:p>
    <w:p>
      <w:pPr>
        <w:pStyle w:val="ListParagraph"/>
        <w:numPr>
          <w:ilvl w:val="0"/>
          <w:numId w:val="2"/>
        </w:numPr>
        <w:spacing w:before="40" w:after="40"/>
        <w:jc w:val="both"/>
      </w:pPr>
      <w:r>
        <w:rPr>
          <w:rFonts w:ascii="Calibri" w:cs="Calibri" w:eastAsia="Calibri" w:hAnsi="Calibri"/>
          <w:sz w:val="22"/>
          <w:szCs w:val="22"/>
        </w:rPr>
        <w:t xml:space="preserve">Promise the child confidentiality</w:t>
      </w:r>
    </w:p>
    <w:p>
      <w:pPr>
        <w:pStyle w:val="ListParagraph"/>
        <w:numPr>
          <w:ilvl w:val="0"/>
          <w:numId w:val="2"/>
        </w:numPr>
        <w:spacing w:before="40" w:after="40"/>
        <w:jc w:val="both"/>
      </w:pPr>
      <w:r>
        <w:rPr>
          <w:rFonts w:ascii="Calibri" w:cs="Calibri" w:eastAsia="Calibri" w:hAnsi="Calibri"/>
          <w:sz w:val="22"/>
          <w:szCs w:val="22"/>
        </w:rPr>
        <w:t xml:space="preserve">Confront the alleged abuser</w:t>
      </w:r>
    </w:p>
    <w:p>
      <w:pPr>
        <w:pStyle w:val="ListParagraph"/>
        <w:numPr>
          <w:ilvl w:val="0"/>
          <w:numId w:val="2"/>
        </w:numPr>
        <w:spacing w:before="40" w:after="40"/>
        <w:jc w:val="both"/>
      </w:pPr>
      <w:r>
        <w:rPr>
          <w:rFonts w:ascii="Calibri" w:cs="Calibri" w:eastAsia="Calibri" w:hAnsi="Calibri"/>
          <w:sz w:val="22"/>
          <w:szCs w:val="22"/>
        </w:rPr>
        <w:t xml:space="preserve">Take photographs of any injuries</w:t>
      </w:r>
    </w:p>
    <w:p>
      <w:pPr>
        <w:pStyle w:val="ListParagraph"/>
        <w:numPr>
          <w:ilvl w:val="0"/>
          <w:numId w:val="2"/>
        </w:numPr>
        <w:spacing w:before="40" w:after="40"/>
        <w:jc w:val="both"/>
      </w:pPr>
      <w:r>
        <w:rPr>
          <w:rFonts w:ascii="Calibri" w:cs="Calibri" w:eastAsia="Calibri" w:hAnsi="Calibri"/>
          <w:sz w:val="22"/>
          <w:szCs w:val="22"/>
        </w:rPr>
        <w:t xml:space="preserve">Delay reporting because you are not certain</w:t>
      </w:r>
    </w:p>
    <w:p>
      <w:pPr>
        <w:spacing w:before="60" w:after="0"/>
      </w:pPr>
      <w:r>
        <w:t xml:space="preserve"/>
      </w:r>
    </w:p>
    <w:p>
      <w:pPr>
        <w:spacing w:before="60" w:after="60"/>
        <w:jc w:val="both"/>
      </w:pPr>
      <w:r>
        <w:rPr>
          <w:rFonts w:ascii="Calibri" w:cs="Calibri" w:eastAsia="Calibri" w:hAnsi="Calibri"/>
          <w:b/>
          <w:bCs/>
          <w:color w:val="1e6641"/>
          <w:sz w:val="22"/>
          <w:szCs w:val="22"/>
        </w:rPr>
        <w:t xml:space="preserve">ALWAYS:</w:t>
      </w:r>
    </w:p>
    <w:p>
      <w:pPr>
        <w:pStyle w:val="ListParagraph"/>
        <w:numPr>
          <w:ilvl w:val="0"/>
          <w:numId w:val="2"/>
        </w:numPr>
        <w:spacing w:before="40" w:after="40"/>
        <w:jc w:val="both"/>
      </w:pPr>
      <w:r>
        <w:rPr>
          <w:rFonts w:ascii="Calibri" w:cs="Calibri" w:eastAsia="Calibri" w:hAnsi="Calibri"/>
          <w:sz w:val="22"/>
          <w:szCs w:val="22"/>
        </w:rPr>
        <w:t>Tell your DSL immediately — the same day, verbally first. Do not wait until you have completed a written record before speaking to the DSL.</w:t>
      </w:r>
    </w:p>
    <w:p>
      <w:pPr>
        <w:pStyle w:val="ListParagraph"/>
        <w:numPr>
          <w:ilvl w:val="0"/>
          <w:numId w:val="2"/>
        </w:numPr>
        <w:spacing w:before="40" w:after="40"/>
        <w:jc w:val="both"/>
      </w:pPr>
      <w:r>
        <w:rPr>
          <w:rFonts w:ascii="Calibri" w:cs="Calibri" w:eastAsia="Calibri" w:hAnsi="Calibri"/>
          <w:sz w:val="22"/>
          <w:szCs w:val="22"/>
        </w:rPr>
        <w:t xml:space="preserve">Complete the Greencoat Summary of Interaction form as soon as possible — ideally within one hour. This is your written record of the concern and serves the same purpose as the CR8 or CR10 forms used in other Birmingham settings. The form captures exactly what you saw, heard or were told, and provides the written evidence trail that protects both the child and you.</w:t>
      </w:r>
    </w:p>
    <w:p>
      <w:pPr>
        <w:pStyle w:val="ListParagraph"/>
        <w:numPr>
          <w:ilvl w:val="0"/>
          <w:numId w:val="2"/>
        </w:numPr>
        <w:spacing w:before="40" w:after="40"/>
        <w:jc w:val="both"/>
      </w:pPr>
      <w:r>
        <w:rPr>
          <w:rFonts w:ascii="Calibri" w:cs="Calibri" w:eastAsia="Calibri" w:hAnsi="Calibri"/>
          <w:sz w:val="22"/>
          <w:szCs w:val="22"/>
        </w:rPr>
        <w:t>Record what you observed using factual, objective language and the child's own words where possible. Do not include your own interpretation or opinion. The Summary of Interaction form will guide you through what to include.</w:t>
      </w:r>
    </w:p>
    <w:p>
      <w:pPr>
        <w:pStyle w:val="ListParagraph"/>
        <w:numPr>
          <w:ilvl w:val="0"/>
          <w:numId w:val="2"/>
        </w:numPr>
        <w:spacing w:before="40" w:after="40"/>
        <w:jc w:val="both"/>
      </w:pPr>
      <w:r>
        <w:rPr>
          <w:rFonts w:ascii="Calibri" w:cs="Calibri" w:eastAsia="Calibri" w:hAnsi="Calibri"/>
          <w:sz w:val="22"/>
          <w:szCs w:val="22"/>
        </w:rPr>
        <w:t xml:space="preserve">Record what you saw, heard or were told — not your interpretation of it</w:t>
      </w:r>
    </w:p>
    <w:p>
      <w:pPr>
        <w:pStyle w:val="ListParagraph"/>
        <w:numPr>
          <w:ilvl w:val="0"/>
          <w:numId w:val="2"/>
        </w:numPr>
        <w:spacing w:before="40" w:after="40"/>
        <w:jc w:val="both"/>
      </w:pPr>
      <w:r>
        <w:rPr>
          <w:rFonts w:ascii="Calibri" w:cs="Calibri" w:eastAsia="Calibri" w:hAnsi="Calibri"/>
          <w:sz w:val="22"/>
          <w:szCs w:val="22"/>
        </w:rPr>
        <w:t xml:space="preserve">Continue to act normally with the child and their family unless advised otherwise by the DSL</w:t>
      </w:r>
    </w:p>
    <w:p>
      <w:pPr>
        <w:spacing w:before="60" w:after="0"/>
      </w:pPr>
      <w:r>
        <w:t xml:space="preserve"/>
      </w:r>
    </w:p>
    <w:p>
      <w:pPr>
        <w:pBdr>
          <w:top w:val="single" w:color="dc2626" w:sz="4"/>
          <w:left w:val="single" w:color="dc2626" w:sz="12"/>
          <w:bottom w:val="single" w:color="dc2626" w:sz="4"/>
          <w:right w:val="single" w:color="dc2626" w:sz="4"/>
        </w:pBdr>
        <w:shd w:fill="FEF2F2" w:val="clear"/>
        <w:spacing w:before="80" w:after="80"/>
      </w:pPr>
      <w:r>
        <w:rPr>
          <w:rFonts w:ascii="Calibri" w:cs="Calibri" w:eastAsia="Calibri" w:hAnsi="Calibri"/>
          <w:b/>
          <w:bCs/>
          <w:color w:val="dc2626"/>
          <w:sz w:val="20"/>
          <w:szCs w:val="20"/>
        </w:rPr>
        <w:t xml:space="preserve">⚡ If you believe a child is in IMMEDIATE danger, call 999 first, then tell your DSL.</w:t>
      </w:r>
    </w:p>
    <w:p>
      <w:pPr>
        <w:spacing w:before="60" w:after="0"/>
      </w:pPr>
      <w:r>
        <w:t xml:space="preserve"/>
      </w:r>
    </w:p>
    <w:p>
      <w:pPr>
        <w:spacing w:before="60" w:after="60"/>
        <w:jc w:val="both"/>
      </w:pPr>
      <w:r>
        <w:rPr>
          <w:rFonts w:ascii="Calibri" w:cs="Calibri" w:eastAsia="Calibri" w:hAnsi="Calibri"/>
          <w:sz w:val="22"/>
          <w:szCs w:val="22"/>
        </w:rPr>
        <w:t xml:space="preserve">If you are concerned that a concern is not being acted on, you have a professional duty to escalate. Speak to the Organisational DSL (Taz Khan) or contact CASS directly: 0121 303 1888. Refer to the Whistleblowing Policy if you believe concerns are being suppressed.</w:t>
      </w:r>
    </w:p>
    <w:p>
      <w:pPr>
        <w:spacing w:before="60" w:after="0"/>
      </w:pPr>
      <w:r>
        <w:t xml:space="preserve"/>
      </w:r>
    </w:p>
    <w:p>
      <w:pPr>
        <w:pBdr>
          <w:bottom w:val="single" w:color="1e6641" w:sz="8" w:space="2"/>
        </w:pBdr>
        <w:spacing w:before="300" w:after="100"/>
      </w:pPr>
      <w:bookmarkStart w:name="a_recognise" w:id="1"/>
      <w:r>
        <w:rPr>
          <w:rFonts w:ascii="Calibri" w:cs="Calibri" w:eastAsia="Calibri" w:hAnsi="Calibri"/>
          <w:b/>
          <w:bCs/>
          <w:color w:val="1e6641"/>
          <w:sz w:val="28"/>
          <w:szCs w:val="28"/>
        </w:rPr>
        <w:t xml:space="preserve">Recognising abuse and neglect</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The indicators below may not on their own confirm abuse but should raise concern — especially if a child displays multiple signs or if a pattern is developing. Always record and report concerns; it is not your role to investigate or decide whether abuse has occurred.</w:t>
      </w:r>
    </w:p>
    <w:p>
      <w:pPr>
        <w:spacing w:before="60" w:after="0"/>
      </w:pPr>
      <w:r>
        <w:t xml:space="preserve"/>
      </w:r>
    </w:p>
    <w:p>
      <w:pPr>
        <w:spacing w:before="60" w:after="60"/>
        <w:jc w:val="both"/>
      </w:pPr>
      <w:r>
        <w:rPr>
          <w:rFonts w:ascii="Calibri" w:cs="Calibri" w:eastAsia="Calibri" w:hAnsi="Calibri"/>
          <w:sz w:val="22"/>
          <w:szCs w:val="22"/>
        </w:rPr>
        <w:t xml:space="preserve">General indicators across all types of abuse:</w:t>
      </w:r>
    </w:p>
    <w:p>
      <w:pPr>
        <w:pStyle w:val="ListParagraph"/>
        <w:numPr>
          <w:ilvl w:val="0"/>
          <w:numId w:val="2"/>
        </w:numPr>
        <w:spacing w:before="40" w:after="40"/>
        <w:jc w:val="both"/>
      </w:pPr>
      <w:r>
        <w:rPr>
          <w:rFonts w:ascii="Calibri" w:cs="Calibri" w:eastAsia="Calibri" w:hAnsi="Calibri"/>
          <w:sz w:val="22"/>
          <w:szCs w:val="22"/>
        </w:rPr>
        <w:t xml:space="preserve">Failure to thrive or meet developmental milestones</w:t>
      </w:r>
    </w:p>
    <w:p>
      <w:pPr>
        <w:pStyle w:val="ListParagraph"/>
        <w:numPr>
          <w:ilvl w:val="0"/>
          <w:numId w:val="2"/>
        </w:numPr>
        <w:spacing w:before="40" w:after="40"/>
        <w:jc w:val="both"/>
      </w:pPr>
      <w:r>
        <w:rPr>
          <w:rFonts w:ascii="Calibri" w:cs="Calibri" w:eastAsia="Calibri" w:hAnsi="Calibri"/>
          <w:sz w:val="22"/>
          <w:szCs w:val="22"/>
        </w:rPr>
        <w:t xml:space="preserve">Fearful, withdrawn or unusually quiet behaviour</w:t>
      </w:r>
    </w:p>
    <w:p>
      <w:pPr>
        <w:pStyle w:val="ListParagraph"/>
        <w:numPr>
          <w:ilvl w:val="0"/>
          <w:numId w:val="2"/>
        </w:numPr>
        <w:spacing w:before="40" w:after="40"/>
        <w:jc w:val="both"/>
      </w:pPr>
      <w:r>
        <w:rPr>
          <w:rFonts w:ascii="Calibri" w:cs="Calibri" w:eastAsia="Calibri" w:hAnsi="Calibri"/>
          <w:sz w:val="22"/>
          <w:szCs w:val="22"/>
        </w:rPr>
        <w:t xml:space="preserve">Unexplained injuries or conflicting explanations from parents or carers</w:t>
      </w:r>
    </w:p>
    <w:p>
      <w:pPr>
        <w:pStyle w:val="ListParagraph"/>
        <w:numPr>
          <w:ilvl w:val="0"/>
          <w:numId w:val="2"/>
        </w:numPr>
        <w:spacing w:before="40" w:after="40"/>
        <w:jc w:val="both"/>
      </w:pPr>
      <w:r>
        <w:rPr>
          <w:rFonts w:ascii="Calibri" w:cs="Calibri" w:eastAsia="Calibri" w:hAnsi="Calibri"/>
          <w:sz w:val="22"/>
          <w:szCs w:val="22"/>
        </w:rPr>
        <w:t xml:space="preserve">Repeated injuries or unaddressed illnesses</w:t>
      </w:r>
    </w:p>
    <w:p>
      <w:pPr>
        <w:pStyle w:val="ListParagraph"/>
        <w:numPr>
          <w:ilvl w:val="0"/>
          <w:numId w:val="2"/>
        </w:numPr>
        <w:spacing w:before="40" w:after="40"/>
        <w:jc w:val="both"/>
      </w:pPr>
      <w:r>
        <w:rPr>
          <w:rFonts w:ascii="Calibri" w:cs="Calibri" w:eastAsia="Calibri" w:hAnsi="Calibri"/>
          <w:sz w:val="22"/>
          <w:szCs w:val="22"/>
        </w:rPr>
        <w:t xml:space="preserve">Significant or sudden changes in behaviour, mood or presentation</w:t>
      </w:r>
    </w:p>
    <w:p>
      <w:pPr>
        <w:pStyle w:val="ListParagraph"/>
        <w:numPr>
          <w:ilvl w:val="0"/>
          <w:numId w:val="2"/>
        </w:numPr>
        <w:spacing w:before="40" w:after="40"/>
        <w:jc w:val="both"/>
      </w:pPr>
      <w:r>
        <w:rPr>
          <w:rFonts w:ascii="Calibri" w:cs="Calibri" w:eastAsia="Calibri" w:hAnsi="Calibri"/>
          <w:sz w:val="22"/>
          <w:szCs w:val="22"/>
        </w:rPr>
        <w:t xml:space="preserve">A child who is reluctant to go home, or who discloses something that concerns you</w:t>
      </w:r>
    </w:p>
    <w:p>
      <w:pPr>
        <w:spacing w:before="60" w:after="0"/>
      </w:pPr>
      <w:r>
        <w:t xml:space="preserve"/>
      </w:r>
    </w:p>
    <w:p>
      <w:pPr>
        <w:spacing w:before="200" w:after="80"/>
      </w:pPr>
      <w:bookmarkStart w:name="a_physical" w:id="1"/>
      <w:r>
        <w:rPr>
          <w:rFonts w:ascii="Calibri" w:cs="Calibri" w:eastAsia="Calibri" w:hAnsi="Calibri"/>
          <w:b/>
          <w:bCs/>
          <w:sz w:val="24"/>
          <w:szCs w:val="24"/>
        </w:rPr>
        <w:t xml:space="preserve">Physical abuse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Includes hitting, shaking, throwing, poisoning, burning, scalding, drowning, suffocating or otherwise causing physical harm. Fabricating or inducing illness is also a form of physical abuse.</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If physical abuse is suspected, tell the DSL immediately. Do not clean or cover injuries. Record what you observed using the child's own words where appropriate.</w:t>
      </w:r>
    </w:p>
    <w:p>
      <w:pPr>
        <w:spacing w:before="60" w:after="0"/>
      </w:pPr>
      <w:r>
        <w:t xml:space="preserve"/>
      </w:r>
    </w:p>
    <w:p>
      <w:pPr>
        <w:spacing w:before="200" w:after="80"/>
      </w:pPr>
      <w:bookmarkStart w:name="a_fii" w:id="1"/>
      <w:r>
        <w:rPr>
          <w:rFonts w:ascii="Calibri" w:cs="Calibri" w:eastAsia="Calibri" w:hAnsi="Calibri"/>
          <w:b/>
          <w:bCs/>
          <w:sz w:val="24"/>
          <w:szCs w:val="24"/>
        </w:rPr>
        <w:t xml:space="preserve">Fabricated or Induced Illness (FII)</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A parent or carer fabricates or exaggerates symptoms, deliberately induces illness, or interferes with medical treatment. Symptoms are typically only present when the parent is present. Children in our care with frequent unexplained medical episodes require careful monitoring.</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Refer to the DSL without discussing your concern with the parent. Do not confront or question the parent. The DSL will make a referral to CASS.</w:t>
      </w:r>
    </w:p>
    <w:p>
      <w:pPr>
        <w:spacing w:before="60" w:after="0"/>
      </w:pPr>
      <w:r>
        <w:t xml:space="preserve"/>
      </w:r>
    </w:p>
    <w:p>
      <w:pPr>
        <w:spacing w:before="200" w:after="80"/>
      </w:pPr>
      <w:bookmarkStart w:name="a_fgm" w:id="1"/>
      <w:r>
        <w:rPr>
          <w:rFonts w:ascii="Calibri" w:cs="Calibri" w:eastAsia="Calibri" w:hAnsi="Calibri"/>
          <w:b/>
          <w:bCs/>
          <w:sz w:val="24"/>
          <w:szCs w:val="24"/>
        </w:rPr>
        <w:t xml:space="preserve">Female Genital Mutilation (FGM)</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FGM involves injury to or removal of female genital organs with no medical reason. There is a mandatory legal duty for regulated professionals to report to the police if they discover that FGM has been carried out on a girl under 18. Signs include a child in significant pain, difficulty walking or sitting, or a family planning travel to an FGM-practising country.</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immediately. If FGM has been carried out on a girl under 18, the DSL must report to the police — this is a mandatory legal duty with no exceptions.</w:t>
      </w:r>
    </w:p>
    <w:p>
      <w:pPr>
        <w:spacing w:before="60" w:after="0"/>
      </w:pPr>
      <w:r>
        <w:t xml:space="preserve"/>
      </w:r>
    </w:p>
    <w:p>
      <w:pPr>
        <w:spacing w:before="200" w:after="80"/>
      </w:pPr>
      <w:bookmarkStart w:name="a_emotional" w:id="1"/>
      <w:r>
        <w:rPr>
          <w:rFonts w:ascii="Calibri" w:cs="Calibri" w:eastAsia="Calibri" w:hAnsi="Calibri"/>
          <w:b/>
          <w:bCs/>
          <w:sz w:val="24"/>
          <w:szCs w:val="24"/>
        </w:rPr>
        <w:t xml:space="preserve">Emotional abuse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Persistent emotional maltreatment causing severe adverse effects on a child's emotional development. Includes conveying to a child that they are worthless, unloved or inadequate; age or developmentally inappropriate expectations; exploiting or corrupting a child. Some level of emotional abuse is present in all other types of abuse.</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Record specific observations — language used to or about the child, interactions witnessed, any disclosures. Tell the DSL.</w:t>
      </w:r>
    </w:p>
    <w:p>
      <w:pPr>
        <w:spacing w:before="60" w:after="0"/>
      </w:pPr>
      <w:r>
        <w:t xml:space="preserve"/>
      </w:r>
    </w:p>
    <w:p>
      <w:pPr>
        <w:spacing w:before="200" w:after="80"/>
      </w:pPr>
      <w:bookmarkStart w:name="a_sexual" w:id="1"/>
      <w:r>
        <w:rPr>
          <w:rFonts w:ascii="Calibri" w:cs="Calibri" w:eastAsia="Calibri" w:hAnsi="Calibri"/>
          <w:b/>
          <w:bCs/>
          <w:sz w:val="24"/>
          <w:szCs w:val="24"/>
        </w:rPr>
        <w:t xml:space="preserve">Sexual abuse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Involves forcing or enticing a child to take part in sexual activities. Does not require physical violence and the child may not be aware that what is happening is abusive. Includes penetrative acts, non-penetrative acts, and non-contact activities such as involving children in watching sexual activity or producing sexual imagery.</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immediately. Do not ask the child to repeat anything or reassure them before speaking to the DSL.</w:t>
      </w:r>
    </w:p>
    <w:p>
      <w:pPr>
        <w:spacing w:before="60" w:after="0"/>
      </w:pPr>
      <w:r>
        <w:t xml:space="preserve"/>
      </w:r>
    </w:p>
    <w:p>
      <w:pPr>
        <w:spacing w:before="200" w:after="80"/>
      </w:pPr>
      <w:bookmarkStart w:name="a_neglect" w:id="1"/>
      <w:r>
        <w:rPr>
          <w:rFonts w:ascii="Calibri" w:cs="Calibri" w:eastAsia="Calibri" w:hAnsi="Calibri"/>
          <w:b/>
          <w:bCs/>
          <w:sz w:val="24"/>
          <w:szCs w:val="24"/>
        </w:rPr>
        <w:t xml:space="preserve">Neglect</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The persistent failure to meet a child's basic physical and/or psychological needs. In an early years context, watch for children who are consistently hungry, inadequately clothed for the weather, appear dirty or have unaddressed medical needs. Also watch for emotional neglect — a child whose emotional needs are consistently unmet.</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Keep dated observations. A single incident may not be neglect; a pattern of observations is significant.</w:t>
      </w:r>
    </w:p>
    <w:p>
      <w:pPr>
        <w:spacing w:before="60" w:after="0"/>
      </w:pPr>
      <w:r>
        <w:t xml:space="preserve"/>
      </w:r>
    </w:p>
    <w:p>
      <w:pPr>
        <w:spacing w:before="200" w:after="80"/>
      </w:pPr>
      <w:bookmarkStart w:name="a_coc" w:id="1"/>
      <w:r>
        <w:rPr>
          <w:rFonts w:ascii="Calibri" w:cs="Calibri" w:eastAsia="Calibri" w:hAnsi="Calibri"/>
          <w:b/>
          <w:bCs/>
          <w:sz w:val="24"/>
          <w:szCs w:val="24"/>
        </w:rPr>
        <w:t xml:space="preserve">Child-on-child abuse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Even in early years, children can harm other children — through physical harm, emotional harm, or sexualised behaviour. Sexualised behaviour in young children that is beyond what is developmentally expected should always be treated as a potential indicator of the child's own experience of abuse.</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Do not investigate yourself or speak to the families of both children without DSL guidance. Both children may require safeguarding support.</w:t>
      </w:r>
    </w:p>
    <w:p>
      <w:pPr>
        <w:spacing w:before="60" w:after="0"/>
      </w:pPr>
      <w:r>
        <w:t xml:space="preserve"/>
      </w:r>
    </w:p>
    <w:p>
      <w:pPr>
        <w:spacing w:before="200" w:after="80"/>
      </w:pPr>
      <w:bookmarkStart w:name="a_domestic" w:id="1"/>
      <w:r>
        <w:rPr>
          <w:rFonts w:ascii="Calibri" w:cs="Calibri" w:eastAsia="Calibri" w:hAnsi="Calibri"/>
          <w:b/>
          <w:bCs/>
          <w:sz w:val="24"/>
          <w:szCs w:val="24"/>
        </w:rPr>
        <w:t xml:space="preserve">Domestic abuse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Behaviour between personally connected people that is physically, sexually, financially or psychologically abusive. Domestic abuse has a profound impact on children who witness it, even if they are not the direct target. Under the Domestic Abuse Act 2021, children who see, hear or experience the effects of domestic abuse are recognised as victims.</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Do not disclose your concerns to the non-abusing parent if doing so could increase the risk to the child or that parent.</w:t>
      </w:r>
    </w:p>
    <w:p>
      <w:pPr>
        <w:spacing w:before="60" w:after="0"/>
      </w:pPr>
      <w:r>
        <w:t xml:space="preserve"/>
      </w:r>
    </w:p>
    <w:p>
      <w:pPr>
        <w:spacing w:before="200" w:after="80"/>
      </w:pPr>
      <w:bookmarkStart w:name="a_cse" w:id="1"/>
      <w:r>
        <w:rPr>
          <w:rFonts w:ascii="Calibri" w:cs="Calibri" w:eastAsia="Calibri" w:hAnsi="Calibri"/>
          <w:b/>
          <w:bCs/>
          <w:sz w:val="24"/>
          <w:szCs w:val="24"/>
        </w:rPr>
        <w:t xml:space="preserve">Child Sexual Exploitation (CSE) and Child Criminal Exploitation (CCE)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Both involve exploiting a power imbalance to coerce, manipulate or deceive a child into sexual or criminal activity, often in exchange for gifts, affection or protection. In early years, signs are more likely to present through a parent or carer who is themselves being exploited, or through a child whose older siblings are at risk.</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Do not share your concerns with the family.</w:t>
      </w:r>
    </w:p>
    <w:p>
      <w:pPr>
        <w:spacing w:before="60" w:after="0"/>
      </w:pPr>
      <w:r>
        <w:t xml:space="preserve"/>
      </w:r>
    </w:p>
    <w:p>
      <w:pPr>
        <w:spacing w:before="200" w:after="80"/>
      </w:pPr>
      <w:bookmarkStart w:name="a_trafficking" w:id="1"/>
      <w:r>
        <w:rPr>
          <w:rFonts w:ascii="Calibri" w:cs="Calibri" w:eastAsia="Calibri" w:hAnsi="Calibri"/>
          <w:b/>
          <w:bCs/>
          <w:sz w:val="24"/>
          <w:szCs w:val="24"/>
        </w:rPr>
        <w:t xml:space="preserve">Child trafficking and modern slavery</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Involves recruiting, moving and exploiting children through sexual exploitation, forced labour, domestic servitude or criminal activity. Signs include a child who is controlled, unable to move freely, malnourished or has unexplained injuries.</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immediately. The DSL will contact the National Referral Mechanism if trafficking is suspected.</w:t>
      </w:r>
    </w:p>
    <w:p>
      <w:pPr>
        <w:spacing w:before="60" w:after="0"/>
      </w:pPr>
      <w:r>
        <w:t xml:space="preserve"/>
      </w:r>
    </w:p>
    <w:p>
      <w:pPr>
        <w:spacing w:before="200" w:after="80"/>
      </w:pPr>
      <w:bookmarkStart w:name="a_contextual" w:id="1"/>
      <w:r>
        <w:rPr>
          <w:rFonts w:ascii="Calibri" w:cs="Calibri" w:eastAsia="Calibri" w:hAnsi="Calibri"/>
          <w:b/>
          <w:bCs/>
          <w:sz w:val="24"/>
          <w:szCs w:val="24"/>
        </w:rPr>
        <w:t xml:space="preserve">Contextual safeguarding — county lines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County lines gangs use children and young people to transport drugs between areas through coercion and exploitation. Contextual safeguarding recognises that children can be harmed in contexts beyond their immediate family. In our settings, this is more likely to be relevant to older siblings or parents of children in our care.</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if you have concerns about a child or their family's involvement with gangs or drug networks.</w:t>
      </w:r>
    </w:p>
    <w:p>
      <w:pPr>
        <w:spacing w:before="60" w:after="0"/>
      </w:pPr>
      <w:r>
        <w:t xml:space="preserve"/>
      </w:r>
    </w:p>
    <w:p>
      <w:pPr>
        <w:spacing w:before="200" w:after="80"/>
      </w:pPr>
      <w:bookmarkStart w:name="a_hba" w:id="1"/>
      <w:r>
        <w:rPr>
          <w:rFonts w:ascii="Calibri" w:cs="Calibri" w:eastAsia="Calibri" w:hAnsi="Calibri"/>
          <w:b/>
          <w:bCs/>
          <w:sz w:val="24"/>
          <w:szCs w:val="24"/>
        </w:rPr>
        <w:t xml:space="preserve">Honour-based abuse, forced marriage and CALFB</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Honour-based abuse covers incidents committed to protect or defend the 'honour' of a family or community. Forced marriage is where one or both parties cannot genuinely consent. Child Abuse Linked to Faith or Belief (CALFB) includes beliefs in witchcraft, spirit possession or 'juju'. Signs across all three may include visible injuries, frequent absences, withdrawal, restrictions on friendships, or a child expressing fear.</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Do not approach the family or attempt to mediate. The DSL will assess whether a referral to CASS, police or the Forced Marriage Unit is required.</w:t>
      </w:r>
    </w:p>
    <w:p>
      <w:pPr>
        <w:spacing w:before="60" w:after="0"/>
      </w:pPr>
      <w:r>
        <w:t xml:space="preserve"/>
      </w:r>
    </w:p>
    <w:p>
      <w:pPr>
        <w:spacing w:before="200" w:after="80"/>
      </w:pPr>
      <w:bookmarkStart w:name="a_prevent" w:id="1"/>
      <w:r>
        <w:rPr>
          <w:rFonts w:ascii="Calibri" w:cs="Calibri" w:eastAsia="Calibri" w:hAnsi="Calibri"/>
          <w:b/>
          <w:bCs/>
          <w:sz w:val="24"/>
          <w:szCs w:val="24"/>
        </w:rPr>
        <w:t xml:space="preserve">Extremism and radicalisation</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Under the Counter-Terrorism and Security Act 2015 (Prevent Duty), we must help prevent children and their families from being drawn into terrorism. Radicalisation is a process, not an event. Signs may include a child or family member expressing extremist views, sudden changes in behaviour or ideology, or accessing extremist material. Report concerns about Prevent to the DSL, who can make a referral to Channel if appropriate.</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Do not challenge extremist views directly with the family. The DSL will seek advice from the local Prevent coordinator.</w:t>
      </w:r>
    </w:p>
    <w:p>
      <w:pPr>
        <w:spacing w:before="60" w:after="0"/>
      </w:pPr>
      <w:r>
        <w:t xml:space="preserve"/>
      </w:r>
    </w:p>
    <w:p>
      <w:pPr>
        <w:spacing w:before="200" w:after="80"/>
      </w:pPr>
      <w:bookmarkStart w:name="a_online" w:id="1"/>
      <w:r>
        <w:rPr>
          <w:rFonts w:ascii="Calibri" w:cs="Calibri" w:eastAsia="Calibri" w:hAnsi="Calibri"/>
          <w:b/>
          <w:bCs/>
          <w:sz w:val="24"/>
          <w:szCs w:val="24"/>
        </w:rPr>
        <w:t xml:space="preserve">Online safety</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Technology is a component of many safeguarding issues. The four areas of risk are: Content (harmful material), Contact (harmful people), Conduct (harmful behaviour online) and Commerce (financial exploitation, gambling). Also includes up-skirting and image-based abuse. Report online safety concerns to the DSL and, where appropriate, to CEOP (ceop.police.uk).</w:t>
      </w:r>
    </w:p>
    <w:p>
      <w:pPr>
        <w:spacing w:before="60" w:after="0"/>
      </w:pPr>
      <w:r>
        <w:t xml:space="preserve"/>
      </w:r>
    </w:p>
    <w:p>
      <w:pPr>
        <w:pBdr>
          <w:top w:val="single" w:color="1e6641" w:sz="4"/>
          <w:left w:val="single" w:color="1e6641" w:sz="12"/>
          <w:bottom w:val="single" w:color="1e6641" w:sz="4"/>
          <w:right w:val="single" w:color="1e6641" w:sz="4"/>
        </w:pBdr>
        <w:shd w:fill="F0FDF4" w:val="clear"/>
        <w:spacing w:before="80" w:after="80"/>
      </w:pPr>
      <w:r>
        <w:rPr>
          <w:rFonts w:ascii="Calibri" w:cs="Calibri" w:eastAsia="Calibri" w:hAnsi="Calibri"/>
          <w:b/>
          <w:bCs/>
          <w:color w:val="1e6641"/>
          <w:sz w:val="20"/>
          <w:szCs w:val="20"/>
        </w:rPr>
        <w:t xml:space="preserve">⚡ Report: Tell the DSL. If a child discloses viewing disturbing content or makes a disclosure linked to online contact, do not access or preserve the material yourself.</w:t>
      </w:r>
    </w:p>
    <w:p>
      <w:pPr>
        <w:spacing w:before="60" w:after="0"/>
      </w:pPr>
      <w:r>
        <w:t xml:space="preserve"/>
      </w:r>
    </w:p>
    <w:p>
      <w:pPr>
        <w:pBdr>
          <w:bottom w:val="single" w:color="1e6641" w:sz="8" w:space="2"/>
        </w:pBdr>
        <w:spacing w:before="300" w:after="100"/>
      </w:pPr>
      <w:bookmarkStart w:name="a_disclosure" w:id="1"/>
      <w:r>
        <w:rPr>
          <w:rFonts w:ascii="Calibri" w:cs="Calibri" w:eastAsia="Calibri" w:hAnsi="Calibri"/>
          <w:b/>
          <w:bCs/>
          <w:color w:val="1e6641"/>
          <w:sz w:val="28"/>
          <w:szCs w:val="28"/>
        </w:rPr>
        <w:t xml:space="preserve">Responding to a disclosure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If a child tells you something that concerns you, or if you witness something that makes you concerned: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w:t>
            </w:r>
          </w:p>
        </w:tc>
        <w:tc>
          <w:tcPr>
            <w:tcW w:type="dxa" w:w="468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Stay calm and listen carefully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Show shock or disbelief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Use the child's own words back to them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Ask leading questions or probe for more 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Tell the child they were right to tell you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Promise to keep it a secret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Tell the child what will happen next (you will speak to the DSL to get help)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Make promises you cannot keep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Record the child's words as accurately as possible, as soon as possible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Delay telling the DSL until the end of the day</w:t>
            </w:r>
          </w:p>
        </w:tc>
      </w:tr>
    </w:tbl>
    <w:p>
      <w:pPr>
        <w:spacing w:before="60" w:after="0"/>
      </w:pPr>
      <w:r>
        <w:t xml:space="preserve"/>
      </w:r>
    </w:p>
    <w:p>
      <w:pPr>
        <w:pBdr>
          <w:bottom w:val="single" w:color="1e6641" w:sz="8" w:space="2"/>
        </w:pBdr>
        <w:spacing w:before="300" w:after="100"/>
      </w:pPr>
      <w:bookmarkStart w:name="a_confidentiality" w:id="1"/>
      <w:r>
        <w:rPr>
          <w:rFonts w:ascii="Calibri" w:cs="Calibri" w:eastAsia="Calibri" w:hAnsi="Calibri"/>
          <w:b/>
          <w:bCs/>
          <w:color w:val="1e6641"/>
          <w:sz w:val="28"/>
          <w:szCs w:val="28"/>
        </w:rPr>
        <w:t xml:space="preserve">Confidentiality</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Confidentiality must not override the right of a child to be protected from harm. Information about a safeguarding concern will be shared with those who need to know — but no further.</w:t>
      </w:r>
    </w:p>
    <w:p>
      <w:pPr>
        <w:pStyle w:val="ListParagraph"/>
        <w:numPr>
          <w:ilvl w:val="0"/>
          <w:numId w:val="2"/>
        </w:numPr>
        <w:spacing w:before="40" w:after="40"/>
        <w:jc w:val="both"/>
      </w:pPr>
      <w:r>
        <w:rPr>
          <w:rFonts w:ascii="Calibri" w:cs="Calibri" w:eastAsia="Calibri" w:hAnsi="Calibri"/>
          <w:sz w:val="22"/>
          <w:szCs w:val="22"/>
        </w:rPr>
        <w:t xml:space="preserve">Do not discuss concerns with colleagues unless the DSL has advised this is appropriate</w:t>
      </w:r>
    </w:p>
    <w:p>
      <w:pPr>
        <w:pStyle w:val="ListParagraph"/>
        <w:numPr>
          <w:ilvl w:val="0"/>
          <w:numId w:val="2"/>
        </w:numPr>
        <w:spacing w:before="40" w:after="40"/>
        <w:jc w:val="both"/>
      </w:pPr>
      <w:r>
        <w:rPr>
          <w:rFonts w:ascii="Calibri" w:cs="Calibri" w:eastAsia="Calibri" w:hAnsi="Calibri"/>
          <w:sz w:val="22"/>
          <w:szCs w:val="22"/>
        </w:rPr>
        <w:t xml:space="preserve">Do not make comments publicly or in private about the supposed or actual behaviour of a family</w:t>
      </w:r>
    </w:p>
    <w:p>
      <w:pPr>
        <w:pStyle w:val="ListParagraph"/>
        <w:numPr>
          <w:ilvl w:val="0"/>
          <w:numId w:val="2"/>
        </w:numPr>
        <w:spacing w:before="40" w:after="40"/>
        <w:jc w:val="both"/>
      </w:pPr>
      <w:r>
        <w:rPr>
          <w:rFonts w:ascii="Calibri" w:cs="Calibri" w:eastAsia="Calibri" w:hAnsi="Calibri"/>
          <w:sz w:val="22"/>
          <w:szCs w:val="22"/>
        </w:rPr>
        <w:t xml:space="preserve">If uncertain about whether sensitive information can be shared, contact the DSL or the Information Commissioner's Office helpline: 0303 123 1113</w:t>
      </w:r>
    </w:p>
    <w:p>
      <w:pPr>
        <w:spacing w:before="60" w:after="0"/>
      </w:pPr>
      <w:r>
        <w:t xml:space="preserve"/>
      </w:r>
    </w:p>
    <w:p>
      <w:pPr>
        <w:pBdr>
          <w:bottom w:val="single" w:color="1e6641" w:sz="8" w:space="2"/>
        </w:pBdr>
        <w:spacing w:before="300" w:after="100"/>
      </w:pPr>
      <w:bookmarkStart w:name="a_earlyhelp" w:id="1"/>
      <w:r>
        <w:rPr>
          <w:rFonts w:ascii="Calibri" w:cs="Calibri" w:eastAsia="Calibri" w:hAnsi="Calibri"/>
          <w:b/>
          <w:bCs/>
          <w:color w:val="1e6641"/>
          <w:sz w:val="28"/>
          <w:szCs w:val="28"/>
        </w:rPr>
        <w:t xml:space="preserve">Early Help</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Early Help means taking action to support a child or family as soon as a problem emerges, at any stage in a child's life. In Birmingham, Early Help is accessed through Early Help Locality Hubs via the Family Connect form on the BSCP website (lscpbirmingham.org.uk). All staff can contribute to Early Help by sharing observations with the DSL and by maintaining warm, open relationships with families.</w:t>
      </w:r>
    </w:p>
    <w:p>
      <w:pPr>
        <w:spacing w:before="60" w:after="0"/>
      </w:pPr>
      <w:r>
        <w:t xml:space="preserve"/>
      </w:r>
    </w:p>
    <w:p>
      <w:pPr>
        <w:pBdr>
          <w:bottom w:val="single" w:color="1e6641" w:sz="8" w:space="2"/>
        </w:pBdr>
        <w:spacing w:before="300" w:after="100"/>
      </w:pPr>
      <w:bookmarkStart w:name="a_supporting" w:id="1"/>
      <w:r>
        <w:rPr>
          <w:rFonts w:ascii="Calibri" w:cs="Calibri" w:eastAsia="Calibri" w:hAnsi="Calibri"/>
          <w:b/>
          <w:bCs/>
          <w:color w:val="1e6641"/>
          <w:sz w:val="28"/>
          <w:szCs w:val="28"/>
        </w:rPr>
        <w:t xml:space="preserve">Supporting policies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This policy is read alongside the following. All are available in the Greencoat staff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Absence Policy (Children)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Online Safety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CCTV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Promoting Positive Behaviour Policy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Data Protection Policy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Safer Recruitment Policy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Emergency Lockdown Policy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Respectful Intimate Care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Inclusion and Equality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SEND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Late Collection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Staff Code of Conduct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Lone Working Policy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Supervision of Children Policy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Low-Level Concerns Policy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Supervision of Visitors 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Missing Child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Whistleblowing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Mobile Phone and Electronic Device Policy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Nappy Changing Policy</w:t>
            </w:r>
          </w:p>
        </w:tc>
      </w:tr>
    </w:tbl>
    <w:p>
      <w:pPr>
        <w:spacing w:before="60" w:after="0"/>
      </w:pPr>
      <w:r>
        <w:t xml:space="preserve"/>
      </w:r>
    </w:p>
    <w:p>
      <w:r>
        <w:br w:type="page"/>
      </w:r>
    </w:p>
    <w:p>
      <w:pPr>
        <w:shd w:fill="1e3a5f" w:val="clear"/>
        <w:spacing w:before="0" w:after="60"/>
        <w:jc w:val="center"/>
      </w:pPr>
      <w:r>
        <w:rPr>
          <w:rFonts w:ascii="Calibri" w:cs="Calibri" w:eastAsia="Calibri" w:hAnsi="Calibri"/>
          <w:b/>
          <w:bCs/>
          <w:color w:val="FFFFFF"/>
          <w:sz w:val="32"/>
          <w:szCs w:val="32"/>
        </w:rPr>
        <w:t xml:space="preserve">PART B — DSL and Leadership</w:t>
      </w:r>
    </w:p>
    <w:p>
      <w:pPr>
        <w:shd w:fill="1e3a5f" w:val="clear"/>
        <w:spacing w:before="0" w:after="120"/>
        <w:jc w:val="center"/>
      </w:pPr>
      <w:r>
        <w:rPr>
          <w:rFonts w:ascii="Calibri" w:cs="Calibri" w:eastAsia="Calibri" w:hAnsi="Calibri"/>
          <w:color w:val="FFFFFF"/>
          <w:sz w:val="22"/>
          <w:szCs w:val="22"/>
        </w:rPr>
        <w:t xml:space="preserve">Detailed procedures for Designated Safeguarding Leads and the leadership team</w:t>
      </w:r>
    </w:p>
    <w:p>
      <w:pPr>
        <w:spacing w:before="60" w:after="0"/>
      </w:pPr>
      <w:r>
        <w:t xml:space="preserve"/>
      </w:r>
    </w:p>
    <w:p>
      <w:pPr>
        <w:pBdr>
          <w:bottom w:val="single" w:color="1e6641" w:sz="8" w:space="2"/>
        </w:pBdr>
        <w:spacing w:before="300" w:after="100"/>
      </w:pPr>
      <w:bookmarkStart w:name="b_dslrole" w:id="1"/>
      <w:r>
        <w:rPr>
          <w:rFonts w:ascii="Calibri" w:cs="Calibri" w:eastAsia="Calibri" w:hAnsi="Calibri"/>
          <w:b/>
          <w:bCs/>
          <w:color w:val="1e6641"/>
          <w:sz w:val="28"/>
          <w:szCs w:val="28"/>
        </w:rPr>
        <w:t xml:space="preserve">The role of the DSL</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The DSL has overall responsibility for this policy and its day-to-day implementation. They are the source of safeguarding expertise and advice for all staff, students, volunteers, children and parents. DSLs receive comprehensive training at least every two years and refresh their knowledge at least annually.</w:t>
      </w:r>
    </w:p>
    <w:p>
      <w:pPr>
        <w:spacing w:before="60" w:after="0"/>
      </w:pPr>
      <w:r>
        <w:t xml:space="preserve"/>
      </w:r>
    </w:p>
    <w:p>
      <w:pPr>
        <w:spacing w:before="60" w:after="60"/>
        <w:jc w:val="both"/>
      </w:pPr>
      <w:r>
        <w:rPr>
          <w:rFonts w:ascii="Calibri" w:cs="Calibri" w:eastAsia="Calibri" w:hAnsi="Calibri"/>
          <w:b/>
          <w:bCs/>
          <w:sz w:val="22"/>
          <w:szCs w:val="22"/>
        </w:rPr>
        <w:t xml:space="preserve">The DSL is responsible for:</w:t>
      </w:r>
    </w:p>
    <w:p>
      <w:pPr>
        <w:pStyle w:val="ListParagraph"/>
        <w:numPr>
          <w:ilvl w:val="0"/>
          <w:numId w:val="2"/>
        </w:numPr>
        <w:spacing w:before="40" w:after="40"/>
        <w:jc w:val="both"/>
      </w:pPr>
      <w:r>
        <w:rPr>
          <w:rFonts w:ascii="Calibri" w:cs="Calibri" w:eastAsia="Calibri" w:hAnsi="Calibri"/>
          <w:sz w:val="22"/>
          <w:szCs w:val="22"/>
        </w:rPr>
        <w:t xml:space="preserve">Updating this policy and procedures in line with new legislation, BSCP guidance and any incidents arising</w:t>
      </w:r>
    </w:p>
    <w:p>
      <w:pPr>
        <w:pStyle w:val="ListParagraph"/>
        <w:numPr>
          <w:ilvl w:val="0"/>
          <w:numId w:val="2"/>
        </w:numPr>
        <w:spacing w:before="40" w:after="40"/>
        <w:jc w:val="both"/>
      </w:pPr>
      <w:r>
        <w:rPr>
          <w:rFonts w:ascii="Calibri" w:cs="Calibri" w:eastAsia="Calibri" w:hAnsi="Calibri"/>
          <w:sz w:val="22"/>
          <w:szCs w:val="22"/>
        </w:rPr>
        <w:t xml:space="preserve">Monitoring policies and procedures on an ongoing basis to ensure they remain effective</w:t>
      </w:r>
    </w:p>
    <w:p>
      <w:pPr>
        <w:pStyle w:val="ListParagraph"/>
        <w:numPr>
          <w:ilvl w:val="0"/>
          <w:numId w:val="2"/>
        </w:numPr>
        <w:spacing w:before="40" w:after="40"/>
        <w:jc w:val="both"/>
      </w:pPr>
      <w:r>
        <w:rPr>
          <w:rFonts w:ascii="Calibri" w:cs="Calibri" w:eastAsia="Calibri" w:hAnsi="Calibri"/>
          <w:sz w:val="22"/>
          <w:szCs w:val="22"/>
        </w:rPr>
        <w:t xml:space="preserve">Ensuring alignment with the Birmingham Safeguarding Children Partnership (BSCP) and the West Midlands Regional Safeguarding Procedures (westmids-birmingham.trixonline.co.uk)</w:t>
      </w:r>
    </w:p>
    <w:p>
      <w:pPr>
        <w:pStyle w:val="ListParagraph"/>
        <w:numPr>
          <w:ilvl w:val="0"/>
          <w:numId w:val="2"/>
        </w:numPr>
        <w:spacing w:before="40" w:after="40"/>
        <w:jc w:val="both"/>
      </w:pPr>
      <w:r>
        <w:rPr>
          <w:rFonts w:ascii="Calibri" w:cs="Calibri" w:eastAsia="Calibri" w:hAnsi="Calibri"/>
          <w:sz w:val="22"/>
          <w:szCs w:val="22"/>
        </w:rPr>
        <w:t xml:space="preserve">Acting as the source of support, advice and expertise for all staff, students, volunteers, children and parents</w:t>
      </w:r>
    </w:p>
    <w:p>
      <w:pPr>
        <w:pStyle w:val="ListParagraph"/>
        <w:numPr>
          <w:ilvl w:val="0"/>
          <w:numId w:val="2"/>
        </w:numPr>
        <w:spacing w:before="40" w:after="40"/>
        <w:jc w:val="both"/>
      </w:pPr>
      <w:r>
        <w:rPr>
          <w:rFonts w:ascii="Calibri" w:cs="Calibri" w:eastAsia="Calibri" w:hAnsi="Calibri"/>
          <w:sz w:val="22"/>
          <w:szCs w:val="22"/>
        </w:rPr>
        <w:t xml:space="preserve">Maintaining detailed, accurate, secure written records of all concerns and referrals</w:t>
      </w:r>
    </w:p>
    <w:p>
      <w:pPr>
        <w:pStyle w:val="ListParagraph"/>
        <w:numPr>
          <w:ilvl w:val="0"/>
          <w:numId w:val="2"/>
        </w:numPr>
        <w:spacing w:before="40" w:after="40"/>
        <w:jc w:val="both"/>
      </w:pPr>
      <w:r>
        <w:rPr>
          <w:rFonts w:ascii="Calibri" w:cs="Calibri" w:eastAsia="Calibri" w:hAnsi="Calibri"/>
          <w:sz w:val="22"/>
          <w:szCs w:val="22"/>
        </w:rPr>
        <w:t xml:space="preserve">Applying the Right Help Right Time threshold framework to assess information and refer appropriately</w:t>
      </w:r>
    </w:p>
    <w:p>
      <w:pPr>
        <w:pStyle w:val="ListParagraph"/>
        <w:numPr>
          <w:ilvl w:val="0"/>
          <w:numId w:val="2"/>
        </w:numPr>
        <w:spacing w:before="40" w:after="40"/>
        <w:jc w:val="both"/>
      </w:pPr>
      <w:r>
        <w:rPr>
          <w:rFonts w:ascii="Calibri" w:cs="Calibri" w:eastAsia="Calibri" w:hAnsi="Calibri"/>
          <w:sz w:val="22"/>
          <w:szCs w:val="22"/>
        </w:rPr>
        <w:t xml:space="preserve">Making formal referrals to CASS, the LADO or the police as required</w:t>
      </w:r>
    </w:p>
    <w:p>
      <w:pPr>
        <w:pStyle w:val="ListParagraph"/>
        <w:numPr>
          <w:ilvl w:val="0"/>
          <w:numId w:val="2"/>
        </w:numPr>
        <w:spacing w:before="40" w:after="40"/>
        <w:jc w:val="both"/>
      </w:pPr>
      <w:r>
        <w:rPr>
          <w:rFonts w:ascii="Calibri" w:cs="Calibri" w:eastAsia="Calibri" w:hAnsi="Calibri"/>
          <w:sz w:val="22"/>
          <w:szCs w:val="22"/>
        </w:rPr>
        <w:t xml:space="preserve">Keeping up-to-date with local child protection procedures including liaison with CASS, BSCP and the LADO</w:t>
      </w:r>
    </w:p>
    <w:p>
      <w:pPr>
        <w:pStyle w:val="ListParagraph"/>
        <w:numPr>
          <w:ilvl w:val="0"/>
          <w:numId w:val="2"/>
        </w:numPr>
        <w:spacing w:before="40" w:after="40"/>
        <w:jc w:val="both"/>
      </w:pPr>
      <w:r>
        <w:rPr>
          <w:rFonts w:ascii="Calibri" w:cs="Calibri" w:eastAsia="Calibri" w:hAnsi="Calibri"/>
          <w:sz w:val="22"/>
          <w:szCs w:val="22"/>
        </w:rPr>
        <w:t xml:space="preserve">Identifying and addressing safeguarding training needs across the staff team</w:t>
      </w:r>
    </w:p>
    <w:p>
      <w:pPr>
        <w:pStyle w:val="ListParagraph"/>
        <w:numPr>
          <w:ilvl w:val="0"/>
          <w:numId w:val="2"/>
        </w:numPr>
        <w:spacing w:before="40" w:after="40"/>
        <w:jc w:val="both"/>
      </w:pPr>
      <w:r>
        <w:rPr>
          <w:rFonts w:ascii="Calibri" w:cs="Calibri" w:eastAsia="Calibri" w:hAnsi="Calibri"/>
          <w:sz w:val="22"/>
          <w:szCs w:val="22"/>
        </w:rPr>
        <w:t xml:space="preserve">Ensuring all staff understand correct procedures and their safeguarding responsibilities on an ongoing basis</w:t>
      </w:r>
    </w:p>
    <w:p>
      <w:pPr>
        <w:pStyle w:val="ListParagraph"/>
        <w:numPr>
          <w:ilvl w:val="0"/>
          <w:numId w:val="2"/>
        </w:numPr>
        <w:spacing w:before="40" w:after="40"/>
        <w:jc w:val="both"/>
      </w:pPr>
      <w:r>
        <w:rPr>
          <w:rFonts w:ascii="Calibri" w:cs="Calibri" w:eastAsia="Calibri" w:hAnsi="Calibri"/>
          <w:sz w:val="22"/>
          <w:szCs w:val="22"/>
        </w:rPr>
        <w:t xml:space="preserve">Notifying Ofsted of any allegation of serious harm or abuse as soon as reasonably practicable and within 14 days</w:t>
      </w:r>
    </w:p>
    <w:p>
      <w:pPr>
        <w:spacing w:before="60" w:after="0"/>
      </w:pPr>
      <w:r>
        <w:t xml:space="preserve"/>
      </w:r>
    </w:p>
    <w:p>
      <w:pPr>
        <w:spacing w:before="60" w:after="60"/>
        <w:jc w:val="both"/>
      </w:pPr>
      <w:r>
        <w:rPr>
          <w:rFonts w:ascii="Calibri" w:cs="Calibri" w:eastAsia="Calibri" w:hAnsi="Calibri"/>
          <w:sz w:val="22"/>
          <w:szCs w:val="22"/>
        </w:rPr>
        <w:t xml:space="preserve">The DSL does not investigate whether a child has been abused or investigate an allegation. Investigation is the responsibility of CASS and/or the police. The DSL's role is to receive, assess, record and refer.</w:t>
      </w:r>
    </w:p>
    <w:p>
      <w:pPr>
        <w:spacing w:before="60" w:after="0"/>
      </w:pPr>
      <w:r>
        <w:t xml:space="preserve"/>
      </w:r>
    </w:p>
    <w:p>
      <w:pPr>
        <w:pBdr>
          <w:bottom w:val="single" w:color="1e6641" w:sz="8" w:space="2"/>
        </w:pBdr>
        <w:spacing w:before="300" w:after="100"/>
      </w:pPr>
      <w:bookmarkStart w:name="b_thresholds" w:id="1"/>
      <w:r>
        <w:rPr>
          <w:rFonts w:ascii="Calibri" w:cs="Calibri" w:eastAsia="Calibri" w:hAnsi="Calibri"/>
          <w:b/>
          <w:bCs/>
          <w:color w:val="1e6641"/>
          <w:sz w:val="28"/>
          <w:szCs w:val="28"/>
        </w:rPr>
        <w:t xml:space="preserve">Thresholds — Right Help Right Time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All referral decisions must use Birmingham's Right Help Right Time framework (BSCP, updated January 2023). Before making a referral, consider which level of need applies.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Need</w:t>
            </w:r>
          </w:p>
        </w:tc>
        <w:tc>
          <w:tcPr>
            <w:tcW w:type="dxa" w:w="516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DSL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Universal — all children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 additional referral. Support via universal services.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Additional — family needs some support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Consider Early Help via Family Connect. Consult CASS if unsure.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Complex — statutory support 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Refer to CASS: 0121 303 1888 (Option 2, then 2).</w:t>
            </w:r>
          </w:p>
        </w:tc>
      </w:tr>
      <w:tr>
        <w:tc>
          <w:tcPr>
            <w:tcW w:type="dxa" w:w="1200"/>
            <w:tcBorders>
              <w:top w:val="single" w:color="CCCCCC" w:sz="1"/>
              <w:left w:val="single" w:color="CCCCCC" w:sz="1"/>
              <w:bottom w:val="single" w:color="CCCCCC" w:sz="1"/>
              <w:right w:val="single" w:color="CCCCCC" w:sz="1"/>
            </w:tcBorders>
            <w:shd w:fill="dc2626" w:val="clear"/>
            <w:tcMar>
              <w:top w:type="dxa" w:w="80"/>
              <w:left w:type="dxa" w:w="120"/>
              <w:bottom w:type="dxa" w:w="80"/>
              <w:right w:type="dxa" w:w="120"/>
            </w:tcMar>
          </w:tcPr>
          <w:p>
            <w:pPr>
              <w:jc w:val="center"/>
            </w:pPr>
            <w:r>
              <w:rPr>
                <w:rFonts w:ascii="Calibri" w:cs="Calibri" w:eastAsia="Calibri" w:hAnsi="Calibri"/>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Significant harm / immediate risk</w:t>
            </w:r>
          </w:p>
        </w:tc>
        <w:tc>
          <w:tcPr>
            <w:tcW w:type="dxa" w:w="51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Call 999 first. Notify CASS. Do not delay.</w:t>
            </w:r>
          </w:p>
        </w:tc>
      </w:tr>
    </w:tbl>
    <w:p>
      <w:pPr>
        <w:spacing w:before="60" w:after="0"/>
      </w:pPr>
      <w:r>
        <w:t xml:space="preserve"/>
      </w:r>
    </w:p>
    <w:p>
      <w:pPr>
        <w:pBdr>
          <w:top w:val="single" w:color="b45309" w:sz="4"/>
          <w:left w:val="single" w:color="b45309" w:sz="12"/>
          <w:bottom w:val="single" w:color="b45309" w:sz="4"/>
          <w:right w:val="single" w:color="b45309" w:sz="4"/>
        </w:pBdr>
        <w:shd w:fill="FFFBEB" w:val="clear"/>
        <w:spacing w:before="80" w:after="80"/>
      </w:pPr>
      <w:r>
        <w:rPr>
          <w:rFonts w:ascii="Calibri" w:cs="Calibri" w:eastAsia="Calibri" w:hAnsi="Calibri"/>
          <w:b/>
          <w:bCs/>
          <w:color w:val="b45309"/>
          <w:sz w:val="20"/>
          <w:szCs w:val="20"/>
        </w:rPr>
        <w:t xml:space="preserve">⚡ If in doubt about threshold, contact CASS for advice before making a formal referral: 0121 303 1888 (Option 2, then 2).</w:t>
      </w:r>
    </w:p>
    <w:p>
      <w:pPr>
        <w:spacing w:before="60" w:after="0"/>
      </w:pPr>
      <w:r>
        <w:t xml:space="preserve"/>
      </w:r>
    </w:p>
    <w:p>
      <w:pPr>
        <w:pBdr>
          <w:bottom w:val="single" w:color="1e6641" w:sz="8" w:space="2"/>
        </w:pBdr>
        <w:spacing w:before="300" w:after="100"/>
      </w:pPr>
      <w:bookmarkStart w:name="b_attendance" w:id="1"/>
      <w:r>
        <w:rPr>
          <w:rFonts w:ascii="Calibri" w:cs="Calibri" w:eastAsia="Calibri" w:hAnsi="Calibri"/>
          <w:b/>
          <w:bCs/>
          <w:color w:val="1e6641"/>
          <w:sz w:val="28"/>
          <w:szCs w:val="28"/>
        </w:rPr>
        <w:t xml:space="preserve">Monitoring children's attendance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Attendance must be followed up as required by the EYFS statutory framework (paragraph 3.11). The register must be completed at the start of every session. Unexplained absences must be pursued the same day.</w:t>
      </w:r>
    </w:p>
    <w:p>
      <w:pPr>
        <w:spacing w:before="60" w:after="0"/>
      </w:pPr>
      <w:r>
        <w:t xml:space="preserve"/>
      </w:r>
    </w:p>
    <w:p>
      <w:pPr>
        <w:pStyle w:val="ListParagraph"/>
        <w:numPr>
          <w:ilvl w:val="0"/>
          <w:numId w:val="2"/>
        </w:numPr>
        <w:spacing w:before="40" w:after="40"/>
        <w:jc w:val="both"/>
      </w:pPr>
      <w:r>
        <w:rPr>
          <w:rFonts w:ascii="Calibri" w:cs="Calibri" w:eastAsia="Calibri" w:hAnsi="Calibri"/>
          <w:sz w:val="22"/>
          <w:szCs w:val="22"/>
        </w:rPr>
        <w:t xml:space="preserve">If a child has not arrived within one hour of their normal start time and no message has been received, the key person or room leader contacts the parent or carer immediately.</w:t>
      </w:r>
    </w:p>
    <w:p>
      <w:pPr>
        <w:pStyle w:val="ListParagraph"/>
        <w:numPr>
          <w:ilvl w:val="0"/>
          <w:numId w:val="2"/>
        </w:numPr>
        <w:spacing w:before="40" w:after="40"/>
        <w:jc w:val="both"/>
      </w:pPr>
      <w:r>
        <w:rPr>
          <w:rFonts w:ascii="Calibri" w:cs="Calibri" w:eastAsia="Calibri" w:hAnsi="Calibri"/>
          <w:sz w:val="22"/>
          <w:szCs w:val="22"/>
        </w:rPr>
        <w:t xml:space="preserve">If there is no response from the parent, the emergency contact is called.</w:t>
      </w:r>
    </w:p>
    <w:p>
      <w:pPr>
        <w:pStyle w:val="ListParagraph"/>
        <w:numPr>
          <w:ilvl w:val="0"/>
          <w:numId w:val="2"/>
        </w:numPr>
        <w:spacing w:before="40" w:after="40"/>
        <w:jc w:val="both"/>
      </w:pPr>
      <w:r>
        <w:rPr>
          <w:rFonts w:ascii="Calibri" w:cs="Calibri" w:eastAsia="Calibri" w:hAnsi="Calibri"/>
          <w:sz w:val="22"/>
          <w:szCs w:val="22"/>
        </w:rPr>
        <w:t xml:space="preserve">If the child cannot be accounted for, the DSL is informed and CASS is contacted for advice.</w:t>
      </w:r>
    </w:p>
    <w:p>
      <w:pPr>
        <w:pStyle w:val="ListParagraph"/>
        <w:numPr>
          <w:ilvl w:val="0"/>
          <w:numId w:val="2"/>
        </w:numPr>
        <w:spacing w:before="40" w:after="40"/>
        <w:jc w:val="both"/>
      </w:pPr>
      <w:r>
        <w:rPr>
          <w:rFonts w:ascii="Calibri" w:cs="Calibri" w:eastAsia="Calibri" w:hAnsi="Calibri"/>
          <w:sz w:val="22"/>
          <w:szCs w:val="22"/>
        </w:rPr>
        <w:t xml:space="preserve">The DSL must monitor attendance patterns for any child where safeguarding concerns are already on file. Unexplained absence for a child on a child protection plan requires immediate referral.</w:t>
      </w:r>
    </w:p>
    <w:p>
      <w:pPr>
        <w:spacing w:before="60" w:after="0"/>
      </w:pPr>
      <w:r>
        <w:t xml:space="preserve"/>
      </w:r>
    </w:p>
    <w:p>
      <w:pPr>
        <w:pBdr>
          <w:bottom w:val="single" w:color="1e6641" w:sz="8" w:space="2"/>
        </w:pBdr>
        <w:spacing w:before="300" w:after="100"/>
      </w:pPr>
      <w:bookmarkStart w:name="b_llc" w:id="1"/>
      <w:r>
        <w:rPr>
          <w:rFonts w:ascii="Calibri" w:cs="Calibri" w:eastAsia="Calibri" w:hAnsi="Calibri"/>
          <w:b/>
          <w:bCs/>
          <w:color w:val="1e6641"/>
          <w:sz w:val="28"/>
          <w:szCs w:val="28"/>
        </w:rPr>
        <w:t xml:space="preserve">Low-level concerns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A low-level concern is any concern — however small — that an adult may have acted in a way that is inconsistent with the Staff Code of Conduct, but does not meet the harm threshold for a LADO referral. Staff are encouraged to self-report. Creating a culture where low-level concerns are shared early prevents escalation.</w:t>
      </w:r>
    </w:p>
    <w:p>
      <w:pPr>
        <w:spacing w:before="60" w:after="0"/>
      </w:pPr>
      <w:r>
        <w:t xml:space="preserve"/>
      </w:r>
    </w:p>
    <w:p>
      <w:pPr>
        <w:spacing w:before="60" w:after="60"/>
        <w:jc w:val="both"/>
      </w:pPr>
      <w:r>
        <w:rPr>
          <w:rFonts w:ascii="Calibri" w:cs="Calibri" w:eastAsia="Calibri" w:hAnsi="Calibri"/>
          <w:sz w:val="22"/>
          <w:szCs w:val="22"/>
        </w:rPr>
        <w:t xml:space="preserve">DSL decision framework — on receiving a low-level concern, determine whether the behaviour:</w:t>
      </w:r>
    </w:p>
    <w:p>
      <w:pPr>
        <w:pStyle w:val="ListParagraph"/>
        <w:numPr>
          <w:ilvl w:val="0"/>
          <w:numId w:val="2"/>
        </w:numPr>
        <w:spacing w:before="40" w:after="40"/>
        <w:jc w:val="both"/>
      </w:pPr>
      <w:r>
        <w:rPr>
          <w:rFonts w:ascii="Calibri" w:cs="Calibri" w:eastAsia="Calibri" w:hAnsi="Calibri"/>
          <w:sz w:val="22"/>
          <w:szCs w:val="22"/>
        </w:rPr>
        <w:t xml:space="preserve">Meets, or may meet, the harm threshold → contact LADO: 0121 675 1669</w:t>
      </w:r>
    </w:p>
    <w:p>
      <w:pPr>
        <w:pStyle w:val="ListParagraph"/>
        <w:numPr>
          <w:ilvl w:val="0"/>
          <w:numId w:val="2"/>
        </w:numPr>
        <w:spacing w:before="40" w:after="40"/>
        <w:jc w:val="both"/>
      </w:pPr>
      <w:r>
        <w:rPr>
          <w:rFonts w:ascii="Calibri" w:cs="Calibri" w:eastAsia="Calibri" w:hAnsi="Calibri"/>
          <w:sz w:val="22"/>
          <w:szCs w:val="22"/>
        </w:rPr>
        <w:t xml:space="preserve">Meets the harm threshold when combined with previous low-level concerns → contact LADO</w:t>
      </w:r>
    </w:p>
    <w:p>
      <w:pPr>
        <w:pStyle w:val="ListParagraph"/>
        <w:numPr>
          <w:ilvl w:val="0"/>
          <w:numId w:val="2"/>
        </w:numPr>
        <w:spacing w:before="40" w:after="40"/>
        <w:jc w:val="both"/>
      </w:pPr>
      <w:r>
        <w:rPr>
          <w:rFonts w:ascii="Calibri" w:cs="Calibri" w:eastAsia="Calibri" w:hAnsi="Calibri"/>
          <w:sz w:val="22"/>
          <w:szCs w:val="22"/>
        </w:rPr>
        <w:t xml:space="preserve">Constitutes a low-level concern only → record, monitor, consider whether disciplinary process is appropriate</w:t>
      </w:r>
    </w:p>
    <w:p>
      <w:pPr>
        <w:pStyle w:val="ListParagraph"/>
        <w:numPr>
          <w:ilvl w:val="0"/>
          <w:numId w:val="2"/>
        </w:numPr>
        <w:spacing w:before="40" w:after="40"/>
        <w:jc w:val="both"/>
      </w:pPr>
      <w:r>
        <w:rPr>
          <w:rFonts w:ascii="Calibri" w:cs="Calibri" w:eastAsia="Calibri" w:hAnsi="Calibri"/>
          <w:sz w:val="22"/>
          <w:szCs w:val="22"/>
        </w:rPr>
        <w:t xml:space="preserve">Is appropriate and consistent with the Staff Code of Conduct → record and take no further action</w:t>
      </w:r>
    </w:p>
    <w:p>
      <w:pPr>
        <w:spacing w:before="60" w:after="0"/>
      </w:pPr>
      <w:r>
        <w:t xml:space="preserve"/>
      </w:r>
    </w:p>
    <w:p>
      <w:pPr>
        <w:spacing w:before="60" w:after="60"/>
        <w:jc w:val="both"/>
      </w:pPr>
      <w:r>
        <w:rPr>
          <w:rFonts w:ascii="Calibri" w:cs="Calibri" w:eastAsia="Calibri" w:hAnsi="Calibri"/>
          <w:sz w:val="22"/>
          <w:szCs w:val="22"/>
        </w:rPr>
        <w:t xml:space="preserve">Records: kept in a separate low-level concerns file, accessible only to the DSL and Organisational DSL. Records are retained for a minimum of 10 years.</w:t>
      </w:r>
    </w:p>
    <w:p>
      <w:pPr>
        <w:spacing w:before="60" w:after="0"/>
      </w:pPr>
      <w:r>
        <w:t xml:space="preserve"/>
      </w:r>
    </w:p>
    <w:p>
      <w:pPr>
        <w:pBdr>
          <w:bottom w:val="single" w:color="1e6641" w:sz="8" w:space="2"/>
        </w:pBdr>
        <w:spacing w:before="300" w:after="100"/>
      </w:pPr>
      <w:bookmarkStart w:name="b_parents" w:id="1"/>
      <w:r>
        <w:rPr>
          <w:rFonts w:ascii="Calibri" w:cs="Calibri" w:eastAsia="Calibri" w:hAnsi="Calibri"/>
          <w:b/>
          <w:bCs/>
          <w:color w:val="1e6641"/>
          <w:sz w:val="28"/>
          <w:szCs w:val="28"/>
        </w:rPr>
        <w:t xml:space="preserve">Informing parents and supporting families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Parents are normally the first point of contact. Where a suspicion of abuse is recorded, parents must be informed unless doing so would place the child at further risk or compromise a police investigation. The DSL makes this decision in consultation with CASS where appropriate.</w:t>
      </w:r>
    </w:p>
    <w:p>
      <w:pPr>
        <w:spacing w:before="60" w:after="60"/>
        <w:jc w:val="both"/>
      </w:pPr>
      <w:r>
        <w:rPr>
          <w:rFonts w:ascii="Calibri" w:cs="Calibri" w:eastAsia="Calibri" w:hAnsi="Calibri"/>
          <w:sz w:val="22"/>
          <w:szCs w:val="22"/>
        </w:rPr>
        <w:t xml:space="preserve">The nursery will continue to welcome a child and their family while enquiries are being made. Families will be supported and signposted to appropriate services. The DSL will consider whether an Early Help plan, referral to CASS or other support is appropriate.</w:t>
      </w:r>
    </w:p>
    <w:p>
      <w:pPr>
        <w:spacing w:before="60" w:after="0"/>
      </w:pPr>
      <w:r>
        <w:t xml:space="preserve"/>
      </w:r>
    </w:p>
    <w:p>
      <w:pPr>
        <w:pBdr>
          <w:bottom w:val="single" w:color="1e6641" w:sz="8" w:space="2"/>
        </w:pBdr>
        <w:spacing w:before="300" w:after="100"/>
      </w:pPr>
      <w:bookmarkStart w:name="b_reporting" w:id="1"/>
      <w:r>
        <w:rPr>
          <w:rFonts w:ascii="Calibri" w:cs="Calibri" w:eastAsia="Calibri" w:hAnsi="Calibri"/>
          <w:b/>
          <w:bCs/>
          <w:color w:val="1e6641"/>
          <w:sz w:val="28"/>
          <w:szCs w:val="28"/>
        </w:rPr>
        <w:t xml:space="preserve">Reporting procedure — step by step</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Staff member</w:t>
            </w:r>
          </w:p>
        </w:tc>
        <w:tc>
          <w:tcPr>
            <w:tcW w:type="dxa" w:w="496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DSL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Contact the DSL immediately — verbal report first. If DSL unavailable, contact Deputy DSL or Organisational DSL.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If immediate danger: call 999 first. Acknowledge receipt of verbal report. Do not discuss with others.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Complete the Greencoat Summary of Interaction form (equivalent to a CR8 — an initial concern record). Include: child’s name, address and date of birth; date, time and location; what you saw, heard or were told in the child’s own words; who else was present; any visible injuries described (do not photograph). Sign, date and submit promptly.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Sign and date the record. Store securely, separate from the child's main file. Share with CASS only if a formal referral is made.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If you believe the concern is not being acted on, you have a professional duty to escalate — to the Organisational DSL or CASS directly.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Discuss with parents if appropriate, unless this could place the child at further risk. Consult CASS for advice if unsure.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Make referral to CASS if threshold is met: 0121 303 1888 (Option 2, then 2). Request written confirmation of referral.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Never assume action has been taken. If CASS has not responded within one working day, follow up. Record all contacts.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Calibri" w:cs="Calibri" w:eastAsia="Calibri" w:hAnsi="Calibri"/>
                <w:b/>
                <w:bCs/>
                <w:color w:val="000000"/>
                <w:sz w:val="20"/>
                <w:szCs w:val="20"/>
              </w:rPr>
              <w:t xml:space="preserve">6</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After every incident, procedures will be reviewed by the DSL to identify learning.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Notify Ofsted of any allegation of serious harm or abuse as soon as reasonably practicable and within 14 days.</w:t>
            </w:r>
          </w:p>
        </w:tc>
      </w:tr>
    </w:tbl>
    <w:p>
      <w:pPr>
        <w:spacing w:before="60" w:after="0"/>
      </w:pPr>
      <w:r>
        <w:t xml:space="preserve"/>
      </w:r>
    </w:p>
    <w:p>
      <w:pPr>
        <w:spacing w:before="60" w:after="60"/>
        <w:jc w:val="both"/>
      </w:pPr>
      <w:r>
        <w:rPr>
          <w:rFonts w:ascii="Calibri" w:cs="Calibri" w:eastAsia="Calibri" w:hAnsi="Calibri"/>
          <w:sz w:val="22"/>
          <w:szCs w:val="22"/>
        </w:rPr>
        <w:t xml:space="preserve">All concerns will be pursued regardless of their nature or who the allegation relates to. Anonymous concerns are treated as valid and procedures followed in full. If a concern is raised about the DSL, it is reported directly to the Organisational DSL (Taz Khan) or, if it relates to the Organisational DSL, to the LADO.</w:t>
      </w:r>
    </w:p>
    <w:p>
      <w:pPr>
        <w:spacing w:before="60" w:after="0"/>
      </w:pPr>
      <w:r>
        <w:t xml:space="preserve"/>
      </w:r>
    </w:p>
    <w:p>
      <w:pPr>
        <w:pBdr>
          <w:bottom w:val="single" w:color="1e6641" w:sz="8" w:space="2"/>
        </w:pBdr>
        <w:spacing w:before="300" w:after="100"/>
      </w:pPr>
      <w:bookmarkStart w:name="b_lado" w:id="1"/>
      <w:r>
        <w:rPr>
          <w:rFonts w:ascii="Calibri" w:cs="Calibri" w:eastAsia="Calibri" w:hAnsi="Calibri"/>
          <w:b/>
          <w:bCs/>
          <w:color w:val="1e6641"/>
          <w:sz w:val="28"/>
          <w:szCs w:val="28"/>
        </w:rPr>
        <w:t xml:space="preserve">Allegations against staff — LADO process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An allegation requires LADO referral where a person who works with children has: behaved in a way that has harmed a child, or may have harmed a child; possibly committed a criminal offence against or related to a child; behaved in a way that indicates they may not be suitable to work with children.</w:t>
      </w:r>
    </w:p>
    <w:p>
      <w:pPr>
        <w:spacing w:before="60" w:after="0"/>
      </w:pPr>
      <w:r>
        <w:t xml:space="preserve"/>
      </w:r>
    </w:p>
    <w:p>
      <w:pPr>
        <w:spacing w:before="60" w:after="60"/>
        <w:jc w:val="both"/>
      </w:pPr>
      <w:r>
        <w:rPr>
          <w:rFonts w:ascii="Calibri" w:cs="Calibri" w:eastAsia="Calibri" w:hAnsi="Calibri"/>
          <w:b/>
          <w:bCs/>
          <w:sz w:val="22"/>
          <w:szCs w:val="22"/>
        </w:rPr>
        <w:t xml:space="preserve">DSL steps when an allegation is received:</w:t>
      </w:r>
    </w:p>
    <w:p>
      <w:pPr>
        <w:pStyle w:val="ListParagraph"/>
        <w:numPr>
          <w:ilvl w:val="0"/>
          <w:numId w:val="2"/>
        </w:numPr>
        <w:spacing w:before="40" w:after="40"/>
        <w:jc w:val="both"/>
      </w:pPr>
      <w:r>
        <w:rPr>
          <w:rFonts w:ascii="Calibri" w:cs="Calibri" w:eastAsia="Calibri" w:hAnsi="Calibri"/>
          <w:sz w:val="22"/>
          <w:szCs w:val="22"/>
        </w:rPr>
        <w:t xml:space="preserve">Do not investigate internally or interview the child further</w:t>
      </w:r>
    </w:p>
    <w:p>
      <w:pPr>
        <w:pStyle w:val="ListParagraph"/>
        <w:numPr>
          <w:ilvl w:val="0"/>
          <w:numId w:val="2"/>
        </w:numPr>
        <w:spacing w:before="40" w:after="40"/>
        <w:jc w:val="both"/>
      </w:pPr>
      <w:r>
        <w:rPr>
          <w:rFonts w:ascii="Calibri" w:cs="Calibri" w:eastAsia="Calibri" w:hAnsi="Calibri"/>
          <w:sz w:val="22"/>
          <w:szCs w:val="22"/>
        </w:rPr>
        <w:t xml:space="preserve">Contact the LADO immediately: 0121 675 1669. Request a confirmation email of the referral</w:t>
      </w:r>
    </w:p>
    <w:p>
      <w:pPr>
        <w:pStyle w:val="ListParagraph"/>
        <w:numPr>
          <w:ilvl w:val="0"/>
          <w:numId w:val="2"/>
        </w:numPr>
        <w:spacing w:before="40" w:after="40"/>
        <w:jc w:val="both"/>
      </w:pPr>
      <w:r>
        <w:rPr>
          <w:rFonts w:ascii="Calibri" w:cs="Calibri" w:eastAsia="Calibri" w:hAnsi="Calibri"/>
          <w:sz w:val="22"/>
          <w:szCs w:val="22"/>
        </w:rPr>
        <w:t xml:space="preserve">Follow LADO advice on whether to suspend the staff member pending investigation</w:t>
      </w:r>
    </w:p>
    <w:p>
      <w:pPr>
        <w:pStyle w:val="ListParagraph"/>
        <w:numPr>
          <w:ilvl w:val="0"/>
          <w:numId w:val="2"/>
        </w:numPr>
        <w:spacing w:before="40" w:after="40"/>
        <w:jc w:val="both"/>
      </w:pPr>
      <w:r>
        <w:rPr>
          <w:rFonts w:ascii="Calibri" w:cs="Calibri" w:eastAsia="Calibri" w:hAnsi="Calibri"/>
          <w:sz w:val="22"/>
          <w:szCs w:val="22"/>
        </w:rPr>
        <w:t xml:space="preserve">Notify Ofsted of the allegation as soon as reasonably practicable and within 14 days</w:t>
      </w:r>
    </w:p>
    <w:p>
      <w:pPr>
        <w:pStyle w:val="ListParagraph"/>
        <w:numPr>
          <w:ilvl w:val="0"/>
          <w:numId w:val="2"/>
        </w:numPr>
        <w:spacing w:before="40" w:after="40"/>
        <w:jc w:val="both"/>
      </w:pPr>
      <w:r>
        <w:rPr>
          <w:rFonts w:ascii="Calibri" w:cs="Calibri" w:eastAsia="Calibri" w:hAnsi="Calibri"/>
          <w:sz w:val="22"/>
          <w:szCs w:val="22"/>
        </w:rPr>
        <w:t xml:space="preserve">Maintain confidentiality — inform only those who need to know</w:t>
      </w:r>
    </w:p>
    <w:p>
      <w:pPr>
        <w:pStyle w:val="ListParagraph"/>
        <w:numPr>
          <w:ilvl w:val="0"/>
          <w:numId w:val="2"/>
        </w:numPr>
        <w:spacing w:before="40" w:after="40"/>
        <w:jc w:val="both"/>
      </w:pPr>
      <w:r>
        <w:rPr>
          <w:rFonts w:ascii="Calibri" w:cs="Calibri" w:eastAsia="Calibri" w:hAnsi="Calibri"/>
          <w:sz w:val="22"/>
          <w:szCs w:val="22"/>
        </w:rPr>
        <w:t xml:space="preserve">If the staff member resigns during the investigation, continue the process and notify the DBS, Ofsted and police where appropriate</w:t>
      </w:r>
    </w:p>
    <w:p>
      <w:pPr>
        <w:spacing w:before="60" w:after="0"/>
      </w:pPr>
      <w:r>
        <w:t xml:space="preserve"/>
      </w:r>
    </w:p>
    <w:p>
      <w:pPr>
        <w:spacing w:before="60" w:after="60"/>
        <w:jc w:val="both"/>
      </w:pPr>
      <w:r>
        <w:rPr>
          <w:rFonts w:ascii="Calibri" w:cs="Calibri" w:eastAsia="Calibri" w:hAnsi="Calibri"/>
          <w:sz w:val="22"/>
          <w:szCs w:val="22"/>
        </w:rPr>
        <w:t xml:space="preserve">Outcomes: founded allegations are treated as gross misconduct and may result in dismissal. The DBS is notified when a person is dismissed or resigns in circumstances where they would otherwise have been dismissed for harming a child. Unfounded allegations: records retained securely for a minimum of 10 years.</w:t>
      </w:r>
    </w:p>
    <w:p>
      <w:pPr>
        <w:spacing w:before="60" w:after="0"/>
      </w:pPr>
      <w:r>
        <w:t xml:space="preserve"/>
      </w:r>
    </w:p>
    <w:p>
      <w:pPr>
        <w:pBdr>
          <w:bottom w:val="single" w:color="1e6641" w:sz="8" w:space="2"/>
        </w:pBdr>
        <w:spacing w:before="300" w:after="100"/>
      </w:pPr>
      <w:bookmarkStart w:name="b_staffsupport" w:id="1"/>
      <w:r>
        <w:rPr>
          <w:rFonts w:ascii="Calibri" w:cs="Calibri" w:eastAsia="Calibri" w:hAnsi="Calibri"/>
          <w:b/>
          <w:bCs/>
          <w:color w:val="1e6641"/>
          <w:sz w:val="28"/>
          <w:szCs w:val="28"/>
        </w:rPr>
        <w:t xml:space="preserve">Support for staff</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Safeguarding work can be emotionally demanding. The DSL will support staff throughout any safeguarding process and will arrange appropriate counselling or supervision where required. Staff who make a disclosure in good faith and in the public interest are protected under the Whistleblowing Policy and are not subject to any detriment as a result.</w:t>
      </w:r>
    </w:p>
    <w:p>
      <w:pPr>
        <w:spacing w:before="60" w:after="0"/>
      </w:pPr>
      <w:r>
        <w:t xml:space="preserve"/>
      </w:r>
    </w:p>
    <w:p>
      <w:pPr>
        <w:pBdr>
          <w:bottom w:val="single" w:color="1e6641" w:sz="8" w:space="2"/>
        </w:pBdr>
        <w:spacing w:before="300" w:after="100"/>
      </w:pPr>
      <w:bookmarkStart w:name="b_recording" w:id="1"/>
      <w:r>
        <w:rPr>
          <w:rFonts w:ascii="Calibri" w:cs="Calibri" w:eastAsia="Calibri" w:hAnsi="Calibri"/>
          <w:b/>
          <w:bCs/>
          <w:color w:val="1e6641"/>
          <w:sz w:val="28"/>
          <w:szCs w:val="28"/>
        </w:rPr>
        <w:t xml:space="preserve">What to include in a written record</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Use the Greencoat </w:t>
      </w:r>
      <w:hyperlink r:id="rId7" w:history="1">
        <w:r>
          <w:rPr>
            <w:rStyle w:val="Hyperlink"/>
            <w:rFonts w:ascii="Calibri" w:cs="Calibri" w:eastAsia="Calibri" w:hAnsi="Calibri"/>
            <w:sz w:val="22"/>
            <w:szCs w:val="22"/>
          </w:rPr>
          <w:t>Summary of Interaction form</w:t>
        </w:r>
      </w:hyperlink>
      <w:r>
        <w:rPr>
          <w:rFonts w:ascii="Calibri" w:cs="Calibri" w:eastAsia="Calibri" w:hAnsi="Calibri"/>
          <w:sz w:val="22"/>
          <w:szCs w:val="22"/>
        </w:rPr>
        <w:t xml:space="preserve"> to record your concern. This form is Greencoat’s equivalent of the CR8 (initial concern record) and CR10 (ongoing contact and communication record) forms used across Birmingham settings — if you have worked elsewhere in the city you may recognise those names. The form serves as the written evidence trail for any safeguarding concern. Complete it promptly — ideally within one hour. Every record must include:</w:t>
      </w:r>
    </w:p>
    <w:p>
      <w:pPr>
        <w:pStyle w:val="ListParagraph"/>
        <w:numPr>
          <w:ilvl w:val="0"/>
          <w:numId w:val="2"/>
        </w:numPr>
        <w:spacing w:before="40" w:after="40"/>
        <w:jc w:val="both"/>
      </w:pPr>
      <w:r>
        <w:rPr>
          <w:rFonts w:ascii="Calibri" w:cs="Calibri" w:eastAsia="Calibri" w:hAnsi="Calibri"/>
          <w:sz w:val="22"/>
          <w:szCs w:val="22"/>
        </w:rPr>
        <w:t xml:space="preserve">Child's name, address and date of birth</w:t>
      </w:r>
    </w:p>
    <w:p>
      <w:pPr>
        <w:pStyle w:val="ListParagraph"/>
        <w:numPr>
          <w:ilvl w:val="0"/>
          <w:numId w:val="2"/>
        </w:numPr>
        <w:spacing w:before="40" w:after="40"/>
        <w:jc w:val="both"/>
      </w:pPr>
      <w:r>
        <w:rPr>
          <w:rFonts w:ascii="Calibri" w:cs="Calibri" w:eastAsia="Calibri" w:hAnsi="Calibri"/>
          <w:sz w:val="22"/>
          <w:szCs w:val="22"/>
        </w:rPr>
        <w:t xml:space="preserve">Date, time and location of the concern or disclosure</w:t>
      </w:r>
    </w:p>
    <w:p>
      <w:pPr>
        <w:pStyle w:val="ListParagraph"/>
        <w:numPr>
          <w:ilvl w:val="0"/>
          <w:numId w:val="2"/>
        </w:numPr>
        <w:spacing w:before="40" w:after="40"/>
        <w:jc w:val="both"/>
      </w:pPr>
      <w:r>
        <w:rPr>
          <w:rFonts w:ascii="Calibri" w:cs="Calibri" w:eastAsia="Calibri" w:hAnsi="Calibri"/>
          <w:sz w:val="22"/>
          <w:szCs w:val="22"/>
        </w:rPr>
        <w:t xml:space="preserve">What you saw, heard or were told — in the child's own words where relevant</w:t>
      </w:r>
    </w:p>
    <w:p>
      <w:pPr>
        <w:pStyle w:val="ListParagraph"/>
        <w:numPr>
          <w:ilvl w:val="0"/>
          <w:numId w:val="2"/>
        </w:numPr>
        <w:spacing w:before="40" w:after="40"/>
        <w:jc w:val="both"/>
      </w:pPr>
      <w:r>
        <w:rPr>
          <w:rFonts w:ascii="Calibri" w:cs="Calibri" w:eastAsia="Calibri" w:hAnsi="Calibri"/>
          <w:sz w:val="22"/>
          <w:szCs w:val="22"/>
        </w:rPr>
        <w:t xml:space="preserve">Names of any other adults or children present</w:t>
      </w:r>
    </w:p>
    <w:p>
      <w:pPr>
        <w:pStyle w:val="ListParagraph"/>
        <w:numPr>
          <w:ilvl w:val="0"/>
          <w:numId w:val="2"/>
        </w:numPr>
        <w:spacing w:before="40" w:after="40"/>
        <w:jc w:val="both"/>
      </w:pPr>
      <w:r>
        <w:rPr>
          <w:rFonts w:ascii="Calibri" w:cs="Calibri" w:eastAsia="Calibri" w:hAnsi="Calibri"/>
          <w:sz w:val="22"/>
          <w:szCs w:val="22"/>
        </w:rPr>
        <w:t xml:space="preserve">Any visible physical indicators (describe, do not photograph)</w:t>
      </w:r>
    </w:p>
    <w:p>
      <w:pPr>
        <w:pStyle w:val="ListParagraph"/>
        <w:numPr>
          <w:ilvl w:val="0"/>
          <w:numId w:val="2"/>
        </w:numPr>
        <w:spacing w:before="40" w:after="40"/>
        <w:jc w:val="both"/>
      </w:pPr>
      <w:r>
        <w:rPr>
          <w:rFonts w:ascii="Calibri" w:cs="Calibri" w:eastAsia="Calibri" w:hAnsi="Calibri"/>
          <w:sz w:val="22"/>
          <w:szCs w:val="22"/>
        </w:rPr>
        <w:t xml:space="preserve">Your name, role and signature</w:t>
      </w:r>
    </w:p>
    <w:p>
      <w:pPr>
        <w:pStyle w:val="ListParagraph"/>
        <w:numPr>
          <w:ilvl w:val="0"/>
          <w:numId w:val="2"/>
        </w:numPr>
        <w:spacing w:before="40" w:after="40"/>
        <w:jc w:val="both"/>
      </w:pPr>
      <w:r>
        <w:rPr>
          <w:rFonts w:ascii="Calibri" w:cs="Calibri" w:eastAsia="Calibri" w:hAnsi="Calibri"/>
          <w:sz w:val="22"/>
          <w:szCs w:val="22"/>
        </w:rPr>
        <w:t xml:space="preserve">The date and time the record was made</w:t>
      </w:r>
    </w:p>
    <w:p>
      <w:pPr>
        <w:spacing w:before="60" w:after="0"/>
      </w:pPr>
      <w:r>
        <w:t xml:space="preserve"/>
      </w:r>
    </w:p>
    <w:p>
      <w:pPr>
        <w:spacing w:before="60" w:after="60"/>
        <w:jc w:val="both"/>
      </w:pPr>
      <w:r>
        <w:rPr>
          <w:rFonts w:ascii="Calibri" w:cs="Calibri" w:eastAsia="Calibri" w:hAnsi="Calibri"/>
          <w:sz w:val="22"/>
          <w:szCs w:val="22"/>
        </w:rPr>
        <w:t xml:space="preserve">Records are stored securely, separate from the child's main file. They are not shared with parents unless the DSL or CASS advises this is appropriate. Records are retained for a minimum of 10 years from the date of the last entry, or until the child's 25th birthday if later.</w:t>
      </w:r>
    </w:p>
    <w:p>
      <w:pPr>
        <w:spacing w:before="60" w:after="0"/>
      </w:pPr>
      <w:r>
        <w:t xml:space="preserve"/>
      </w:r>
    </w:p>
    <w:p>
      <w:pPr>
        <w:pBdr>
          <w:bottom w:val="single" w:color="1e6641" w:sz="8" w:space="2"/>
        </w:pBdr>
        <w:spacing w:before="300" w:after="100"/>
      </w:pPr>
      <w:bookmarkStart w:name="b_recruitment" w:id="1"/>
      <w:r>
        <w:rPr>
          <w:rFonts w:ascii="Calibri" w:cs="Calibri" w:eastAsia="Calibri" w:hAnsi="Calibri"/>
          <w:b/>
          <w:bCs/>
          <w:color w:val="1e6641"/>
          <w:sz w:val="28"/>
          <w:szCs w:val="28"/>
        </w:rPr>
        <w:t xml:space="preserve">Recruitment, selection and induction</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Through our Safer Recruitment Policy, we prevent unsuitable people from working with children. All staff are subject to enhanced DBS checks before starting work with children, along with identity verification, reference checks, qualification verification and a right-to-work check.</w:t>
      </w:r>
    </w:p>
    <w:p>
      <w:pPr>
        <w:spacing w:before="60" w:after="0"/>
      </w:pPr>
      <w:r>
        <w:t xml:space="preserve"/>
      </w:r>
    </w:p>
    <w:p>
      <w:pPr>
        <w:spacing w:before="60" w:after="60"/>
        <w:jc w:val="both"/>
      </w:pPr>
      <w:r>
        <w:rPr>
          <w:rFonts w:ascii="Calibri" w:cs="Calibri" w:eastAsia="Calibri" w:hAnsi="Calibri"/>
          <w:b/>
          <w:bCs/>
          <w:sz w:val="22"/>
          <w:szCs w:val="22"/>
        </w:rPr>
        <w:t xml:space="preserve">Induction:</w:t>
      </w:r>
    </w:p>
    <w:p>
      <w:pPr>
        <w:pStyle w:val="ListParagraph"/>
        <w:numPr>
          <w:ilvl w:val="0"/>
          <w:numId w:val="2"/>
        </w:numPr>
        <w:spacing w:before="40" w:after="40"/>
        <w:jc w:val="both"/>
      </w:pPr>
      <w:r>
        <w:rPr>
          <w:rFonts w:ascii="Calibri" w:cs="Calibri" w:eastAsia="Calibri" w:hAnsi="Calibri"/>
          <w:sz w:val="22"/>
          <w:szCs w:val="22"/>
        </w:rPr>
        <w:t xml:space="preserve">All new staff receive a copy of this policy on their first day and confirm in writing that they have read and understood it</w:t>
      </w:r>
    </w:p>
    <w:p>
      <w:pPr>
        <w:pStyle w:val="ListParagraph"/>
        <w:numPr>
          <w:ilvl w:val="0"/>
          <w:numId w:val="2"/>
        </w:numPr>
        <w:spacing w:before="40" w:after="40"/>
        <w:jc w:val="both"/>
      </w:pPr>
      <w:r>
        <w:rPr>
          <w:rFonts w:ascii="Calibri" w:cs="Calibri" w:eastAsia="Calibri" w:hAnsi="Calibri"/>
          <w:sz w:val="22"/>
          <w:szCs w:val="22"/>
        </w:rPr>
        <w:t xml:space="preserve">Basic safeguarding training is completed within the first week of employment</w:t>
      </w:r>
    </w:p>
    <w:p>
      <w:pPr>
        <w:pStyle w:val="ListParagraph"/>
        <w:numPr>
          <w:ilvl w:val="0"/>
          <w:numId w:val="2"/>
        </w:numPr>
        <w:spacing w:before="40" w:after="40"/>
        <w:jc w:val="both"/>
      </w:pPr>
      <w:r>
        <w:rPr>
          <w:rFonts w:ascii="Calibri" w:cs="Calibri" w:eastAsia="Calibri" w:hAnsi="Calibri"/>
          <w:sz w:val="22"/>
          <w:szCs w:val="22"/>
        </w:rPr>
        <w:t xml:space="preserve">New staff are not left unsupervised with children until their DBS has been received and risk-assessed</w:t>
      </w:r>
    </w:p>
    <w:p>
      <w:pPr>
        <w:spacing w:before="60" w:after="0"/>
      </w:pPr>
      <w:r>
        <w:t xml:space="preserve"/>
      </w:r>
    </w:p>
    <w:p>
      <w:pPr>
        <w:spacing w:before="60" w:after="60"/>
        <w:jc w:val="both"/>
      </w:pPr>
      <w:r>
        <w:rPr>
          <w:rFonts w:ascii="Calibri" w:cs="Calibri" w:eastAsia="Calibri" w:hAnsi="Calibri"/>
          <w:b/>
          <w:bCs/>
          <w:sz w:val="22"/>
          <w:szCs w:val="22"/>
        </w:rPr>
        <w:t xml:space="preserve">Learners on placement:</w:t>
      </w:r>
    </w:p>
    <w:p>
      <w:pPr>
        <w:pStyle w:val="ListParagraph"/>
        <w:numPr>
          <w:ilvl w:val="0"/>
          <w:numId w:val="2"/>
        </w:numPr>
        <w:spacing w:before="40" w:after="40"/>
        <w:jc w:val="both"/>
      </w:pPr>
      <w:r>
        <w:rPr>
          <w:rFonts w:ascii="Calibri" w:cs="Calibri" w:eastAsia="Calibri" w:hAnsi="Calibri"/>
          <w:sz w:val="22"/>
          <w:szCs w:val="22"/>
        </w:rPr>
        <w:t xml:space="preserve">Receive basic safeguarding training before starting</w:t>
      </w:r>
    </w:p>
    <w:p>
      <w:pPr>
        <w:pStyle w:val="ListParagraph"/>
        <w:numPr>
          <w:ilvl w:val="0"/>
          <w:numId w:val="2"/>
        </w:numPr>
        <w:spacing w:before="40" w:after="40"/>
        <w:jc w:val="both"/>
      </w:pPr>
      <w:r>
        <w:rPr>
          <w:rFonts w:ascii="Calibri" w:cs="Calibri" w:eastAsia="Calibri" w:hAnsi="Calibri"/>
          <w:sz w:val="22"/>
          <w:szCs w:val="22"/>
        </w:rPr>
        <w:t xml:space="preserve">Learners aged 18 or under must never be left alone with a child</w:t>
      </w:r>
    </w:p>
    <w:p>
      <w:pPr>
        <w:pStyle w:val="ListParagraph"/>
        <w:numPr>
          <w:ilvl w:val="0"/>
          <w:numId w:val="2"/>
        </w:numPr>
        <w:spacing w:before="40" w:after="40"/>
        <w:jc w:val="both"/>
      </w:pPr>
      <w:r>
        <w:rPr>
          <w:rFonts w:ascii="Calibri" w:cs="Calibri" w:eastAsia="Calibri" w:hAnsi="Calibri"/>
          <w:sz w:val="22"/>
          <w:szCs w:val="22"/>
        </w:rPr>
        <w:t xml:space="preserve">All placement supervisors are aware of the learner's level of experience and training</w:t>
      </w:r>
    </w:p>
    <w:p>
      <w:pPr>
        <w:spacing w:before="60" w:after="0"/>
      </w:pPr>
      <w:r>
        <w:t xml:space="preserve"/>
      </w:r>
    </w:p>
    <w:p>
      <w:pPr>
        <w:pBdr>
          <w:bottom w:val="single" w:color="1e6641" w:sz="8" w:space="2"/>
        </w:pBdr>
        <w:spacing w:before="300" w:after="100"/>
      </w:pPr>
      <w:bookmarkStart w:name="b_training" w:id="1"/>
      <w:r>
        <w:rPr>
          <w:rFonts w:ascii="Calibri" w:cs="Calibri" w:eastAsia="Calibri" w:hAnsi="Calibri"/>
          <w:b/>
          <w:bCs/>
          <w:color w:val="1e6641"/>
          <w:sz w:val="28"/>
          <w:szCs w:val="28"/>
        </w:rPr>
        <w:t xml:space="preserve">Training programme and Annex C compliance</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All staff receive induction safeguarding training covering the topics in Annex C of the EYFS statutory framework, including:</w:t>
      </w:r>
    </w:p>
    <w:p>
      <w:pPr>
        <w:pStyle w:val="ListParagraph"/>
        <w:numPr>
          <w:ilvl w:val="0"/>
          <w:numId w:val="2"/>
        </w:numPr>
        <w:spacing w:before="40" w:after="40"/>
        <w:jc w:val="both"/>
      </w:pPr>
      <w:r>
        <w:rPr>
          <w:rFonts w:ascii="Calibri" w:cs="Calibri" w:eastAsia="Calibri" w:hAnsi="Calibri"/>
          <w:sz w:val="22"/>
          <w:szCs w:val="22"/>
        </w:rPr>
        <w:t xml:space="preserve">What safeguarding means and why it is everyone's responsibility</w:t>
      </w:r>
    </w:p>
    <w:p>
      <w:pPr>
        <w:pStyle w:val="ListParagraph"/>
        <w:numPr>
          <w:ilvl w:val="0"/>
          <w:numId w:val="2"/>
        </w:numPr>
        <w:spacing w:before="40" w:after="40"/>
        <w:jc w:val="both"/>
      </w:pPr>
      <w:r>
        <w:rPr>
          <w:rFonts w:ascii="Calibri" w:cs="Calibri" w:eastAsia="Calibri" w:hAnsi="Calibri"/>
          <w:sz w:val="22"/>
          <w:szCs w:val="22"/>
        </w:rPr>
        <w:t xml:space="preserve">The main categories of abuse, harm and neglect and how to recognise them</w:t>
      </w:r>
    </w:p>
    <w:p>
      <w:pPr>
        <w:pStyle w:val="ListParagraph"/>
        <w:numPr>
          <w:ilvl w:val="0"/>
          <w:numId w:val="2"/>
        </w:numPr>
        <w:spacing w:before="40" w:after="40"/>
        <w:jc w:val="both"/>
      </w:pPr>
      <w:r>
        <w:rPr>
          <w:rFonts w:ascii="Calibri" w:cs="Calibri" w:eastAsia="Calibri" w:hAnsi="Calibri"/>
          <w:sz w:val="22"/>
          <w:szCs w:val="22"/>
        </w:rPr>
        <w:t xml:space="preserve">How to record and report concerns</w:t>
      </w:r>
    </w:p>
    <w:p>
      <w:pPr>
        <w:pStyle w:val="ListParagraph"/>
        <w:numPr>
          <w:ilvl w:val="0"/>
          <w:numId w:val="2"/>
        </w:numPr>
        <w:spacing w:before="40" w:after="40"/>
        <w:jc w:val="both"/>
      </w:pPr>
      <w:r>
        <w:rPr>
          <w:rFonts w:ascii="Calibri" w:cs="Calibri" w:eastAsia="Calibri" w:hAnsi="Calibri"/>
          <w:sz w:val="22"/>
          <w:szCs w:val="22"/>
        </w:rPr>
        <w:t xml:space="preserve">The nursery's safeguarding policies and procedures</w:t>
      </w:r>
    </w:p>
    <w:p>
      <w:pPr>
        <w:pStyle w:val="ListParagraph"/>
        <w:numPr>
          <w:ilvl w:val="0"/>
          <w:numId w:val="2"/>
        </w:numPr>
        <w:spacing w:before="40" w:after="40"/>
        <w:jc w:val="both"/>
      </w:pPr>
      <w:r>
        <w:rPr>
          <w:rFonts w:ascii="Calibri" w:cs="Calibri" w:eastAsia="Calibri" w:hAnsi="Calibri"/>
          <w:sz w:val="22"/>
          <w:szCs w:val="22"/>
        </w:rPr>
        <w:t xml:space="preserve">The role of the DSL and how to contact them</w:t>
      </w:r>
    </w:p>
    <w:p>
      <w:pPr>
        <w:pStyle w:val="ListParagraph"/>
        <w:numPr>
          <w:ilvl w:val="0"/>
          <w:numId w:val="2"/>
        </w:numPr>
        <w:spacing w:before="40" w:after="40"/>
        <w:jc w:val="both"/>
      </w:pPr>
      <w:r>
        <w:rPr>
          <w:rFonts w:ascii="Calibri" w:cs="Calibri" w:eastAsia="Calibri" w:hAnsi="Calibri"/>
          <w:sz w:val="22"/>
          <w:szCs w:val="22"/>
        </w:rPr>
        <w:t xml:space="preserve">Online safety and appropriate use of technology</w:t>
      </w:r>
    </w:p>
    <w:p>
      <w:pPr>
        <w:spacing w:before="60" w:after="0"/>
      </w:pPr>
      <w:r>
        <w:t xml:space="preserve"/>
      </w:r>
    </w:p>
    <w:p>
      <w:pPr>
        <w:spacing w:before="60" w:after="60"/>
        <w:jc w:val="both"/>
      </w:pPr>
      <w:r>
        <w:rPr>
          <w:rFonts w:ascii="Calibri" w:cs="Calibri" w:eastAsia="Calibri" w:hAnsi="Calibri"/>
          <w:sz w:val="22"/>
          <w:szCs w:val="22"/>
        </w:rPr>
        <w:t xml:space="preserve">DSL training additionally includes: building a safe organisational culture; threshold frameworks and referral processes; the LADO process; managing allegations; working with CASS, police and multi-agency teams; disguised compliance; and the impact of trauma on children's behaviour and development.</w:t>
      </w:r>
    </w:p>
    <w:p>
      <w:pPr>
        <w:spacing w:before="60" w:after="0"/>
      </w:pPr>
      <w:r>
        <w:t xml:space="preserve"/>
      </w:r>
    </w:p>
    <w:p>
      <w:pPr>
        <w:spacing w:before="60" w:after="60"/>
        <w:jc w:val="both"/>
      </w:pPr>
      <w:r>
        <w:rPr>
          <w:rFonts w:ascii="Calibri" w:cs="Calibri" w:eastAsia="Calibri" w:hAnsi="Calibri"/>
          <w:sz w:val="22"/>
          <w:szCs w:val="22"/>
        </w:rPr>
        <w:t xml:space="preserve">All training is documented. The DSL maintains a training log for each staff member. Training frequency: all staff annually (minimum); DSLs every two years (full training) plus annual updates.</w:t>
      </w:r>
    </w:p>
    <w:p>
      <w:pPr>
        <w:spacing w:before="60" w:after="0"/>
      </w:pPr>
      <w:r>
        <w:t xml:space="preserve"/>
      </w:r>
    </w:p>
    <w:p>
      <w:r>
        <w:br w:type="page"/>
      </w:r>
    </w:p>
    <w:p>
      <w:pPr>
        <w:pBdr>
          <w:bottom w:val="single" w:color="1e6641" w:sz="8" w:space="2"/>
        </w:pBdr>
        <w:spacing w:before="300" w:after="100"/>
      </w:pPr>
      <w:bookmarkStart w:name="ref_contacts" w:id="1"/>
      <w:r>
        <w:rPr>
          <w:rFonts w:ascii="Calibri" w:cs="Calibri" w:eastAsia="Calibri" w:hAnsi="Calibri"/>
          <w:b/>
          <w:bCs/>
          <w:color w:val="1e6641"/>
          <w:sz w:val="28"/>
          <w:szCs w:val="28"/>
        </w:rPr>
        <w:t xml:space="preserve">Birmingham statutory contacts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Keep this page accessible at all times. All contacts below are verified as current at the date of this policy.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Service</w:t>
            </w:r>
          </w:p>
        </w:tc>
        <w:tc>
          <w:tcPr>
            <w:tcW w:type="dxa" w:w="38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Number</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CASS — daytime (Mon–Thu 8.45am–5.15pm, Fri 8.45am–4.15pm)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0121 303 1888 (Option 2, then 2)</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CASS — out of hours and weekends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0121 675 4806</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LADO — Local Authority Designated Officer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0121 675 1669</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BSCP — Birmingham Safeguarding Children Partnership</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0121 464 2612</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BSCP website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lscpbirmingham.org.uk</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Ofsted — allegations notification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0300 123 1231</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Emergency services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999</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Non-emergency police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101</w:t>
            </w:r>
          </w:p>
        </w:tc>
      </w:tr>
    </w:tbl>
    <w:p>
      <w:pPr>
        <w:spacing w:before="60" w:after="0"/>
      </w:pPr>
      <w:r>
        <w:t xml:space="preserve"/>
      </w:r>
    </w:p>
    <w:p>
      <w:pPr>
        <w:pBdr>
          <w:bottom w:val="single" w:color="1e6641" w:sz="8" w:space="2"/>
        </w:pBdr>
        <w:spacing w:before="300" w:after="100"/>
      </w:pPr>
      <w:bookmarkStart w:name="ref_other" w:id="1"/>
      <w:r>
        <w:rPr>
          <w:rFonts w:ascii="Calibri" w:cs="Calibri" w:eastAsia="Calibri" w:hAnsi="Calibri"/>
          <w:b/>
          <w:bCs/>
          <w:color w:val="1e6641"/>
          <w:sz w:val="28"/>
          <w:szCs w:val="28"/>
        </w:rPr>
        <w:t xml:space="preserve">Other useful contacts</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Service</w:t>
            </w:r>
          </w:p>
        </w:tc>
        <w:tc>
          <w:tcPr>
            <w:tcW w:type="dxa" w:w="380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Contact</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NSPCC Child Protection Helpline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0808 800 5000</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Childline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0800 1111</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National Domestic Abuse Helpline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0808 2000 247</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Modern Slavery Helpline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08000 121 700</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CEOP (online child exploitation)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ceop.police.uk/Safety-Centre</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Anti-Terrorist Hotline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0800 789 321</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Forced Marriage Unit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020 7008 0151</w:t>
            </w:r>
          </w:p>
        </w:tc>
      </w:tr>
      <w:tr>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Information Commissioner's Office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0303 123 1113</w:t>
            </w:r>
          </w:p>
        </w:tc>
      </w:tr>
      <w:tr>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Crimestoppers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0800 555 111</w:t>
            </w:r>
          </w:p>
        </w:tc>
      </w:tr>
    </w:tbl>
    <w:p>
      <w:pPr>
        <w:spacing w:before="60" w:after="0"/>
      </w:pPr>
      <w:r>
        <w:t xml:space="preserve"/>
      </w:r>
    </w:p>
    <w:p>
      <w:pPr>
        <w:pBdr>
          <w:bottom w:val="single" w:color="1e6641" w:sz="8" w:space="2"/>
        </w:pBdr>
        <w:spacing w:before="300" w:after="100"/>
      </w:pPr>
      <w:bookmarkStart w:name="ref_legal" w:id="1"/>
      <w:r>
        <w:rPr>
          <w:rFonts w:ascii="Calibri" w:cs="Calibri" w:eastAsia="Calibri" w:hAnsi="Calibri"/>
          <w:b/>
          <w:bCs/>
          <w:color w:val="1e6641"/>
          <w:sz w:val="28"/>
          <w:szCs w:val="28"/>
        </w:rPr>
        <w:t xml:space="preserve">Legal framework</w:t>
      </w:r>
      <w:bookmarkEnd w:id="1"/>
    </w:p>
    <w:p>
      <w:pPr>
        <w:spacing w:before="40" w:after="100"/>
        <w:jc w:val="right"/>
      </w:pPr>
      <w:hyperlink w:history="1" w:anchor="toc">
        <w:r>
          <w:rPr>
            <w:rFonts w:ascii="Calibri" w:cs="Calibri" w:eastAsia="Calibri" w:hAnsi="Calibri"/>
            <w:color w:val="1e6641"/>
            <w:sz w:val="18"/>
            <w:szCs w:val="18"/>
            <w:u w:val="single"/>
          </w:rPr>
          <w:t xml:space="preserve">↑ Back to contents</w:t>
        </w:r>
      </w:hyperlink>
    </w:p>
    <w:p>
      <w:pPr>
        <w:spacing w:before="60" w:after="60"/>
        <w:jc w:val="both"/>
      </w:pPr>
      <w:r>
        <w:rPr>
          <w:rFonts w:ascii="Calibri" w:cs="Calibri" w:eastAsia="Calibri" w:hAnsi="Calibri"/>
          <w:sz w:val="22"/>
          <w:szCs w:val="22"/>
        </w:rPr>
        <w:t xml:space="preserve">We adhere to all current legislation, including:</w:t>
      </w:r>
    </w:p>
    <w:p>
      <w:pPr>
        <w:pStyle w:val="ListParagraph"/>
        <w:numPr>
          <w:ilvl w:val="0"/>
          <w:numId w:val="2"/>
        </w:numPr>
        <w:spacing w:before="40" w:after="40"/>
        <w:jc w:val="both"/>
      </w:pPr>
      <w:r>
        <w:rPr>
          <w:rFonts w:ascii="Calibri" w:cs="Calibri" w:eastAsia="Calibri" w:hAnsi="Calibri"/>
          <w:sz w:val="22"/>
          <w:szCs w:val="22"/>
        </w:rPr>
        <w:t xml:space="preserve">Children and Social Work Act 2017</w:t>
      </w:r>
    </w:p>
    <w:p>
      <w:pPr>
        <w:pStyle w:val="ListParagraph"/>
        <w:numPr>
          <w:ilvl w:val="0"/>
          <w:numId w:val="2"/>
        </w:numPr>
        <w:spacing w:before="40" w:after="40"/>
        <w:jc w:val="both"/>
      </w:pPr>
      <w:r>
        <w:rPr>
          <w:rFonts w:ascii="Calibri" w:cs="Calibri" w:eastAsia="Calibri" w:hAnsi="Calibri"/>
          <w:sz w:val="22"/>
          <w:szCs w:val="22"/>
        </w:rPr>
        <w:t xml:space="preserve">Criminal Justice and Court Services Act 2000</w:t>
      </w:r>
    </w:p>
    <w:p>
      <w:pPr>
        <w:pStyle w:val="ListParagraph"/>
        <w:numPr>
          <w:ilvl w:val="0"/>
          <w:numId w:val="2"/>
        </w:numPr>
        <w:spacing w:before="40" w:after="40"/>
        <w:jc w:val="both"/>
      </w:pPr>
      <w:r>
        <w:rPr>
          <w:rFonts w:ascii="Calibri" w:cs="Calibri" w:eastAsia="Calibri" w:hAnsi="Calibri"/>
          <w:sz w:val="22"/>
          <w:szCs w:val="22"/>
        </w:rPr>
        <w:t xml:space="preserve">Female Genital Mutilation Act 2003 (as amended by the Serious Crime Act 2015)</w:t>
      </w:r>
    </w:p>
    <w:p>
      <w:pPr>
        <w:pStyle w:val="ListParagraph"/>
        <w:numPr>
          <w:ilvl w:val="0"/>
          <w:numId w:val="2"/>
        </w:numPr>
        <w:spacing w:before="40" w:after="40"/>
        <w:jc w:val="both"/>
      </w:pPr>
      <w:r>
        <w:rPr>
          <w:rFonts w:ascii="Calibri" w:cs="Calibri" w:eastAsia="Calibri" w:hAnsi="Calibri"/>
          <w:sz w:val="22"/>
          <w:szCs w:val="22"/>
        </w:rPr>
        <w:t xml:space="preserve">Safeguarding Vulnerable Groups Act 2006</w:t>
      </w:r>
    </w:p>
    <w:p>
      <w:pPr>
        <w:pStyle w:val="ListParagraph"/>
        <w:numPr>
          <w:ilvl w:val="0"/>
          <w:numId w:val="2"/>
        </w:numPr>
        <w:spacing w:before="40" w:after="40"/>
        <w:jc w:val="both"/>
      </w:pPr>
      <w:r>
        <w:rPr>
          <w:rFonts w:ascii="Calibri" w:cs="Calibri" w:eastAsia="Calibri" w:hAnsi="Calibri"/>
          <w:sz w:val="22"/>
          <w:szCs w:val="22"/>
        </w:rPr>
        <w:t xml:space="preserve">The Childcare Act 2006</w:t>
      </w:r>
    </w:p>
    <w:p>
      <w:pPr>
        <w:pStyle w:val="ListParagraph"/>
        <w:numPr>
          <w:ilvl w:val="0"/>
          <w:numId w:val="2"/>
        </w:numPr>
        <w:spacing w:before="40" w:after="40"/>
        <w:jc w:val="both"/>
      </w:pPr>
      <w:r>
        <w:rPr>
          <w:rFonts w:ascii="Calibri" w:cs="Calibri" w:eastAsia="Calibri" w:hAnsi="Calibri"/>
          <w:sz w:val="22"/>
          <w:szCs w:val="22"/>
        </w:rPr>
        <w:t xml:space="preserve">The Children Act 1989 and 2004</w:t>
      </w:r>
    </w:p>
    <w:p>
      <w:pPr>
        <w:pStyle w:val="ListParagraph"/>
        <w:numPr>
          <w:ilvl w:val="0"/>
          <w:numId w:val="2"/>
        </w:numPr>
        <w:spacing w:before="40" w:after="40"/>
        <w:jc w:val="both"/>
      </w:pPr>
      <w:r>
        <w:rPr>
          <w:rFonts w:ascii="Calibri" w:cs="Calibri" w:eastAsia="Calibri" w:hAnsi="Calibri"/>
          <w:sz w:val="22"/>
          <w:szCs w:val="22"/>
        </w:rPr>
        <w:t xml:space="preserve">The Counter-Terrorism and Security Act 2015</w:t>
      </w:r>
    </w:p>
    <w:p>
      <w:pPr>
        <w:pStyle w:val="ListParagraph"/>
        <w:numPr>
          <w:ilvl w:val="0"/>
          <w:numId w:val="2"/>
        </w:numPr>
        <w:spacing w:before="40" w:after="40"/>
        <w:jc w:val="both"/>
      </w:pPr>
      <w:r>
        <w:rPr>
          <w:rFonts w:ascii="Calibri" w:cs="Calibri" w:eastAsia="Calibri" w:hAnsi="Calibri"/>
          <w:sz w:val="22"/>
          <w:szCs w:val="22"/>
        </w:rPr>
        <w:t xml:space="preserve">The Data Protection Act 2018</w:t>
      </w:r>
    </w:p>
    <w:p>
      <w:pPr>
        <w:pStyle w:val="ListParagraph"/>
        <w:numPr>
          <w:ilvl w:val="0"/>
          <w:numId w:val="2"/>
        </w:numPr>
        <w:spacing w:before="40" w:after="40"/>
        <w:jc w:val="both"/>
      </w:pPr>
      <w:r>
        <w:rPr>
          <w:rFonts w:ascii="Calibri" w:cs="Calibri" w:eastAsia="Calibri" w:hAnsi="Calibri"/>
          <w:sz w:val="22"/>
          <w:szCs w:val="22"/>
        </w:rPr>
        <w:t xml:space="preserve">The Domestic Abuse Act 2021</w:t>
      </w:r>
    </w:p>
    <w:p>
      <w:pPr>
        <w:pStyle w:val="ListParagraph"/>
        <w:numPr>
          <w:ilvl w:val="0"/>
          <w:numId w:val="2"/>
        </w:numPr>
        <w:spacing w:before="40" w:after="40"/>
        <w:jc w:val="both"/>
      </w:pPr>
      <w:r>
        <w:rPr>
          <w:rFonts w:ascii="Calibri" w:cs="Calibri" w:eastAsia="Calibri" w:hAnsi="Calibri"/>
          <w:sz w:val="22"/>
          <w:szCs w:val="22"/>
        </w:rPr>
        <w:t xml:space="preserve">The Equality Act 2010</w:t>
      </w:r>
    </w:p>
    <w:p>
      <w:pPr>
        <w:pStyle w:val="ListParagraph"/>
        <w:numPr>
          <w:ilvl w:val="0"/>
          <w:numId w:val="2"/>
        </w:numPr>
        <w:spacing w:before="40" w:after="40"/>
        <w:jc w:val="both"/>
      </w:pPr>
      <w:r>
        <w:rPr>
          <w:rFonts w:ascii="Calibri" w:cs="Calibri" w:eastAsia="Calibri" w:hAnsi="Calibri"/>
          <w:sz w:val="22"/>
          <w:szCs w:val="22"/>
        </w:rPr>
        <w:t xml:space="preserve">The Human Rights Act 1998</w:t>
      </w:r>
    </w:p>
    <w:p>
      <w:pPr>
        <w:pStyle w:val="ListParagraph"/>
        <w:numPr>
          <w:ilvl w:val="0"/>
          <w:numId w:val="2"/>
        </w:numPr>
        <w:spacing w:before="40" w:after="40"/>
        <w:jc w:val="both"/>
      </w:pPr>
      <w:r>
        <w:rPr>
          <w:rFonts w:ascii="Calibri" w:cs="Calibri" w:eastAsia="Calibri" w:hAnsi="Calibri"/>
          <w:sz w:val="22"/>
          <w:szCs w:val="22"/>
        </w:rPr>
        <w:t xml:space="preserve">The Police Act 1997</w:t>
      </w:r>
    </w:p>
    <w:p>
      <w:pPr>
        <w:pStyle w:val="ListParagraph"/>
        <w:numPr>
          <w:ilvl w:val="0"/>
          <w:numId w:val="2"/>
        </w:numPr>
        <w:spacing w:before="40" w:after="40"/>
        <w:jc w:val="both"/>
      </w:pPr>
      <w:r>
        <w:rPr>
          <w:rFonts w:ascii="Calibri" w:cs="Calibri" w:eastAsia="Calibri" w:hAnsi="Calibri"/>
          <w:sz w:val="22"/>
          <w:szCs w:val="22"/>
        </w:rPr>
        <w:t xml:space="preserve">The Sexual Offences Act 2003</w:t>
      </w:r>
    </w:p>
    <w:p>
      <w:pPr>
        <w:spacing w:before="60" w:after="0"/>
      </w:pPr>
      <w:r>
        <w:t xml:space="preserve"/>
      </w:r>
    </w:p>
    <w:p>
      <w:pPr>
        <w:spacing w:before="60" w:after="60"/>
        <w:jc w:val="both"/>
      </w:pPr>
      <w:r>
        <w:rPr>
          <w:rFonts w:ascii="Calibri" w:cs="Calibri" w:eastAsia="Calibri" w:hAnsi="Calibri"/>
          <w:sz w:val="22"/>
          <w:szCs w:val="22"/>
        </w:rPr>
        <w:t xml:space="preserve">Statutory guidance:</w:t>
      </w:r>
    </w:p>
    <w:p>
      <w:pPr>
        <w:pStyle w:val="ListParagraph"/>
        <w:numPr>
          <w:ilvl w:val="0"/>
          <w:numId w:val="2"/>
        </w:numPr>
        <w:spacing w:before="40" w:after="40"/>
        <w:jc w:val="both"/>
      </w:pPr>
      <w:r>
        <w:rPr>
          <w:rFonts w:ascii="Calibri" w:cs="Calibri" w:eastAsia="Calibri" w:hAnsi="Calibri"/>
          <w:sz w:val="22"/>
          <w:szCs w:val="22"/>
        </w:rPr>
        <w:t xml:space="preserve">Keeping Children Safe in Education (current edition — applied to early years settings as best practice)</w:t>
      </w:r>
    </w:p>
    <w:p>
      <w:pPr>
        <w:pStyle w:val="ListParagraph"/>
        <w:numPr>
          <w:ilvl w:val="0"/>
          <w:numId w:val="2"/>
        </w:numPr>
        <w:spacing w:before="40" w:after="40"/>
        <w:jc w:val="both"/>
      </w:pPr>
      <w:r>
        <w:rPr>
          <w:rFonts w:ascii="Calibri" w:cs="Calibri" w:eastAsia="Calibri" w:hAnsi="Calibri"/>
          <w:sz w:val="22"/>
          <w:szCs w:val="22"/>
        </w:rPr>
        <w:t xml:space="preserve">Working Together to Safeguard Children (December 2023)</w:t>
      </w:r>
    </w:p>
    <w:p>
      <w:pPr>
        <w:pStyle w:val="ListParagraph"/>
        <w:numPr>
          <w:ilvl w:val="0"/>
          <w:numId w:val="2"/>
        </w:numPr>
        <w:spacing w:before="40" w:after="40"/>
        <w:jc w:val="both"/>
      </w:pPr>
      <w:r>
        <w:rPr>
          <w:rFonts w:ascii="Calibri" w:cs="Calibri" w:eastAsia="Calibri" w:hAnsi="Calibri"/>
          <w:sz w:val="22"/>
          <w:szCs w:val="22"/>
        </w:rPr>
        <w:t xml:space="preserve">EYFS Statutory Framework (January 2024, updated September 2025)</w:t>
      </w:r>
    </w:p>
    <w:p>
      <w:pPr>
        <w:pStyle w:val="ListParagraph"/>
        <w:numPr>
          <w:ilvl w:val="0"/>
          <w:numId w:val="2"/>
        </w:numPr>
        <w:spacing w:before="40" w:after="40"/>
        <w:jc w:val="both"/>
      </w:pPr>
      <w:r>
        <w:rPr>
          <w:rFonts w:ascii="Calibri" w:cs="Calibri" w:eastAsia="Calibri" w:hAnsi="Calibri"/>
          <w:sz w:val="22"/>
          <w:szCs w:val="22"/>
        </w:rPr>
        <w:t xml:space="preserve">Birmingham Safeguarding Children Partnership procedures (westmids-birmingham.trixonline.co.uk)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This policy was adopted on</w:t>
            </w:r>
          </w:p>
        </w:tc>
        <w:tc>
          <w:tcPr>
            <w:tcW w:type="dxa" w:w="312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Signed on behalf of the nursery</w:t>
            </w:r>
          </w:p>
        </w:tc>
        <w:tc>
          <w:tcPr>
            <w:tcW w:type="dxa" w:w="3120"/>
            <w:tcBorders>
              <w:top w:val="single" w:color="CCCCCC" w:sz="1"/>
              <w:left w:val="single" w:color="CCCCCC" w:sz="1"/>
              <w:bottom w:val="single" w:color="CCCCCC" w:sz="1"/>
              <w:right w:val="single" w:color="CCCCCC" w:sz="1"/>
            </w:tcBorders>
            <w:shd w:fill="1e6641"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Date for review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March 2026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Taz Khan — Director, Greencoat Nursery CIC</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000000"/>
                <w:sz w:val="20"/>
                <w:szCs w:val="20"/>
              </w:rPr>
              <w:t xml:space="preserve">March 2027</w:t>
            </w:r>
          </w:p>
        </w:tc>
      </w:tr>
    </w:tbl>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Hyperlink">
    <w:name w:val="Hyperlink"/>
    <w:uiPriority w:val="99"/>
    <w:unhideWhenUsed/>
    <w:rPr>
      <w:color w:val="1e664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s://forms.office.com/pages/responsepage.aspx?id=DQSIkWdsW0yxEjajBLZtrQAAAAAAAAAAAAN__ib5C89UNDEwRjZQSFE2RUdLQU9UV0VVMTJLVjBENS4u&amp;route=shortur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2026-03-25T00:01:01.518Z</dcterms:created>
  <dcterms:modified xsi:type="dcterms:W3CDTF">2026-03-25T00:01:01.518Z</dcterms:modified>
</cp:coreProperties>
</file>

<file path=docProps/custom.xml><?xml version="1.0" encoding="utf-8"?>
<Properties xmlns="http://schemas.openxmlformats.org/officeDocument/2006/custom-properties" xmlns:vt="http://schemas.openxmlformats.org/officeDocument/2006/docPropsVTypes"/>
</file>