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e6641"/>
          <w:sz w:val="32"/>
          <w:szCs w:val="32"/>
        </w:rPr>
        <w:t xml:space="preserve">Greencoat Nursery CIC</w:t>
      </w:r>
    </w:p>
    <w:p>
      <w:pPr>
        <w:spacing w:before="0" w:after="240"/>
        <w:jc w:val="center"/>
      </w:pPr>
      <w:r>
        <w:rPr>
          <w:rFonts w:ascii="Arial" w:cs="Arial" w:eastAsia="Arial" w:hAnsi="Arial"/>
          <w:b/>
          <w:bCs/>
          <w:sz w:val="28"/>
          <w:szCs w:val="28"/>
        </w:rPr>
        <w:t xml:space="preserve">Absence Policy (Children)</w:t>
      </w:r>
    </w:p>
    <w:p>
      <w:pPr>
        <w:spacing w:before="60" w:after="60"/>
      </w:pPr>
      <w:r>
        <w:rPr>
          <w:rFonts w:ascii="Arial" w:cs="Arial" w:eastAsia="Arial" w:hAnsi="Arial"/>
          <w:sz w:val="22"/>
          <w:szCs w:val="22"/>
        </w:rPr>
        <w:t xml:space="preserve">At Greencoat Nursery we believe good attendance plays a fundamental role in supporting children's educational achievement, wellbeing and in keeping children safer. Establishing regular routines for young children supports the settling-in process and enhances their sense of security and belonging. When a child has a part-time place, regular attendance is especially important.</w:t>
      </w:r>
    </w:p>
    <w:p>
      <w:pPr>
        <w:spacing w:before="80" w:after="80"/>
      </w:pPr>
      <w:r>
        <w:t xml:space="preserve"/>
      </w:r>
    </w:p>
    <w:p>
      <w:pPr>
        <w:spacing w:before="60" w:after="60"/>
      </w:pPr>
      <w:r>
        <w:rPr>
          <w:rFonts w:ascii="Arial" w:cs="Arial" w:eastAsia="Arial" w:hAnsi="Arial"/>
          <w:sz w:val="22"/>
          <w:szCs w:val="22"/>
        </w:rPr>
        <w:t xml:space="preserve">This policy outlines the procedures to promote and monitor attendance and those that will be followed if a child is absent from the setting. We wish to create a culture where good attendance and punctuality is valued by all, and so will work with parents to remove barriers to attendance. We recognise that families may sometimes need extra support with attendance; effective communication between parents and the child's key person is therefore essential. The key person may be able to offer advice and support, or make referrals to agencies that can help, such as the health visiting team, Portage or early help.</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Promoting Good Attendance</w:t>
      </w:r>
    </w:p>
    <w:p>
      <w:pPr>
        <w:spacing w:before="60" w:after="60"/>
      </w:pPr>
      <w:r>
        <w:rPr>
          <w:rFonts w:ascii="Arial" w:cs="Arial" w:eastAsia="Arial" w:hAnsi="Arial"/>
          <w:sz w:val="22"/>
          <w:szCs w:val="22"/>
        </w:rPr>
        <w:t xml:space="preserve">To promote good attendance, we will:</w:t>
      </w:r>
    </w:p>
    <w:p>
      <w:pPr>
        <w:pStyle w:val="ListParagraph"/>
        <w:numPr>
          <w:ilvl w:val="0"/>
          <w:numId w:val="2"/>
        </w:numPr>
        <w:spacing w:before="40" w:after="40"/>
      </w:pPr>
      <w:r>
        <w:rPr>
          <w:rFonts w:ascii="Arial" w:cs="Arial" w:eastAsia="Arial" w:hAnsi="Arial"/>
          <w:b w:val="false"/>
          <w:bCs w:val="false"/>
          <w:sz w:val="22"/>
          <w:szCs w:val="22"/>
        </w:rPr>
        <w:t xml:space="preserve">Share our attendance expectations with parents prior to admission, including conveying clearly that regular attendance and punctuality is expected, is in the child's best interests, and that unexplained absence will be investigated in line with our Absence Procedures for the purposes of child protection</w:t>
      </w:r>
    </w:p>
    <w:p>
      <w:pPr>
        <w:pStyle w:val="ListParagraph"/>
        <w:numPr>
          <w:ilvl w:val="0"/>
          <w:numId w:val="2"/>
        </w:numPr>
        <w:spacing w:before="40" w:after="40"/>
      </w:pPr>
      <w:r>
        <w:rPr>
          <w:rFonts w:ascii="Arial" w:cs="Arial" w:eastAsia="Arial" w:hAnsi="Arial"/>
          <w:b w:val="false"/>
          <w:bCs w:val="false"/>
          <w:sz w:val="22"/>
          <w:szCs w:val="22"/>
        </w:rPr>
        <w:t xml:space="preserve">Keep accurate records of attendance to enable monitoring and evaluation so that emerging patterns can be identified and addressed</w:t>
      </w:r>
    </w:p>
    <w:p>
      <w:pPr>
        <w:pStyle w:val="ListParagraph"/>
        <w:numPr>
          <w:ilvl w:val="0"/>
          <w:numId w:val="2"/>
        </w:numPr>
        <w:spacing w:before="40" w:after="40"/>
      </w:pPr>
      <w:r>
        <w:rPr>
          <w:rFonts w:ascii="Arial" w:cs="Arial" w:eastAsia="Arial" w:hAnsi="Arial"/>
          <w:b w:val="false"/>
          <w:bCs w:val="false"/>
          <w:sz w:val="22"/>
          <w:szCs w:val="22"/>
        </w:rPr>
        <w:t xml:space="preserve">Foster a positive attitude to good attendance by responding promptly to children's absence and by recognising and celebrating good and improving attendance</w:t>
      </w:r>
    </w:p>
    <w:p>
      <w:pPr>
        <w:pStyle w:val="ListParagraph"/>
        <w:numPr>
          <w:ilvl w:val="0"/>
          <w:numId w:val="2"/>
        </w:numPr>
        <w:spacing w:before="40" w:after="40"/>
      </w:pPr>
      <w:r>
        <w:rPr>
          <w:rFonts w:ascii="Arial" w:cs="Arial" w:eastAsia="Arial" w:hAnsi="Arial"/>
          <w:b w:val="false"/>
          <w:bCs w:val="false"/>
          <w:sz w:val="22"/>
          <w:szCs w:val="22"/>
        </w:rPr>
        <w:t xml:space="preserve">Target attendance where there has been a concern and put in place strategies to support improvement</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Absence Reporting Procedure for Parents</w:t>
      </w:r>
    </w:p>
    <w:p>
      <w:pPr>
        <w:spacing w:before="60" w:after="60"/>
      </w:pPr>
      <w:r>
        <w:rPr>
          <w:rFonts w:ascii="Arial" w:cs="Arial" w:eastAsia="Arial" w:hAnsi="Arial"/>
          <w:sz w:val="22"/>
          <w:szCs w:val="22"/>
        </w:rPr>
        <w:t xml:space="preserve">Whilst attendance at nursery is not statutory, authorised absence will be granted in the following circumstances, where parents inform the nursery on or before the first day of absence:</w:t>
      </w:r>
    </w:p>
    <w:p>
      <w:pPr>
        <w:pStyle w:val="ListParagraph"/>
        <w:numPr>
          <w:ilvl w:val="0"/>
          <w:numId w:val="2"/>
        </w:numPr>
        <w:spacing w:before="40" w:after="40"/>
      </w:pPr>
      <w:r>
        <w:rPr>
          <w:rFonts w:ascii="Arial" w:cs="Arial" w:eastAsia="Arial" w:hAnsi="Arial"/>
          <w:b w:val="false"/>
          <w:bCs w:val="false"/>
          <w:sz w:val="22"/>
          <w:szCs w:val="22"/>
        </w:rPr>
        <w:t xml:space="preserve">Illness of the child</w:t>
      </w:r>
    </w:p>
    <w:p>
      <w:pPr>
        <w:pStyle w:val="ListParagraph"/>
        <w:numPr>
          <w:ilvl w:val="0"/>
          <w:numId w:val="2"/>
        </w:numPr>
        <w:spacing w:before="40" w:after="40"/>
      </w:pPr>
      <w:r>
        <w:rPr>
          <w:rFonts w:ascii="Arial" w:cs="Arial" w:eastAsia="Arial" w:hAnsi="Arial"/>
          <w:b w:val="false"/>
          <w:bCs w:val="false"/>
          <w:sz w:val="22"/>
          <w:szCs w:val="22"/>
        </w:rPr>
        <w:t xml:space="preserve">Illness of a sibling or parent</w:t>
      </w:r>
    </w:p>
    <w:p>
      <w:pPr>
        <w:pStyle w:val="ListParagraph"/>
        <w:numPr>
          <w:ilvl w:val="0"/>
          <w:numId w:val="2"/>
        </w:numPr>
        <w:spacing w:before="40" w:after="40"/>
      </w:pPr>
      <w:r>
        <w:rPr>
          <w:rFonts w:ascii="Arial" w:cs="Arial" w:eastAsia="Arial" w:hAnsi="Arial"/>
          <w:b w:val="false"/>
          <w:bCs w:val="false"/>
          <w:sz w:val="22"/>
          <w:szCs w:val="22"/>
        </w:rPr>
        <w:t xml:space="preserve">Bereavement</w:t>
      </w:r>
    </w:p>
    <w:p>
      <w:pPr>
        <w:pStyle w:val="ListParagraph"/>
        <w:numPr>
          <w:ilvl w:val="0"/>
          <w:numId w:val="2"/>
        </w:numPr>
        <w:spacing w:before="40" w:after="40"/>
      </w:pPr>
      <w:r>
        <w:rPr>
          <w:rFonts w:ascii="Arial" w:cs="Arial" w:eastAsia="Arial" w:hAnsi="Arial"/>
          <w:b w:val="false"/>
          <w:bCs w:val="false"/>
          <w:sz w:val="22"/>
          <w:szCs w:val="22"/>
        </w:rPr>
        <w:t xml:space="preserve">Health services appointments</w:t>
      </w:r>
    </w:p>
    <w:p>
      <w:pPr>
        <w:pStyle w:val="ListParagraph"/>
        <w:numPr>
          <w:ilvl w:val="0"/>
          <w:numId w:val="2"/>
        </w:numPr>
        <w:spacing w:before="40" w:after="40"/>
      </w:pPr>
      <w:r>
        <w:rPr>
          <w:rFonts w:ascii="Arial" w:cs="Arial" w:eastAsia="Arial" w:hAnsi="Arial"/>
          <w:b w:val="false"/>
          <w:bCs w:val="false"/>
          <w:sz w:val="22"/>
          <w:szCs w:val="22"/>
        </w:rPr>
        <w:t xml:space="preserve">Holidays, including extended visits to family overseas</w:t>
      </w:r>
    </w:p>
    <w:p>
      <w:pPr>
        <w:pStyle w:val="ListParagraph"/>
        <w:numPr>
          <w:ilvl w:val="0"/>
          <w:numId w:val="2"/>
        </w:numPr>
        <w:spacing w:before="40" w:after="40"/>
      </w:pPr>
      <w:r>
        <w:rPr>
          <w:rFonts w:ascii="Arial" w:cs="Arial" w:eastAsia="Arial" w:hAnsi="Arial"/>
          <w:b w:val="false"/>
          <w:bCs w:val="false"/>
          <w:sz w:val="22"/>
          <w:szCs w:val="22"/>
        </w:rPr>
        <w:t xml:space="preserve">Religious observance</w:t>
      </w:r>
    </w:p>
    <w:p>
      <w:pPr>
        <w:pStyle w:val="ListParagraph"/>
        <w:numPr>
          <w:ilvl w:val="0"/>
          <w:numId w:val="2"/>
        </w:numPr>
        <w:spacing w:before="40" w:after="40"/>
      </w:pPr>
      <w:r>
        <w:rPr>
          <w:rFonts w:ascii="Arial" w:cs="Arial" w:eastAsia="Arial" w:hAnsi="Arial"/>
          <w:b w:val="false"/>
          <w:bCs w:val="false"/>
          <w:sz w:val="22"/>
          <w:szCs w:val="22"/>
        </w:rPr>
        <w:t xml:space="preserve">Emergency or exceptional circumstances</w:t>
      </w:r>
    </w:p>
    <w:p>
      <w:pPr>
        <w:spacing w:before="80" w:after="80"/>
      </w:pPr>
      <w:r>
        <w:t xml:space="preserve"/>
      </w:r>
    </w:p>
    <w:p>
      <w:pPr>
        <w:spacing w:before="60" w:after="60"/>
      </w:pPr>
      <w:r>
        <w:rPr>
          <w:rFonts w:ascii="Arial" w:cs="Arial" w:eastAsia="Arial" w:hAnsi="Arial"/>
          <w:sz w:val="22"/>
          <w:szCs w:val="22"/>
        </w:rPr>
        <w:t xml:space="preserve">Greencoat Nursery must be contacted by telephone or via text message (where this service is available) to inform the setting of the child's absence and the reason, so that the register can be updated for the day or for the period of absence.</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Monitoring Attendance</w:t>
      </w:r>
    </w:p>
    <w:p>
      <w:pPr>
        <w:spacing w:before="60" w:after="60"/>
      </w:pPr>
      <w:r>
        <w:rPr>
          <w:rFonts w:ascii="Arial" w:cs="Arial" w:eastAsia="Arial" w:hAnsi="Arial"/>
          <w:sz w:val="22"/>
          <w:szCs w:val="22"/>
        </w:rPr>
        <w:t xml:space="preserve">Records of children's attendance are accurately kept and regularly monitored to ensure that potential problems can be identified and patterns recognised. All managers and staff are alert to signs that children who are missing from the setting might be at risk of abuse or neglect, and appropriate action is taken when children stop attending without explanation.</w:t>
      </w:r>
    </w:p>
    <w:p>
      <w:pPr>
        <w:spacing w:before="80" w:after="80"/>
      </w:pPr>
      <w:r>
        <w:t xml:space="preserve"/>
      </w:r>
    </w:p>
    <w:p>
      <w:pPr>
        <w:spacing w:before="60" w:after="60"/>
      </w:pPr>
      <w:r>
        <w:rPr>
          <w:rFonts w:ascii="Arial" w:cs="Arial" w:eastAsia="Arial" w:hAnsi="Arial"/>
          <w:sz w:val="22"/>
          <w:szCs w:val="22"/>
        </w:rPr>
        <w:t xml:space="preserve">Whilst we are aware that attendance at an early years setting is not statutory, we recognise that non-attendance can be an indicator of other concerns. All managers and staff are particularly alert to the need to monitor vulnerable children and those who may face additional barriers to attendance.</w:t>
      </w:r>
    </w:p>
    <w:p>
      <w:pPr>
        <w:spacing w:before="60" w:after="60"/>
        <w:rPr>
          <w:rFonts w:ascii="Arial" w:cs="Arial" w:eastAsia="Arial" w:hAnsi="Arial"/>
          <w:b/>
          <w:bCs/>
          <w:sz w:val="22"/>
          <w:szCs w:val="22"/>
        </w:rPr>
      </w:pPr>
      <w:r>
        <w:rPr>
          <w:rFonts w:ascii="Arial" w:cs="Arial" w:eastAsia="Arial" w:hAnsi="Arial"/>
          <w:b/>
          <w:bCs/>
          <w:sz w:val="22"/>
          <w:szCs w:val="22"/>
        </w:rPr>
        <w:t xml:space="preserve">Attendance monitoring review cycle</w:t>
      </w:r>
    </w:p>
    <w:p>
      <w:pPr>
        <w:spacing w:before="60" w:after="60"/>
        <w:rPr>
          <w:rFonts w:ascii="Arial" w:cs="Arial" w:eastAsia="Arial" w:hAnsi="Arial"/>
          <w:sz w:val="22"/>
          <w:szCs w:val="22"/>
        </w:rPr>
      </w:pPr>
      <w:r>
        <w:rPr>
          <w:rFonts w:ascii="Arial" w:cs="Arial" w:eastAsia="Arial" w:hAnsi="Arial"/>
          <w:sz w:val="22"/>
          <w:szCs w:val="22"/>
        </w:rPr>
        <w:t xml:space="preserve">Attendance data is reviewed at the following intervals:</w:t>
      </w:r>
    </w:p>
    <w:p>
      <w:pPr>
        <w:numPr>
          <w:ilvl w:val="0"/>
          <w:numId w:val="1"/>
        </w:numPr>
        <w:spacing w:before="40" w:after="40"/>
        <w:rPr>
          <w:rFonts w:ascii="Arial" w:cs="Arial" w:eastAsia="Arial" w:hAnsi="Arial"/>
          <w:sz w:val="22"/>
          <w:szCs w:val="22"/>
        </w:rPr>
      </w:pPr>
      <w:r>
        <w:rPr>
          <w:rFonts w:ascii="Arial" w:cs="Arial" w:eastAsia="Arial" w:hAnsi="Arial"/>
          <w:sz w:val="22"/>
          <w:szCs w:val="22"/>
        </w:rPr>
        <w:t xml:space="preserve">Weekly: the site manager reviews the attendance register to identify any child who has been absent for two or more consecutive sessions without explanation, and ensures the appropriate follow-up procedure has been initiated</w:t>
      </w:r>
    </w:p>
    <w:p>
      <w:pPr>
        <w:numPr>
          <w:ilvl w:val="0"/>
          <w:numId w:val="1"/>
        </w:numPr>
        <w:spacing w:before="40" w:after="40"/>
        <w:rPr>
          <w:rFonts w:ascii="Arial" w:cs="Arial" w:eastAsia="Arial" w:hAnsi="Arial"/>
          <w:sz w:val="22"/>
          <w:szCs w:val="22"/>
        </w:rPr>
      </w:pPr>
      <w:r>
        <w:rPr>
          <w:rFonts w:ascii="Arial" w:cs="Arial" w:eastAsia="Arial" w:hAnsi="Arial"/>
          <w:sz w:val="22"/>
          <w:szCs w:val="22"/>
        </w:rPr>
        <w:t xml:space="preserve">Half-termly: the site manager and key persons review attendance patterns across all children, with particular focus on any child whose attendance has fallen below 80% of their contracted sessions or who shows a pattern of repeated short-term absences</w:t>
      </w:r>
    </w:p>
    <w:p>
      <w:pPr>
        <w:numPr>
          <w:ilvl w:val="0"/>
          <w:numId w:val="1"/>
        </w:numPr>
        <w:spacing w:before="40" w:after="40"/>
        <w:rPr>
          <w:rFonts w:ascii="Arial" w:cs="Arial" w:eastAsia="Arial" w:hAnsi="Arial"/>
          <w:sz w:val="22"/>
          <w:szCs w:val="22"/>
        </w:rPr>
      </w:pPr>
      <w:r>
        <w:rPr>
          <w:rFonts w:ascii="Arial" w:cs="Arial" w:eastAsia="Arial" w:hAnsi="Arial"/>
          <w:sz w:val="22"/>
          <w:szCs w:val="22"/>
        </w:rPr>
        <w:t xml:space="preserve">Annually: attendance data is reviewed as part of the nursery’s wider self-evaluation and quality improvement process</w:t>
      </w:r>
    </w:p>
    <w:p>
      <w:pPr>
        <w:spacing w:before="60" w:after="60"/>
        <w:rPr>
          <w:rFonts w:ascii="Arial" w:cs="Arial" w:eastAsia="Arial" w:hAnsi="Arial"/>
          <w:sz w:val="22"/>
          <w:szCs w:val="22"/>
        </w:rPr>
      </w:pPr>
      <w:r>
        <w:rPr>
          <w:rFonts w:ascii="Arial" w:cs="Arial" w:eastAsia="Arial" w:hAnsi="Arial"/>
          <w:sz w:val="22"/>
          <w:szCs w:val="22"/>
        </w:rPr>
        <w:t xml:space="preserve">Where a pattern of concern is identified at any review, it is discussed with the child’s key person and, where appropriate, with the DSL. The monitoring process itself does not replace the Day 1–10 escalation procedure, which is triggered for any individual absence without explanation regardless of the review cycle.</w:t>
      </w:r>
    </w:p>
    <w:p>
      <w:pPr>
        <w:spacing w:before="60" w:after="60"/>
        <w:rPr>
          <w:rFonts w:ascii="Arial" w:cs="Arial" w:eastAsia="Arial" w:hAnsi="Arial"/>
          <w:b/>
          <w:bCs/>
          <w:sz w:val="22"/>
          <w:szCs w:val="22"/>
        </w:rPr>
      </w:pPr>
      <w:r>
        <w:rPr>
          <w:rFonts w:ascii="Arial" w:cs="Arial" w:eastAsia="Arial" w:hAnsi="Arial"/>
          <w:b/>
          <w:bCs/>
          <w:sz w:val="22"/>
          <w:szCs w:val="22"/>
        </w:rPr>
        <w:t xml:space="preserve">Decisions and actions log</w:t>
      </w:r>
    </w:p>
    <w:p>
      <w:pPr>
        <w:spacing w:before="60" w:after="60"/>
        <w:rPr>
          <w:rFonts w:ascii="Arial" w:cs="Arial" w:eastAsia="Arial" w:hAnsi="Arial"/>
          <w:sz w:val="22"/>
          <w:szCs w:val="22"/>
        </w:rPr>
      </w:pPr>
      <w:r>
        <w:rPr>
          <w:rFonts w:ascii="Arial" w:cs="Arial" w:eastAsia="Arial" w:hAnsi="Arial"/>
          <w:sz w:val="22"/>
          <w:szCs w:val="22"/>
        </w:rPr>
        <w:t xml:space="preserve">Where attendance monitoring identifies a pattern of concern — including repeated short-term absences, attendance below 80%, or any absence linked to a child protection concern — the site manager will record the concern and any action taken in the nursery’s attendance decisions log. This log records:</w:t>
      </w:r>
    </w:p>
    <w:p>
      <w:pPr>
        <w:numPr>
          <w:ilvl w:val="0"/>
          <w:numId w:val="1"/>
        </w:numPr>
        <w:spacing w:before="40" w:after="40"/>
        <w:rPr>
          <w:rFonts w:ascii="Arial" w:cs="Arial" w:eastAsia="Arial" w:hAnsi="Arial"/>
          <w:sz w:val="22"/>
          <w:szCs w:val="22"/>
        </w:rPr>
      </w:pPr>
      <w:r>
        <w:rPr>
          <w:rFonts w:ascii="Arial" w:cs="Arial" w:eastAsia="Arial" w:hAnsi="Arial"/>
          <w:sz w:val="22"/>
          <w:szCs w:val="22"/>
        </w:rPr>
        <w:t xml:space="preserve">The child’s name and the nature of the concern</w:t>
      </w:r>
    </w:p>
    <w:p>
      <w:pPr>
        <w:numPr>
          <w:ilvl w:val="0"/>
          <w:numId w:val="1"/>
        </w:numPr>
        <w:spacing w:before="40" w:after="40"/>
        <w:rPr>
          <w:rFonts w:ascii="Arial" w:cs="Arial" w:eastAsia="Arial" w:hAnsi="Arial"/>
          <w:sz w:val="22"/>
          <w:szCs w:val="22"/>
        </w:rPr>
      </w:pPr>
      <w:r>
        <w:rPr>
          <w:rFonts w:ascii="Arial" w:cs="Arial" w:eastAsia="Arial" w:hAnsi="Arial"/>
          <w:sz w:val="22"/>
          <w:szCs w:val="22"/>
        </w:rPr>
        <w:t xml:space="preserve">The date the concern was identified</w:t>
      </w:r>
    </w:p>
    <w:p>
      <w:pPr>
        <w:numPr>
          <w:ilvl w:val="0"/>
          <w:numId w:val="1"/>
        </w:numPr>
        <w:spacing w:before="40" w:after="40"/>
        <w:rPr>
          <w:rFonts w:ascii="Arial" w:cs="Arial" w:eastAsia="Arial" w:hAnsi="Arial"/>
          <w:sz w:val="22"/>
          <w:szCs w:val="22"/>
        </w:rPr>
      </w:pPr>
      <w:r>
        <w:rPr>
          <w:rFonts w:ascii="Arial" w:cs="Arial" w:eastAsia="Arial" w:hAnsi="Arial"/>
          <w:sz w:val="22"/>
          <w:szCs w:val="22"/>
        </w:rPr>
        <w:t xml:space="preserve">Actions taken (e.g. key person conversation with parents, referral to early help, DSL discussion, social care contact)</w:t>
      </w:r>
    </w:p>
    <w:p>
      <w:pPr>
        <w:numPr>
          <w:ilvl w:val="0"/>
          <w:numId w:val="1"/>
        </w:numPr>
        <w:spacing w:before="40" w:after="40"/>
        <w:rPr>
          <w:rFonts w:ascii="Arial" w:cs="Arial" w:eastAsia="Arial" w:hAnsi="Arial"/>
          <w:sz w:val="22"/>
          <w:szCs w:val="22"/>
        </w:rPr>
      </w:pPr>
      <w:r>
        <w:rPr>
          <w:rFonts w:ascii="Arial" w:cs="Arial" w:eastAsia="Arial" w:hAnsi="Arial"/>
          <w:sz w:val="22"/>
          <w:szCs w:val="22"/>
        </w:rPr>
        <w:t xml:space="preserve">The outcome and any agreed next steps</w:t>
      </w:r>
    </w:p>
    <w:p>
      <w:pPr>
        <w:numPr>
          <w:ilvl w:val="0"/>
          <w:numId w:val="1"/>
        </w:numPr>
        <w:spacing w:before="40" w:after="40"/>
        <w:rPr>
          <w:rFonts w:ascii="Arial" w:cs="Arial" w:eastAsia="Arial" w:hAnsi="Arial"/>
          <w:sz w:val="22"/>
          <w:szCs w:val="22"/>
        </w:rPr>
      </w:pPr>
      <w:r>
        <w:rPr>
          <w:rFonts w:ascii="Arial" w:cs="Arial" w:eastAsia="Arial" w:hAnsi="Arial"/>
          <w:sz w:val="22"/>
          <w:szCs w:val="22"/>
        </w:rPr>
        <w:t xml:space="preserve">The date for review</w:t>
      </w:r>
    </w:p>
    <w:p>
      <w:pPr>
        <w:spacing w:before="60" w:after="60"/>
        <w:rPr>
          <w:rFonts w:ascii="Arial" w:cs="Arial" w:eastAsia="Arial" w:hAnsi="Arial"/>
          <w:sz w:val="22"/>
          <w:szCs w:val="22"/>
        </w:rPr>
      </w:pPr>
      <w:r>
        <w:rPr>
          <w:rFonts w:ascii="Arial" w:cs="Arial" w:eastAsia="Arial" w:hAnsi="Arial"/>
          <w:sz w:val="22"/>
          <w:szCs w:val="22"/>
        </w:rPr>
        <w:t xml:space="preserve">The decisions log is held securely by the site manager and reviewed by the DSL. It is retained in line with our data retention policy and is available to Ofsted on inspection.</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Procedures to Record, Monitor and Follow Up Non-Attendance</w:t>
      </w:r>
    </w:p>
    <w:p>
      <w:pPr>
        <w:spacing w:before="60" w:after="60"/>
      </w:pPr>
      <w:r>
        <w:rPr>
          <w:rFonts w:ascii="Arial" w:cs="Arial" w:eastAsia="Arial" w:hAnsi="Arial"/>
          <w:sz w:val="22"/>
          <w:szCs w:val="22"/>
        </w:rPr>
        <w:t xml:space="preserve">Registration will be completed at the start of each session within 10 minutes of the session start time.</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Explained/Authorised Non-Attendance</w:t>
      </w:r>
    </w:p>
    <w:p>
      <w:pPr>
        <w:spacing w:before="60" w:after="60"/>
      </w:pPr>
      <w:r>
        <w:rPr>
          <w:rFonts w:ascii="Arial" w:cs="Arial" w:eastAsia="Arial" w:hAnsi="Arial"/>
          <w:sz w:val="22"/>
          <w:szCs w:val="22"/>
        </w:rPr>
        <w:t xml:space="preserve">If a child is absent and the nursery has been informed of the reason, this will be recorded on the register as an authorised absence.</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Unexplained/Unauthorised Non-Attendance and Long-Term Absence</w:t>
      </w:r>
    </w:p>
    <w:p>
      <w:pPr>
        <w:spacing w:before="60" w:after="60"/>
      </w:pPr>
      <w:r>
        <w:rPr>
          <w:rFonts w:ascii="Arial" w:cs="Arial" w:eastAsia="Arial" w:hAnsi="Arial"/>
          <w:sz w:val="22"/>
          <w:szCs w:val="22"/>
        </w:rPr>
        <w:t xml:space="preserve">If a child is absent without explanation, the following procedure will be followed:</w:t>
      </w:r>
    </w:p>
    <w:p>
      <w:pPr>
        <w:spacing w:before="80" w:after="80"/>
      </w:pPr>
      <w:r>
        <w:t xml:space="preserve"/>
      </w:r>
    </w:p>
    <w:p>
      <w:pPr>
        <w:spacing w:before="60" w:after="60"/>
      </w:pPr>
      <w:r>
        <w:rPr>
          <w:rFonts w:ascii="Arial" w:cs="Arial" w:eastAsia="Arial" w:hAnsi="Arial"/>
          <w:b/>
          <w:bCs/>
          <w:sz w:val="22"/>
          <w:szCs w:val="22"/>
        </w:rPr>
        <w:t xml:space="preserve">Day 1:</w:t>
      </w:r>
    </w:p>
    <w:p>
      <w:pPr>
        <w:spacing w:before="60" w:after="60"/>
      </w:pPr>
      <w:r>
        <w:rPr>
          <w:rFonts w:ascii="Arial" w:cs="Arial" w:eastAsia="Arial" w:hAnsi="Arial"/>
          <w:sz w:val="22"/>
          <w:szCs w:val="22"/>
        </w:rPr>
        <w:t xml:space="preserve">A telephone call will be made to the priority contact and secondary contact (e.g. home and work numbers).</w:t>
      </w:r>
    </w:p>
    <w:p>
      <w:pPr>
        <w:spacing w:before="80" w:after="80"/>
      </w:pPr>
      <w:r>
        <w:t xml:space="preserve"/>
      </w:r>
    </w:p>
    <w:p>
      <w:pPr>
        <w:spacing w:before="60" w:after="60"/>
      </w:pPr>
      <w:r>
        <w:rPr>
          <w:rFonts w:ascii="Arial" w:cs="Arial" w:eastAsia="Arial" w:hAnsi="Arial"/>
          <w:b/>
          <w:bCs/>
          <w:sz w:val="22"/>
          <w:szCs w:val="22"/>
        </w:rPr>
        <w:t xml:space="preserve">Days 2–4:</w:t>
      </w:r>
    </w:p>
    <w:p>
      <w:pPr>
        <w:spacing w:before="60" w:after="60"/>
      </w:pPr>
      <w:r>
        <w:rPr>
          <w:rFonts w:ascii="Arial" w:cs="Arial" w:eastAsia="Arial" w:hAnsi="Arial"/>
          <w:sz w:val="22"/>
          <w:szCs w:val="22"/>
        </w:rPr>
        <w:t xml:space="preserve">Telephone calls will be made to the priority and secondary contact numbers and to the emergency contact(s) recorded on file.</w:t>
      </w:r>
    </w:p>
    <w:p>
      <w:pPr>
        <w:spacing w:before="80" w:after="80"/>
      </w:pPr>
      <w:r>
        <w:t xml:space="preserve"/>
      </w:r>
    </w:p>
    <w:p>
      <w:pPr>
        <w:spacing w:before="60" w:after="60"/>
      </w:pPr>
      <w:r>
        <w:rPr>
          <w:rFonts w:ascii="Arial" w:cs="Arial" w:eastAsia="Arial" w:hAnsi="Arial"/>
          <w:b/>
          <w:bCs/>
          <w:sz w:val="22"/>
          <w:szCs w:val="22"/>
        </w:rPr>
        <w:t xml:space="preserve">Day 5:</w:t>
      </w:r>
    </w:p>
    <w:p>
      <w:pPr>
        <w:spacing w:before="60" w:after="60"/>
      </w:pPr>
      <w:r>
        <w:rPr>
          <w:rFonts w:ascii="Arial" w:cs="Arial" w:eastAsia="Arial" w:hAnsi="Arial"/>
          <w:sz w:val="22"/>
          <w:szCs w:val="22"/>
        </w:rPr>
        <w:t xml:space="preserve">A home visit will be carried out by two members of staff. If successful contact is made and a reasonable explanation is provided (with evidence if necessary), the register will be updated. If contact is unsuccessful, a contact postcard will be posted through the door.</w:t>
      </w:r>
    </w:p>
    <w:p>
      <w:pPr>
        <w:spacing w:before="80" w:after="80"/>
      </w:pPr>
      <w:r>
        <w:t xml:space="preserve"/>
      </w:r>
    </w:p>
    <w:p>
      <w:pPr>
        <w:spacing w:before="60" w:after="60"/>
      </w:pPr>
      <w:r>
        <w:rPr>
          <w:rFonts w:ascii="Arial" w:cs="Arial" w:eastAsia="Arial" w:hAnsi="Arial"/>
          <w:b/>
          <w:bCs/>
          <w:sz w:val="22"/>
          <w:szCs w:val="22"/>
        </w:rPr>
        <w:t xml:space="preserve">Days 6–9:</w:t>
      </w:r>
    </w:p>
    <w:p>
      <w:pPr>
        <w:spacing w:before="60" w:after="60"/>
      </w:pPr>
      <w:r>
        <w:rPr>
          <w:rFonts w:ascii="Arial" w:cs="Arial" w:eastAsia="Arial" w:hAnsi="Arial"/>
          <w:sz w:val="22"/>
          <w:szCs w:val="22"/>
        </w:rPr>
        <w:t xml:space="preserve">If the Day 5 home visit was unsuccessful, the Day 2–4 protocol will continue and/or a further home visit will be arranged.</w:t>
      </w:r>
    </w:p>
    <w:p>
      <w:pPr>
        <w:spacing w:before="80" w:after="80"/>
      </w:pPr>
      <w:r>
        <w:t xml:space="preserve"/>
      </w:r>
    </w:p>
    <w:p>
      <w:pPr>
        <w:spacing w:before="60" w:after="60"/>
      </w:pPr>
      <w:r>
        <w:rPr>
          <w:rFonts w:ascii="Arial" w:cs="Arial" w:eastAsia="Arial" w:hAnsi="Arial"/>
          <w:b/>
          <w:bCs/>
          <w:sz w:val="22"/>
          <w:szCs w:val="22"/>
        </w:rPr>
        <w:t xml:space="preserve">Day 10:</w:t>
      </w:r>
    </w:p>
    <w:p>
      <w:pPr>
        <w:spacing w:before="60" w:after="60"/>
      </w:pPr>
      <w:r>
        <w:rPr>
          <w:rFonts w:ascii="Arial" w:cs="Arial" w:eastAsia="Arial" w:hAnsi="Arial"/>
          <w:sz w:val="22"/>
          <w:szCs w:val="22"/>
        </w:rPr>
        <w:t xml:space="preserve">We will contact the police to request a welfare check and inform children's social care of all actions taken to date.</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Summary</w:t>
      </w:r>
    </w:p>
    <w:p>
      <w:pPr>
        <w:pStyle w:val="ListParagraph"/>
        <w:numPr>
          <w:ilvl w:val="0"/>
          <w:numId w:val="2"/>
        </w:numPr>
        <w:spacing w:before="40" w:after="40"/>
      </w:pPr>
      <w:r>
        <w:rPr>
          <w:rFonts w:ascii="Arial" w:cs="Arial" w:eastAsia="Arial" w:hAnsi="Arial"/>
          <w:b w:val="false"/>
          <w:bCs w:val="false"/>
          <w:sz w:val="22"/>
          <w:szCs w:val="22"/>
        </w:rPr>
        <w:t xml:space="preserve">Where there is an absence, contact will first be made with the priority contacts</w:t>
      </w:r>
    </w:p>
    <w:p>
      <w:pPr>
        <w:pStyle w:val="ListParagraph"/>
        <w:numPr>
          <w:ilvl w:val="0"/>
          <w:numId w:val="2"/>
        </w:numPr>
        <w:spacing w:before="40" w:after="40"/>
      </w:pPr>
      <w:r>
        <w:rPr>
          <w:rFonts w:ascii="Arial" w:cs="Arial" w:eastAsia="Arial" w:hAnsi="Arial"/>
          <w:b w:val="false"/>
          <w:bCs w:val="false"/>
          <w:sz w:val="22"/>
          <w:szCs w:val="22"/>
        </w:rPr>
        <w:t xml:space="preserve">Where contact with priority contacts is unsuccessful and there is no explanation for the absence, the Unexplained/Unauthorised Non-Attendance procedure will be followed</w:t>
      </w:r>
    </w:p>
    <w:p>
      <w:pPr>
        <w:pStyle w:val="ListParagraph"/>
        <w:numPr>
          <w:ilvl w:val="0"/>
          <w:numId w:val="2"/>
        </w:numPr>
        <w:spacing w:before="40" w:after="40"/>
      </w:pPr>
      <w:r>
        <w:rPr>
          <w:rFonts w:ascii="Arial" w:cs="Arial" w:eastAsia="Arial" w:hAnsi="Arial"/>
          <w:b w:val="false"/>
          <w:bCs w:val="false"/>
          <w:sz w:val="22"/>
          <w:szCs w:val="22"/>
        </w:rPr>
        <w:t xml:space="preserve">Long-term absence is defined as a period of 10 working days (two calendar weeks) or more</w:t>
      </w:r>
    </w:p>
    <w:p>
      <w:pPr>
        <w:spacing w:before="80" w:after="80"/>
      </w:pPr>
      <w:r>
        <w:t xml:space="preserve"/>
      </w:r>
    </w:p>
    <w:p>
      <w:pPr>
        <w:pStyle w:val="Normal"/>
      </w:pPr>
      <w:r>
        <w:rPr>
          <w:rFonts w:ascii="Calibri" w:hAnsi="Calibri"/>
        </w:rPr>
        <w:t xml:space="preserve"/>
      </w:r>
    </w:p>
    <w:p>
      <w:pPr>
        <w:pStyle w:val="Heading2"/>
      </w:pPr>
      <w:r>
        <w:rPr>
          <w:rFonts w:ascii="Calibri" w:hAnsi="Calibri"/>
        </w:rPr>
        <w:t xml:space="preserve">Late arrival</w:t>
      </w:r>
    </w:p>
    <w:p>
      <w:pPr>
        <w:pStyle w:val="Normal"/>
      </w:pPr>
      <w:r>
        <w:rPr>
          <w:rFonts w:ascii="Calibri" w:hAnsi="Calibri"/>
        </w:rPr>
        <w:t xml:space="preserve">Sessions at Greencoat Nursery begin at their published start times. Punctual arrival is important: settled, predictable routines support children's sense of security and enable them to benefit fully from planned learning and care.</w:t>
      </w:r>
    </w:p>
    <w:p>
      <w:pPr>
        <w:pStyle w:val="Normal"/>
      </w:pPr>
      <w:r>
        <w:rPr>
          <w:rFonts w:ascii="Calibri" w:hAnsi="Calibri"/>
        </w:rPr>
        <w:t xml:space="preserve">Where a child arrives more than one hour after the start of their booked session, the nursery reserves the right to refuse admission for that session. This is because:</w:t>
      </w:r>
    </w:p>
    <w:p>
      <w:pPr>
        <w:pStyle w:val="Normal"/>
        <w:numPr>
          <w:ilvl w:val="0"/>
          <w:numId w:val="2"/>
        </w:numPr>
      </w:pPr>
      <w:r>
        <w:rPr>
          <w:rFonts w:ascii="Calibri" w:hAnsi="Calibri"/>
        </w:rPr>
        <w:t xml:space="preserve">The child will have missed a significant proportion of the session's planned activities and learning</w:t>
      </w:r>
    </w:p>
    <w:p>
      <w:pPr>
        <w:pStyle w:val="Normal"/>
        <w:numPr>
          <w:ilvl w:val="0"/>
          <w:numId w:val="2"/>
        </w:numPr>
      </w:pPr>
      <w:r>
        <w:rPr>
          <w:rFonts w:ascii="Calibri" w:hAnsi="Calibri"/>
        </w:rPr>
        <w:t xml:space="preserve">Admitting a child very late disrupts the settled routine of the room and the other children in it</w:t>
      </w:r>
    </w:p>
    <w:p>
      <w:pPr>
        <w:pStyle w:val="Normal"/>
        <w:numPr>
          <w:ilvl w:val="0"/>
          <w:numId w:val="2"/>
        </w:numPr>
      </w:pPr>
      <w:r>
        <w:rPr>
          <w:rFonts w:ascii="Calibri" w:hAnsi="Calibri"/>
        </w:rPr>
        <w:t xml:space="preserve">Consistent late arrivals are not in the best interests of the child's development or wellbeing</w:t>
      </w:r>
    </w:p>
    <w:p>
      <w:pPr>
        <w:pStyle w:val="Normal"/>
      </w:pPr>
      <w:r>
        <w:rPr>
          <w:rFonts w:ascii="Calibri" w:hAnsi="Calibri"/>
        </w:rPr>
        <w:t xml:space="preserve">Before exercising the right to refuse admission, the site manager or a senior member of staff will make reasonable attempts to contact the parent or carer by telephone. Where a genuine emergency or exceptional circumstance is confirmed, admission will be granted at the manager's discretion and the reason noted on the register.</w:t>
      </w:r>
    </w:p>
    <w:p>
      <w:pPr>
        <w:pStyle w:val="Normal"/>
      </w:pPr>
      <w:r>
        <w:rPr>
          <w:rFonts w:ascii="Calibri" w:hAnsi="Calibri"/>
        </w:rPr>
        <w:t xml:space="preserve">No fee will be charged to the family for a session in which admission is refused under this provision.</w:t>
      </w:r>
    </w:p>
    <w:p>
      <w:pPr>
        <w:pStyle w:val="Normal"/>
      </w:pPr>
      <w:r>
        <w:rPr>
          <w:rFonts w:ascii="Calibri" w:hAnsi="Calibri"/>
        </w:rPr>
        <w:t xml:space="preserve">Late arrival will be recorded on the register. Where a persistent pattern is identified, the site manager will speak with the family supportively to understand the reasons and agree a plan. Where late arrival gives rise to a welfare concern, it will be referred to the DSL and noted in the decisions log in line with the Monitoring Attendance section above.</w:t>
      </w:r>
    </w:p>
    <w:p>
      <w:pPr>
        <w:pStyle w:val="Normal"/>
      </w:pPr>
      <w:r>
        <w:rPr>
          <w:rFonts w:ascii="Calibri" w:hAnsi="Calibri"/>
        </w:rPr>
        <w:t xml:space="preserve">This provision is set out in the nursery's Parent Contract. Parents are asked to contact the nursery as early as possible if they anticipate arriving late.</w:t>
      </w:r>
    </w:p>
    <w:p>
      <w:pPr>
        <w:pStyle w:val="Normal"/>
      </w:pPr>
      <w:r>
        <w:rPr>
          <w:rFonts w:ascii="Calibri" w:hAnsi="Calibri"/>
        </w:rPr>
        <w:t xml:space="preserve"/>
      </w:r>
    </w:p>
    <w:p>
      <w:pPr>
        <w:pStyle w:val="Heading1"/>
        <w:spacing w:before="240" w:after="120"/>
      </w:pPr>
      <w:r>
        <w:rPr>
          <w:rFonts w:ascii="Arial" w:cs="Arial" w:eastAsia="Arial" w:hAnsi="Arial"/>
          <w:b/>
          <w:bCs/>
          <w:color w:val="1e6641"/>
          <w:sz w:val="28"/>
          <w:szCs w:val="28"/>
        </w:rPr>
        <w:t xml:space="preserve">Leaving the Nursery</w:t>
      </w:r>
    </w:p>
    <w:p>
      <w:pPr>
        <w:spacing w:before="60" w:after="60"/>
      </w:pPr>
      <w:r>
        <w:rPr>
          <w:rFonts w:ascii="Arial" w:cs="Arial" w:eastAsia="Arial" w:hAnsi="Arial"/>
          <w:sz w:val="22"/>
          <w:szCs w:val="22"/>
        </w:rPr>
        <w:t xml:space="preserve">If you decide to withdraw your child from the nursery, please refer to our Parent Contract and Terms and Conditions for the applicable notice period. This ensures that we remove your child from our systems and do not continue to expect attendance.</w:t>
      </w:r>
    </w:p>
    <w:p>
      <w:pPr>
        <w:spacing w:before="80" w:after="80"/>
      </w:pPr>
      <w:r>
        <w:t xml:space="preserve"/>
      </w:r>
    </w:p>
    <w:p>
      <w:pPr>
        <w:spacing w:before="60" w:after="60"/>
      </w:pPr>
      <w:r>
        <w:rPr>
          <w:rFonts w:ascii="Arial" w:cs="Arial" w:eastAsia="Arial" w:hAnsi="Arial"/>
          <w:sz w:val="22"/>
          <w:szCs w:val="22"/>
        </w:rPr>
        <w:t xml:space="preserve">If your child is transitioning to another early years provider or school, please provide us with the details of the new setting so that we can transfer essential information, such as their unique pupil number or funding eligibility code.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This policy was adopted on</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Signed on behalf of the nursery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 for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9th March 2026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Taz Khan, Director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2028</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6641"/>
      <w:sz w:val="28"/>
      <w:szCs w:val="28"/>
    </w:rPr>
  </w:style>
  <w:style w:type="paragraph" w:styleId="Heading2">
    <w:name w:val="Heading 2"/>
    <w:basedOn w:val="Normal"/>
    <w:next w:val="Normal"/>
    <w:qFormat/>
    <w:pPr>
      <w:spacing w:before="200" w:after="8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2026-03-12T13:10:05.626Z</dcterms:created>
  <dcterms:modified xsi:type="dcterms:W3CDTF">2026-03-12T13:10:05.626Z</dcterms:modified>
</cp:coreProperties>
</file>

<file path=docProps/custom.xml><?xml version="1.0" encoding="utf-8"?>
<Properties xmlns="http://schemas.openxmlformats.org/officeDocument/2006/custom-properties" xmlns:vt="http://schemas.openxmlformats.org/officeDocument/2006/docPropsVTypes"/>
</file>