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02D8" w14:textId="77777777" w:rsidR="00EE0F6B" w:rsidRPr="008D331B" w:rsidRDefault="00EE0F6B" w:rsidP="00EE0F6B">
      <w:pPr>
        <w:pStyle w:val="H1"/>
        <w:rPr>
          <w:rFonts w:ascii="Calibri" w:hAnsi="Calibri" w:cs="Calibri"/>
        </w:rPr>
      </w:pPr>
      <w:bookmarkStart w:id="0" w:name="_Toc220505122"/>
      <w:r>
        <w:rPr>
          <w:rFonts w:ascii="Calibri" w:hAnsi="Calibri" w:cs="Calibri"/>
        </w:rPr>
        <w:t>Children's Wellbeing Policy</w:t>
      </w:r>
      <w:bookmarkEnd w:id="0"/>
    </w:p>
    <w:p>
      <w:pPr/>
      <w:r>
        <w:rPr>
          <w:rFonts w:ascii="Calibri" w:hAnsi="Calibri"/>
        </w:rPr>
        <w:t xml:space="preserve"/>
      </w:r>
    </w:p>
    <w:p>
      <w:pPr/>
      <w:r>
        <w:rPr>
          <w:rFonts w:ascii="Calibri" w:hAnsi="Calibri"/>
        </w:rPr>
        <w:t xml:space="preserve">This policy should be read alongside the Safeguarding Children and Child Protection Policy, the Key Person Policy, the SEND Policy, the Promoting Positive Behaviour Policy and the Supervision of Children Policy.</w:t>
      </w:r>
    </w:p>
    <w:p>
      <w:pPr>
        <w:pStyle w:val="Heading2"/>
      </w:pPr>
      <w:r>
        <w:rPr>
          <w:rFonts w:ascii="Calibri" w:hAnsi="Calibri"/>
        </w:rPr>
        <w:t>Related policies</w:t>
      </w:r>
    </w:p>
    <w:p>
      <w:pPr/>
      <w:r>
        <w:rPr>
          <w:rFonts w:ascii="Calibri" w:hAnsi="Calibri"/>
        </w:rPr>
        <w:t xml:space="preserve"/>
      </w:r>
    </w:p>
    <w:p>
      <w:pPr/>
      <w:r>
        <w:rPr>
          <w:rFonts w:ascii="Calibri" w:hAnsi="Calibri"/>
        </w:rPr>
        <w:t xml:space="preserve">Any concern about a child's wellbeing that may indicate a safeguarding issue must be reported to the DSL without delay and recorded using the Greencoat Summary of Interaction form.</w:t>
      </w:r>
    </w:p>
    <w:p>
      <w:pPr/>
      <w:r>
        <w:rPr>
          <w:rFonts w:ascii="Calibri" w:hAnsi="Calibri"/>
        </w:rPr>
        <w:t xml:space="preserve">Children's wellbeing and safeguarding are closely linked. Persistent poor wellbeing — particularly when a child seems frightened, hungry, exhausted or in physical discomfort — can be an indicator of neglect or harm at home. Staff should not try to distinguish between the two. If something concerns you, report it. The DSL will assess it.</w:t>
      </w:r>
    </w:p>
    <w:p>
      <w:pPr>
        <w:pStyle w:val="Heading2"/>
      </w:pPr>
      <w:r>
        <w:rPr>
          <w:rFonts w:ascii="Calibri" w:hAnsi="Calibri"/>
        </w:rPr>
        <w:t>Wellbeing and safeguarding</w:t>
      </w:r>
    </w:p>
    <w:p>
      <w:pPr/>
      <w:r>
        <w:rPr>
          <w:rFonts w:ascii="Calibri" w:hAnsi="Calibri"/>
        </w:rPr>
        <w:t xml:space="preserve"/>
      </w:r>
    </w:p>
    <w:p>
      <w:pPr>
        <w:numPr>
          <w:ilvl w:val="0"/>
          <w:numId w:val="13"/>
        </w:numPr>
      </w:pPr>
      <w:r>
        <w:rPr>
          <w:rFonts w:ascii="Calibri" w:hAnsi="Calibri"/>
        </w:rPr>
        <w:t xml:space="preserve">Ensuring children have adequate physical activity, fresh air and rest each day</w:t>
      </w:r>
    </w:p>
    <w:p>
      <w:pPr>
        <w:numPr>
          <w:ilvl w:val="0"/>
          <w:numId w:val="13"/>
        </w:numPr>
      </w:pPr>
      <w:r>
        <w:rPr>
          <w:rFonts w:ascii="Calibri" w:hAnsi="Calibri"/>
        </w:rPr>
        <w:t xml:space="preserve">Never forcing children to eat, sleep or participate in an activity when clearly distressed</w:t>
      </w:r>
    </w:p>
    <w:p>
      <w:pPr>
        <w:numPr>
          <w:ilvl w:val="0"/>
          <w:numId w:val="13"/>
        </w:numPr>
      </w:pPr>
      <w:r>
        <w:rPr>
          <w:rFonts w:ascii="Calibri" w:hAnsi="Calibri"/>
        </w:rPr>
        <w:t xml:space="preserve">Providing quiet spaces where children can withdraw if they are overwhelmed</w:t>
      </w:r>
    </w:p>
    <w:p>
      <w:pPr>
        <w:numPr>
          <w:ilvl w:val="0"/>
          <w:numId w:val="13"/>
        </w:numPr>
      </w:pPr>
      <w:r>
        <w:rPr>
          <w:rFonts w:ascii="Calibri" w:hAnsi="Calibri"/>
        </w:rPr>
        <w:t xml:space="preserve">Allowing children to bring a comfort object from home if they need one</w:t>
      </w:r>
    </w:p>
    <w:p>
      <w:pPr>
        <w:numPr>
          <w:ilvl w:val="0"/>
          <w:numId w:val="13"/>
        </w:numPr>
      </w:pPr>
      <w:r>
        <w:rPr>
          <w:rFonts w:ascii="Calibri" w:hAnsi="Calibri"/>
        </w:rPr>
        <w:t xml:space="preserve">Giving children language for their feelings — "you look frustrated", "it is okay to feel sad"</w:t>
      </w:r>
    </w:p>
    <w:p>
      <w:pPr>
        <w:numPr>
          <w:ilvl w:val="0"/>
          <w:numId w:val="13"/>
        </w:numPr>
      </w:pPr>
      <w:r>
        <w:rPr>
          <w:rFonts w:ascii="Calibri" w:hAnsi="Calibri"/>
        </w:rPr>
        <w:t xml:space="preserve">Providing calm, predictable routines — children feel safe when they know what comes next</w:t>
      </w:r>
    </w:p>
    <w:p>
      <w:pPr>
        <w:numPr>
          <w:ilvl w:val="0"/>
          <w:numId w:val="13"/>
        </w:numPr>
      </w:pPr>
      <w:r>
        <w:rPr>
          <w:rFonts w:ascii="Calibri" w:hAnsi="Calibri"/>
        </w:rPr>
        <w:t xml:space="preserve">Greeting every child warmly at arrival and noticing if they seem different from usual</w:t>
      </w:r>
    </w:p>
    <w:p>
      <w:pPr/>
      <w:r>
        <w:rPr>
          <w:rFonts w:ascii="Calibri" w:hAnsi="Calibri"/>
        </w:rPr>
        <w:t xml:space="preserve">In addition, staff support children's wellbeing by:</w:t>
      </w:r>
    </w:p>
    <w:p>
      <w:pPr/>
      <w:r>
        <w:rPr>
          <w:rFonts w:ascii="Calibri" w:hAnsi="Calibri"/>
        </w:rPr>
        <w:t xml:space="preserve"/>
      </w:r>
    </w:p>
    <w:p>
      <w:pPr/>
      <w:r>
        <w:rPr>
          <w:rFonts w:ascii="Calibri" w:hAnsi="Calibri"/>
        </w:rPr>
        <w:t xml:space="preserve">The key person system is the most important tool we have. Every child has a named key person who knows them, tracks their development and is the first point of contact for their family. A consistent, caring relationship with a key person is what children need most.</w:t>
      </w:r>
    </w:p>
    <w:p>
      <w:pPr>
        <w:pStyle w:val="Heading2"/>
      </w:pPr>
      <w:r>
        <w:rPr>
          <w:rFonts w:ascii="Calibri" w:hAnsi="Calibri"/>
        </w:rPr>
        <w:t>How we support children's wellbeing every day</w:t>
      </w:r>
    </w:p>
    <w:p>
      <w:pPr/>
      <w:r>
        <w:rPr>
          <w:rFonts w:ascii="Calibri" w:hAnsi="Calibri"/>
        </w:rPr>
        <w:t xml:space="preserve"/>
      </w:r>
    </w:p>
    <w:p>
      <w:pPr>
        <w:numPr>
          <w:ilvl w:val="0"/>
          <w:numId w:val="13"/>
        </w:numPr>
      </w:pPr>
      <w:r>
        <w:rPr>
          <w:rFonts w:ascii="Calibri" w:hAnsi="Calibri"/>
        </w:rPr>
        <w:t xml:space="preserve">Step 5 — If external support may be needed (e.g. a referral to early help, SEND support or a health visitor), discuss with the site manager and DSL. Do not contact external agencies on your own without going through this route first.</w:t>
      </w:r>
    </w:p>
    <w:p>
      <w:pPr>
        <w:numPr>
          <w:ilvl w:val="0"/>
          <w:numId w:val="13"/>
        </w:numPr>
      </w:pPr>
      <w:r>
        <w:rPr>
          <w:rFonts w:ascii="Calibri" w:hAnsi="Calibri"/>
        </w:rPr>
        <w:t xml:space="preserve">Step 4 — If the concern is about wellbeing rather than safety (for example a child who seems unhappy or unsettled), the key person should speak with the parents at the next natural opportunity — warmly and without alarm.</w:t>
      </w:r>
    </w:p>
    <w:p>
      <w:pPr>
        <w:numPr>
          <w:ilvl w:val="0"/>
          <w:numId w:val="13"/>
        </w:numPr>
      </w:pPr>
      <w:r>
        <w:rPr>
          <w:rFonts w:ascii="Calibri" w:hAnsi="Calibri"/>
        </w:rPr>
        <w:t xml:space="preserve">Step 3 — Tell the DSL if the concern involves possible harm, neglect, or persistent signs across several days. The DSL will decide what happens next. You do not need to be certain — you need a concern.</w:t>
      </w:r>
    </w:p>
    <w:p>
      <w:pPr>
        <w:numPr>
          <w:ilvl w:val="0"/>
          <w:numId w:val="13"/>
        </w:numPr>
      </w:pPr>
      <w:r>
        <w:rPr>
          <w:rFonts w:ascii="Calibri" w:hAnsi="Calibri"/>
        </w:rPr>
        <w:t xml:space="preserve">Step 2 — Record what you observed. Use factual, objective language. Write down the child's own words if they said something. Date and sign it. This is not a formal report — it is a note of what you saw or heard.</w:t>
      </w:r>
    </w:p>
    <w:p>
      <w:pPr>
        <w:numPr>
          <w:ilvl w:val="0"/>
          <w:numId w:val="13"/>
        </w:numPr>
      </w:pPr>
      <w:r>
        <w:rPr>
          <w:rFonts w:ascii="Calibri" w:hAnsi="Calibri"/>
        </w:rPr>
        <w:t xml:space="preserve">Step 1 — Talk to the key person. If you notice a concern about a child who is not one of yours, tell their key person the same day. They know the child best.</w:t>
      </w:r>
    </w:p>
    <w:p>
      <w:pPr>
        <w:pStyle w:val="Heading2"/>
      </w:pPr>
      <w:r>
        <w:rPr>
          <w:rFonts w:ascii="Calibri" w:hAnsi="Calibri"/>
        </w:rPr>
        <w:t>What to do when you are concerned</w:t>
      </w:r>
    </w:p>
    <w:p>
      <w:pPr/>
      <w:r>
        <w:rPr>
          <w:rFonts w:ascii="Calibri" w:hAnsi="Calibri"/>
        </w:rPr>
        <w:t xml:space="preserve"/>
      </w:r>
    </w:p>
    <w:p>
      <w:pPr>
        <w:numPr>
          <w:ilvl w:val="0"/>
          <w:numId w:val="13"/>
        </w:numPr>
      </w:pPr>
      <w:r>
        <w:rPr>
          <w:rFonts w:ascii="Calibri" w:hAnsi="Calibri"/>
        </w:rPr>
        <w:t xml:space="preserve">Disclosures — anything that suggests a child may be harmed, frightened or at risk</w:t>
      </w:r>
    </w:p>
    <w:p>
      <w:pPr>
        <w:numPr>
          <w:ilvl w:val="0"/>
          <w:numId w:val="13"/>
        </w:numPr>
      </w:pPr>
      <w:r>
        <w:rPr>
          <w:rFonts w:ascii="Calibri" w:hAnsi="Calibri"/>
        </w:rPr>
        <w:t xml:space="preserve">Comments about home that concern you, however small — record the exact words</w:t>
      </w:r>
    </w:p>
    <w:p>
      <w:pPr/>
      <w:r>
        <w:rPr>
          <w:rFonts w:ascii="Calibri" w:hAnsi="Calibri"/>
          <w:b/>
        </w:rPr>
        <w:t xml:space="preserve">Things children say:</w:t>
      </w:r>
    </w:p>
    <w:p>
      <w:pPr/>
      <w:r>
        <w:rPr>
          <w:rFonts w:ascii="Calibri" w:hAnsi="Calibri"/>
        </w:rPr>
        <w:t xml:space="preserve"/>
      </w:r>
    </w:p>
    <w:p>
      <w:pPr>
        <w:numPr>
          <w:ilvl w:val="0"/>
          <w:numId w:val="13"/>
        </w:numPr>
      </w:pPr>
      <w:r>
        <w:rPr>
          <w:rFonts w:ascii="Calibri" w:hAnsi="Calibri"/>
        </w:rPr>
        <w:t xml:space="preserve">Unexplained marks or injuries (refer immediately to the DSL — see Safeguarding Policy)</w:t>
      </w:r>
    </w:p>
    <w:p>
      <w:pPr>
        <w:numPr>
          <w:ilvl w:val="0"/>
          <w:numId w:val="13"/>
        </w:numPr>
      </w:pPr>
      <w:r>
        <w:rPr>
          <w:rFonts w:ascii="Calibri" w:hAnsi="Calibri"/>
        </w:rPr>
        <w:t xml:space="preserve">Arriving persistently hungry</w:t>
      </w:r>
    </w:p>
    <w:p>
      <w:pPr>
        <w:numPr>
          <w:ilvl w:val="0"/>
          <w:numId w:val="13"/>
        </w:numPr>
      </w:pPr>
      <w:r>
        <w:rPr>
          <w:rFonts w:ascii="Calibri" w:hAnsi="Calibri"/>
        </w:rPr>
        <w:t xml:space="preserve">Complaints of persistent pain (headaches, stomach aches) without a medical explanation</w:t>
      </w:r>
    </w:p>
    <w:p>
      <w:pPr>
        <w:numPr>
          <w:ilvl w:val="0"/>
          <w:numId w:val="13"/>
        </w:numPr>
      </w:pPr>
      <w:r>
        <w:rPr>
          <w:rFonts w:ascii="Calibri" w:hAnsi="Calibri"/>
        </w:rPr>
        <w:t xml:space="preserve">Coming in persistently tired, unwashed or poorly dressed for the weather</w:t>
      </w:r>
    </w:p>
    <w:p>
      <w:pPr/>
      <w:r>
        <w:rPr>
          <w:rFonts w:ascii="Calibri" w:hAnsi="Calibri"/>
          <w:b/>
        </w:rPr>
        <w:t xml:space="preserve">Physical indicators:</w:t>
      </w:r>
    </w:p>
    <w:p>
      <w:pPr/>
      <w:r>
        <w:rPr>
          <w:rFonts w:ascii="Calibri" w:hAnsi="Calibri"/>
        </w:rPr>
        <w:t xml:space="preserve"/>
      </w:r>
    </w:p>
    <w:p>
      <w:pPr>
        <w:numPr>
          <w:ilvl w:val="0"/>
          <w:numId w:val="13"/>
        </w:numPr>
      </w:pPr>
      <w:r>
        <w:rPr>
          <w:rFonts w:ascii="Calibri" w:hAnsi="Calibri"/>
        </w:rPr>
        <w:t xml:space="preserve">Loss of interest in activities or friendships the child previously enjoyed</w:t>
      </w:r>
    </w:p>
    <w:p>
      <w:pPr>
        <w:numPr>
          <w:ilvl w:val="0"/>
          <w:numId w:val="13"/>
        </w:numPr>
      </w:pPr>
      <w:r>
        <w:rPr>
          <w:rFonts w:ascii="Calibri" w:hAnsi="Calibri"/>
        </w:rPr>
        <w:t xml:space="preserve">Difficulty separating from parents when this was not previously a concern</w:t>
      </w:r>
    </w:p>
    <w:p>
      <w:pPr>
        <w:numPr>
          <w:ilvl w:val="0"/>
          <w:numId w:val="13"/>
        </w:numPr>
      </w:pPr>
      <w:r>
        <w:rPr>
          <w:rFonts w:ascii="Calibri" w:hAnsi="Calibri"/>
        </w:rPr>
        <w:t xml:space="preserve">Sudden aggression or regression in behaviour (e.g. a toilet-trained child having frequent accidents)</w:t>
      </w:r>
    </w:p>
    <w:p>
      <w:pPr>
        <w:numPr>
          <w:ilvl w:val="0"/>
          <w:numId w:val="13"/>
        </w:numPr>
      </w:pPr>
      <w:r>
        <w:rPr>
          <w:rFonts w:ascii="Calibri" w:hAnsi="Calibri"/>
        </w:rPr>
        <w:t xml:space="preserve">Persistent tearfulness or distress that is hard to settle</w:t>
      </w:r>
    </w:p>
    <w:p>
      <w:pPr>
        <w:numPr>
          <w:ilvl w:val="0"/>
          <w:numId w:val="13"/>
        </w:numPr>
      </w:pPr>
      <w:r>
        <w:rPr>
          <w:rFonts w:ascii="Calibri" w:hAnsi="Calibri"/>
        </w:rPr>
        <w:t xml:space="preserve">Becoming unusually withdrawn, quiet or clingy</w:t>
      </w:r>
    </w:p>
    <w:p>
      <w:pPr/>
      <w:r>
        <w:rPr>
          <w:rFonts w:ascii="Calibri" w:hAnsi="Calibri"/>
          <w:b/>
        </w:rPr>
        <w:t xml:space="preserve">Changes in behaviour or mood:</w:t>
      </w:r>
    </w:p>
    <w:p>
      <w:pPr/>
      <w:r>
        <w:rPr>
          <w:rFonts w:ascii="Calibri" w:hAnsi="Calibri"/>
        </w:rPr>
        <w:t xml:space="preserve"/>
      </w:r>
    </w:p>
    <w:p>
      <w:pPr/>
      <w:r>
        <w:rPr>
          <w:rFonts w:ascii="Calibri" w:hAnsi="Calibri"/>
        </w:rPr>
        <w:t xml:space="preserve">Staff must be alert to changes from a child's normal pattern of behaviour. A single sign is not necessarily a concern but a cluster of signs, or a change that persists, should always be followed up.</w:t>
      </w:r>
    </w:p>
    <w:p>
      <w:pPr>
        <w:pStyle w:val="Heading2"/>
      </w:pPr>
      <w:r>
        <w:rPr>
          <w:rFonts w:ascii="Calibri" w:hAnsi="Calibri"/>
        </w:rPr>
        <w:t>Signs a child's wellbeing may be suffering — what to notice</w:t>
      </w:r>
    </w:p>
    <w:p>
      <w:pPr/>
      <w:r>
        <w:rPr>
          <w:rFonts w:ascii="Calibri" w:hAnsi="Calibri"/>
        </w:rPr>
        <w:t xml:space="preserve"/>
      </w:r>
    </w:p>
    <w:p>
      <w:pPr>
        <w:numPr>
          <w:ilvl w:val="0"/>
          <w:numId w:val="13"/>
        </w:numPr>
      </w:pPr>
      <w:r>
        <w:rPr>
          <w:rFonts w:ascii="Calibri" w:hAnsi="Calibri"/>
        </w:rPr>
        <w:t xml:space="preserve">Feels safe enough to explore, take small risks and make mistakes</w:t>
      </w:r>
    </w:p>
    <w:p>
      <w:pPr>
        <w:numPr>
          <w:ilvl w:val="0"/>
          <w:numId w:val="13"/>
        </w:numPr>
      </w:pPr>
      <w:r>
        <w:rPr>
          <w:rFonts w:ascii="Calibri" w:hAnsi="Calibri"/>
        </w:rPr>
        <w:t xml:space="preserve">Is physically comfortable — not persistently tired, hungry or in pain</w:t>
      </w:r>
    </w:p>
    <w:p>
      <w:pPr>
        <w:numPr>
          <w:ilvl w:val="0"/>
          <w:numId w:val="13"/>
        </w:numPr>
      </w:pPr>
      <w:r>
        <w:rPr>
          <w:rFonts w:ascii="Calibri" w:hAnsi="Calibri"/>
        </w:rPr>
        <w:t xml:space="preserve">Expresses emotions — including difficult ones — in ways that are broadly appropriate for their age</w:t>
      </w:r>
    </w:p>
    <w:p>
      <w:pPr>
        <w:numPr>
          <w:ilvl w:val="0"/>
          <w:numId w:val="13"/>
        </w:numPr>
      </w:pPr>
      <w:r>
        <w:rPr>
          <w:rFonts w:ascii="Calibri" w:hAnsi="Calibri"/>
        </w:rPr>
        <w:t xml:space="preserve">Is able to engage with activities, other children and staff</w:t>
      </w:r>
    </w:p>
    <w:p>
      <w:pPr>
        <w:numPr>
          <w:ilvl w:val="0"/>
          <w:numId w:val="13"/>
        </w:numPr>
      </w:pPr>
      <w:r>
        <w:rPr>
          <w:rFonts w:ascii="Calibri" w:hAnsi="Calibri"/>
        </w:rPr>
        <w:t xml:space="preserve">Arrives settled or settles reasonably quickly with the support of their key person</w:t>
      </w:r>
    </w:p>
    <w:p>
      <w:pPr/>
      <w:r>
        <w:rPr>
          <w:rFonts w:ascii="Calibri" w:hAnsi="Calibri"/>
        </w:rPr>
        <w:t xml:space="preserve">A child with good wellbeing generally:</w:t>
      </w:r>
    </w:p>
    <w:p>
      <w:pPr>
        <w:pStyle w:val="Heading2"/>
      </w:pPr>
      <w:r>
        <w:rPr>
          <w:rFonts w:ascii="Calibri" w:hAnsi="Calibri"/>
        </w:rPr>
        <w:t>What good wellbeing looks like</w:t>
      </w:r>
    </w:p>
    <w:p>
      <w:pPr/>
      <w:r>
        <w:rPr>
          <w:rFonts w:ascii="Calibri" w:hAnsi="Calibri"/>
        </w:rPr>
        <w:t xml:space="preserve"/>
      </w:r>
    </w:p>
    <w:p>
      <w:pPr/>
      <w:r>
        <w:rPr>
          <w:rFonts w:ascii="Calibri" w:hAnsi="Calibri"/>
        </w:rPr>
        <w:t xml:space="preserve">Greencoat Nursery CIC is required by the Early Years Foundation Stage (EYFS) statutory framework to promote the good health and wellbeing of all children in our care and to support their personal, social and emotional development.</w:t>
      </w:r>
    </w:p>
    <w:p>
      <w:pPr/>
      <w:r>
        <w:rPr>
          <w:rFonts w:ascii="Calibri" w:hAnsi="Calibri"/>
        </w:rPr>
        <w:t xml:space="preserve"/>
      </w:r>
    </w:p>
    <w:p>
      <w:pPr/>
      <w:r>
        <w:rPr>
          <w:rFonts w:ascii="Calibri" w:hAnsi="Calibri"/>
        </w:rPr>
        <w:t xml:space="preserve">At Greencoat Nursery CIC we believe that a child's wellbeing is the foundation for everything else — their ability to learn, to form relationships, to feel safe, and to develop. This policy explains what wellbeing means in practice, how staff recognise when a child's wellbeing is suffering, and what to do about it.</w:t>
      </w:r>
    </w:p>
    <w:p>
      <w:pPr/>
      <w:r>
        <w:rPr>
          <w:rFonts w:ascii="Calibri" w:hAnsi="Calibri"/>
        </w:rPr>
        <w:t xml:space="preserve"/>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E0F6B" w:rsidRPr="008D331B" w14:paraId="6413DD8B" w14:textId="77777777" w:rsidTr="007D03DF">
        <w:trPr>
          <w:jc w:val="center"/>
        </w:trPr>
        <w:tc>
          <w:tcPr>
            <w:tcW w:w="2943" w:type="dxa"/>
            <w:tcBorders>
              <w:top w:val="single" w:sz="4" w:space="0" w:color="000000"/>
            </w:tcBorders>
            <w:vAlign w:val="center"/>
          </w:tcPr>
          <w:p w14:paraId="1E2818F9" w14:textId="77777777" w:rsidR="00EE0F6B" w:rsidRPr="008D331B" w:rsidRDefault="00EE0F6B" w:rsidP="00EE0F6B">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352DD81" w14:textId="77777777" w:rsidR="00EE0F6B" w:rsidRPr="008D331B" w:rsidRDefault="00EE0F6B" w:rsidP="00EE0F6B">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D08578F" w14:textId="77777777" w:rsidR="00EE0F6B" w:rsidRPr="008D331B" w:rsidRDefault="00EE0F6B" w:rsidP="00EE0F6B">
            <w:pPr>
              <w:jc w:val="both"/>
              <w:rPr>
                <w:rFonts w:ascii="Calibri" w:eastAsia="Calibri" w:hAnsi="Calibri" w:cs="Calibri"/>
                <w:sz w:val="22"/>
                <w:szCs w:val="22"/>
              </w:rPr>
            </w:pPr>
            <w:r>
              <w:rPr>
                <w:rFonts w:ascii="Calibri" w:eastAsia="Arial" w:hAnsi="Calibri" w:cs="Calibri"/>
                <w:b/>
                <w:sz w:val="20"/>
                <w:szCs w:val="20"/>
              </w:rPr>
              <w:t>Date for review</w:t>
            </w:r>
          </w:p>
        </w:tc>
      </w:tr>
      <w:tr w:rsidR="00EE0F6B" w:rsidRPr="008D331B" w14:paraId="27990609" w14:textId="77777777" w:rsidTr="007D03DF">
        <w:trPr>
          <w:jc w:val="center"/>
        </w:trPr>
        <w:tc>
          <w:tcPr>
            <w:tcW w:w="2943" w:type="dxa"/>
            <w:vAlign w:val="center"/>
          </w:tcPr>
          <w:p w14:paraId="6927111C" w14:textId="77777777" w:rsidR="00EE0F6B" w:rsidRPr="008D331B" w:rsidRDefault="00EE0F6B" w:rsidP="00EE0F6B">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AC8436E" w14:textId="77777777" w:rsidR="00EE0F6B" w:rsidRPr="008D331B" w:rsidRDefault="00EE0F6B" w:rsidP="00EE0F6B">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FCF87CA" w14:textId="77777777" w:rsidR="00EE0F6B" w:rsidRPr="008D331B" w:rsidRDefault="00EE0F6B" w:rsidP="00EE0F6B">
            <w:pPr>
              <w:jc w:val="both"/>
              <w:rPr>
                <w:rFonts w:ascii="Calibri" w:eastAsia="Calibri" w:hAnsi="Calibri" w:cs="Calibri"/>
                <w:sz w:val="22"/>
                <w:szCs w:val="22"/>
              </w:rPr>
            </w:pPr>
            <w:r>
              <w:rPr>
                <w:rFonts w:ascii="Calibri" w:eastAsia="Arial" w:hAnsi="Calibri" w:cs="Calibri"/>
                <w:i/>
                <w:sz w:val="20"/>
                <w:szCs w:val="20"/>
              </w:rPr>
              <w:t>April 2028</w:t>
            </w:r>
          </w:p>
        </w:tc>
      </w:tr>
    </w:tbl>
    <w:p w14:paraId="34893CD8" w14:textId="77777777" w:rsidR="00EE0F6B" w:rsidRPr="008D331B" w:rsidRDefault="00EE0F6B" w:rsidP="00EE0F6B">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1FD4" w14:textId="77777777" w:rsidR="00CC7593" w:rsidRDefault="00CC7593" w:rsidP="007A3117">
      <w:r>
        <w:separator/>
      </w:r>
    </w:p>
  </w:endnote>
  <w:endnote w:type="continuationSeparator" w:id="0">
    <w:p w14:paraId="0582C286" w14:textId="77777777" w:rsidR="00CC7593" w:rsidRDefault="00CC759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3EA2" w14:textId="77777777" w:rsidR="00CC7593" w:rsidRDefault="00CC7593" w:rsidP="007A3117">
      <w:r>
        <w:separator/>
      </w:r>
    </w:p>
  </w:footnote>
  <w:footnote w:type="continuationSeparator" w:id="0">
    <w:p w14:paraId="1F7D14E7" w14:textId="77777777" w:rsidR="00CC7593" w:rsidRDefault="00CC759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3EC"/>
    <w:multiLevelType w:val="hybridMultilevel"/>
    <w:tmpl w:val="437E9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A909C9"/>
    <w:multiLevelType w:val="hybridMultilevel"/>
    <w:tmpl w:val="34A63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00266B"/>
    <w:multiLevelType w:val="hybridMultilevel"/>
    <w:tmpl w:val="39D07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BC7617"/>
    <w:multiLevelType w:val="hybridMultilevel"/>
    <w:tmpl w:val="224AB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1"/>
  </w:num>
  <w:num w:numId="4" w16cid:durableId="627320785">
    <w:abstractNumId w:val="12"/>
  </w:num>
  <w:num w:numId="5" w16cid:durableId="1238898450">
    <w:abstractNumId w:val="10"/>
  </w:num>
  <w:num w:numId="6" w16cid:durableId="1130050178">
    <w:abstractNumId w:val="3"/>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8"/>
  </w:num>
  <w:num w:numId="12" w16cid:durableId="196092617">
    <w:abstractNumId w:val="4"/>
  </w:num>
  <w:num w:numId="13" w16cid:durableId="1732920374">
    <w:abstractNumId w:val="2"/>
  </w:num>
  <w:num w:numId="14" w16cid:durableId="1334986755">
    <w:abstractNumId w:val="0"/>
  </w:num>
  <w:num w:numId="15" w16cid:durableId="23628189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BF13E6"/>
    <w:rsid w:val="00C128FC"/>
    <w:rsid w:val="00C21D30"/>
    <w:rsid w:val="00C821B8"/>
    <w:rsid w:val="00CC7593"/>
    <w:rsid w:val="00CF1B0F"/>
    <w:rsid w:val="00DB04B4"/>
    <w:rsid w:val="00E20AD2"/>
    <w:rsid w:val="00E52AD1"/>
    <w:rsid w:val="00E57C5A"/>
    <w:rsid w:val="00E914F8"/>
    <w:rsid w:val="00EE0F6B"/>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D1527-7E6A-4090-A0F1-83997DFA7FB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2885</Characters>
  <Application>Microsoft Office Word</Application>
  <DocSecurity>0</DocSecurity>
  <Lines>72</Lines>
  <Paragraphs>33</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2026-01-29T12:03:00Z</dcterms:created>
  <dcterms:modified xsi:type="dcterms:W3CDTF">2026-01-29T12:04:00Z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