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80"/>
      </w:pPr>
      <w:r>
        <w:rPr>
          <w:rFonts w:ascii="Arial" w:cs="Arial" w:eastAsia="Arial" w:hAnsi="Arial"/>
          <w:color w:val="888888"/>
          <w:sz w:val="22"/>
          <w:szCs w:val="22"/>
        </w:rPr>
        <w:t xml:space="preserve">Greencoat Nursery CIC</w:t>
      </w:r>
    </w:p>
    <w:p>
      <w:pPr>
        <w:spacing w:before="0" w:after="40"/>
      </w:pPr>
      <w:r>
        <w:rPr>
          <w:rFonts w:ascii="Arial" w:cs="Arial" w:eastAsia="Arial" w:hAnsi="Arial"/>
          <w:b/>
          <w:bCs/>
          <w:color w:val="1B6B5A"/>
          <w:sz w:val="52"/>
          <w:szCs w:val="52"/>
        </w:rPr>
        <w:t xml:space="preserve">GDPR Privacy Notice</w:t>
      </w:r>
    </w:p>
    <w:p>
      <w:pPr>
        <w:spacing w:before="60" w:after="80"/>
      </w:pPr>
      <w:r>
        <w:rPr>
          <w:rFonts w:ascii="Arial" w:cs="Arial" w:eastAsia="Arial" w:hAnsi="Arial"/>
          <w:sz w:val="22"/>
          <w:szCs w:val="22"/>
        </w:rPr>
        <w:t xml:space="preserve">How we collect, use and protect personal information about employees, children and parents</w:t>
      </w:r>
    </w:p>
    <w:p>
      <w:pPr>
        <w:spacing w:before="8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6B5A" w:sz="4"/>
              <w:left w:val="single" w:color="1B6B5A" w:sz="4"/>
              <w:bottom w:val="single" w:color="1B6B5A" w:sz="4"/>
              <w:right w:val="single" w:color="1B6B5A" w:sz="4"/>
            </w:tcBorders>
            <w:shd w:fill="E8F4F0" w:val="clear"/>
            <w:tcMar>
              <w:top w:type="dxa" w:w="120"/>
              <w:left w:type="dxa" w:w="180"/>
              <w:bottom w:type="dxa" w:w="120"/>
              <w:right w:type="dxa" w:w="180"/>
            </w:tcMar>
          </w:tcPr>
          <w:p>
            <w:pPr>
              <w:spacing w:before="40" w:after="60"/>
            </w:pPr>
            <w:r>
              <w:rPr>
                <w:rFonts w:ascii="Arial" w:cs="Arial" w:eastAsia="Arial" w:hAnsi="Arial"/>
                <w:sz w:val="22"/>
                <w:szCs w:val="22"/>
              </w:rPr>
              <w:t xml:space="preserve">This notice applies to employees, children and parents of Greencoat Nursery CIC.</w:t>
            </w:r>
          </w:p>
          <w:p>
            <w:pPr>
              <w:spacing w:before="40" w:after="60"/>
            </w:pPr>
            <w:r>
              <w:rPr>
                <w:rFonts w:ascii="Arial" w:cs="Arial" w:eastAsia="Arial" w:hAnsi="Arial"/>
                <w:sz w:val="22"/>
                <w:szCs w:val="22"/>
              </w:rPr>
              <w:t xml:space="preserve">It does not form part of any contract of employment or other contract to provide services.</w:t>
            </w:r>
          </w:p>
          <w:p>
            <w:pPr>
              <w:spacing w:before="40" w:after="60"/>
            </w:pPr>
            <w:r>
              <w:rPr>
                <w:rFonts w:ascii="Arial" w:cs="Arial" w:eastAsia="Arial" w:hAnsi="Arial"/>
                <w:sz w:val="22"/>
                <w:szCs w:val="22"/>
              </w:rPr>
              <w:t xml:space="preserve">We may update this notice at any time. We will tell you when we do.</w:t>
            </w:r>
          </w:p>
        </w:tc>
      </w:tr>
    </w:tbl>
    <w:p>
      <w:pPr>
        <w:spacing w:before="80" w:after="0"/>
      </w:pPr>
      <w:r>
        <w:t xml:space="preserve"/>
      </w:r>
    </w:p>
    <w:p>
      <w:pPr>
        <w:pStyle w:val="Heading1"/>
        <w:spacing w:before="280" w:after="140"/>
      </w:pPr>
      <w:bookmarkStart w:name="toc" w:id="1"/>
      <w:r>
        <w:rPr>
          <w:rFonts w:ascii="Arial" w:cs="Arial" w:eastAsia="Arial" w:hAnsi="Arial"/>
          <w:color w:val="1B6B5A"/>
        </w:rPr>
        <w:t xml:space="preserve">Contents</w:t>
      </w:r>
      <w:bookmarkEnd w:id="2"/>
    </w:p>
    <w:p>
      <w:pPr>
        <w:tabs>
          <w:tab w:val="right" w:pos="9026"/>
        </w:tabs>
        <w:spacing w:before="60" w:after="60"/>
      </w:pPr>
      <w:hyperlink w:history="1" w:anchor="who">
        <w:r>
          <w:rPr>
            <w:rFonts w:ascii="Arial" w:cs="Arial" w:eastAsia="Arial" w:hAnsi="Arial"/>
            <w:color w:val="1B6B5A"/>
            <w:sz w:val="22"/>
            <w:szCs w:val="22"/>
            <w:u w:val="single"/>
          </w:rPr>
          <w:t xml:space="preserve">1.  Who we are and how to contact us</w:t>
        </w:r>
      </w:hyperlink>
      <w:r>
        <w:rPr>
          <w:rFonts w:ascii="Arial" w:cs="Arial" w:eastAsia="Arial" w:hAnsi="Arial"/>
          <w:color w:val="666666"/>
          <w:sz w:val="22"/>
          <w:szCs w:val="22"/>
        </w:rPr>
        <w:t xml:space="preserve">	2</w:t>
      </w:r>
    </w:p>
    <w:p>
      <w:pPr>
        <w:tabs>
          <w:tab w:val="right" w:pos="9026"/>
        </w:tabs>
        <w:spacing w:before="60" w:after="60"/>
      </w:pPr>
      <w:hyperlink w:history="1" w:anchor="emp_data">
        <w:r>
          <w:rPr>
            <w:rFonts w:ascii="Arial" w:cs="Arial" w:eastAsia="Arial" w:hAnsi="Arial"/>
            <w:color w:val="1B6B5A"/>
            <w:sz w:val="22"/>
            <w:szCs w:val="22"/>
            <w:u w:val="single"/>
          </w:rPr>
          <w:t xml:space="preserve">2.  What data we hold — employees</w:t>
        </w:r>
      </w:hyperlink>
      <w:r>
        <w:rPr>
          <w:rFonts w:ascii="Arial" w:cs="Arial" w:eastAsia="Arial" w:hAnsi="Arial"/>
          <w:color w:val="666666"/>
          <w:sz w:val="22"/>
          <w:szCs w:val="22"/>
        </w:rPr>
        <w:t xml:space="preserve">	2</w:t>
      </w:r>
    </w:p>
    <w:p>
      <w:pPr>
        <w:tabs>
          <w:tab w:val="right" w:pos="9026"/>
        </w:tabs>
        <w:spacing w:before="60" w:after="60"/>
      </w:pPr>
      <w:hyperlink w:history="1" w:anchor="child_data">
        <w:r>
          <w:rPr>
            <w:rFonts w:ascii="Arial" w:cs="Arial" w:eastAsia="Arial" w:hAnsi="Arial"/>
            <w:color w:val="1B6B5A"/>
            <w:sz w:val="22"/>
            <w:szCs w:val="22"/>
            <w:u w:val="single"/>
          </w:rPr>
          <w:t xml:space="preserve">3.  What data we hold — children</w:t>
        </w:r>
      </w:hyperlink>
      <w:r>
        <w:rPr>
          <w:rFonts w:ascii="Arial" w:cs="Arial" w:eastAsia="Arial" w:hAnsi="Arial"/>
          <w:color w:val="666666"/>
          <w:sz w:val="22"/>
          <w:szCs w:val="22"/>
        </w:rPr>
        <w:t xml:space="preserve">	2</w:t>
      </w:r>
    </w:p>
    <w:p>
      <w:pPr>
        <w:tabs>
          <w:tab w:val="right" w:pos="9026"/>
        </w:tabs>
        <w:spacing w:before="60" w:after="60"/>
      </w:pPr>
      <w:hyperlink w:history="1" w:anchor="parent_data">
        <w:r>
          <w:rPr>
            <w:rFonts w:ascii="Arial" w:cs="Arial" w:eastAsia="Arial" w:hAnsi="Arial"/>
            <w:color w:val="1B6B5A"/>
            <w:sz w:val="22"/>
            <w:szCs w:val="22"/>
            <w:u w:val="single"/>
          </w:rPr>
          <w:t xml:space="preserve">4.  What data we hold — parents</w:t>
        </w:r>
      </w:hyperlink>
      <w:r>
        <w:rPr>
          <w:rFonts w:ascii="Arial" w:cs="Arial" w:eastAsia="Arial" w:hAnsi="Arial"/>
          <w:color w:val="666666"/>
          <w:sz w:val="22"/>
          <w:szCs w:val="22"/>
        </w:rPr>
        <w:t xml:space="preserve">	3</w:t>
      </w:r>
    </w:p>
    <w:p>
      <w:pPr>
        <w:tabs>
          <w:tab w:val="right" w:pos="9026"/>
        </w:tabs>
        <w:spacing w:before="60" w:after="60"/>
      </w:pPr>
      <w:hyperlink w:history="1" w:anchor="why">
        <w:r>
          <w:rPr>
            <w:rFonts w:ascii="Arial" w:cs="Arial" w:eastAsia="Arial" w:hAnsi="Arial"/>
            <w:color w:val="1B6B5A"/>
            <w:sz w:val="22"/>
            <w:szCs w:val="22"/>
            <w:u w:val="single"/>
          </w:rPr>
          <w:t xml:space="preserve">5.  Why we hold it and how we use it</w:t>
        </w:r>
      </w:hyperlink>
      <w:r>
        <w:rPr>
          <w:rFonts w:ascii="Arial" w:cs="Arial" w:eastAsia="Arial" w:hAnsi="Arial"/>
          <w:color w:val="666666"/>
          <w:sz w:val="22"/>
          <w:szCs w:val="22"/>
        </w:rPr>
        <w:t xml:space="preserve">	3</w:t>
      </w:r>
    </w:p>
    <w:p>
      <w:pPr>
        <w:tabs>
          <w:tab w:val="right" w:pos="9026"/>
        </w:tabs>
        <w:spacing w:before="60" w:after="60"/>
      </w:pPr>
      <w:hyperlink w:history="1" w:anchor="sensitive">
        <w:r>
          <w:rPr>
            <w:rFonts w:ascii="Arial" w:cs="Arial" w:eastAsia="Arial" w:hAnsi="Arial"/>
            <w:color w:val="1B6B5A"/>
            <w:sz w:val="22"/>
            <w:szCs w:val="22"/>
            <w:u w:val="single"/>
          </w:rPr>
          <w:t xml:space="preserve">6.  Sensitive (special category) data</w:t>
        </w:r>
      </w:hyperlink>
      <w:r>
        <w:rPr>
          <w:rFonts w:ascii="Arial" w:cs="Arial" w:eastAsia="Arial" w:hAnsi="Arial"/>
          <w:color w:val="666666"/>
          <w:sz w:val="22"/>
          <w:szCs w:val="22"/>
        </w:rPr>
        <w:t xml:space="preserve">	4</w:t>
      </w:r>
    </w:p>
    <w:p>
      <w:pPr>
        <w:tabs>
          <w:tab w:val="right" w:pos="9026"/>
        </w:tabs>
        <w:spacing w:before="60" w:after="60"/>
      </w:pPr>
      <w:hyperlink w:history="1" w:anchor="sharing">
        <w:r>
          <w:rPr>
            <w:rFonts w:ascii="Arial" w:cs="Arial" w:eastAsia="Arial" w:hAnsi="Arial"/>
            <w:color w:val="1B6B5A"/>
            <w:sz w:val="22"/>
            <w:szCs w:val="22"/>
            <w:u w:val="single"/>
          </w:rPr>
          <w:t xml:space="preserve">7.  Who we share data with</w:t>
        </w:r>
      </w:hyperlink>
      <w:r>
        <w:rPr>
          <w:rFonts w:ascii="Arial" w:cs="Arial" w:eastAsia="Arial" w:hAnsi="Arial"/>
          <w:color w:val="666666"/>
          <w:sz w:val="22"/>
          <w:szCs w:val="22"/>
        </w:rPr>
        <w:t xml:space="preserve">	4</w:t>
      </w:r>
    </w:p>
    <w:p>
      <w:pPr>
        <w:tabs>
          <w:tab w:val="right" w:pos="9026"/>
        </w:tabs>
        <w:spacing w:before="60" w:after="60"/>
      </w:pPr>
      <w:hyperlink w:history="1" w:anchor="retention">
        <w:r>
          <w:rPr>
            <w:rFonts w:ascii="Arial" w:cs="Arial" w:eastAsia="Arial" w:hAnsi="Arial"/>
            <w:color w:val="1B6B5A"/>
            <w:sz w:val="22"/>
            <w:szCs w:val="22"/>
            <w:u w:val="single"/>
          </w:rPr>
          <w:t xml:space="preserve">8.  How long we keep data</w:t>
        </w:r>
      </w:hyperlink>
      <w:r>
        <w:rPr>
          <w:rFonts w:ascii="Arial" w:cs="Arial" w:eastAsia="Arial" w:hAnsi="Arial"/>
          <w:color w:val="666666"/>
          <w:sz w:val="22"/>
          <w:szCs w:val="22"/>
        </w:rPr>
        <w:t xml:space="preserve">	4</w:t>
      </w:r>
    </w:p>
    <w:p>
      <w:pPr>
        <w:tabs>
          <w:tab w:val="right" w:pos="9026"/>
        </w:tabs>
        <w:spacing w:before="60" w:after="60"/>
      </w:pPr>
      <w:hyperlink w:history="1" w:anchor="rights">
        <w:r>
          <w:rPr>
            <w:rFonts w:ascii="Arial" w:cs="Arial" w:eastAsia="Arial" w:hAnsi="Arial"/>
            <w:color w:val="1B6B5A"/>
            <w:sz w:val="22"/>
            <w:szCs w:val="22"/>
            <w:u w:val="single"/>
          </w:rPr>
          <w:t xml:space="preserve">9.  Your rights</w:t>
        </w:r>
      </w:hyperlink>
      <w:r>
        <w:rPr>
          <w:rFonts w:ascii="Arial" w:cs="Arial" w:eastAsia="Arial" w:hAnsi="Arial"/>
          <w:color w:val="666666"/>
          <w:sz w:val="22"/>
          <w:szCs w:val="22"/>
        </w:rPr>
        <w:t xml:space="preserve">	5</w:t>
      </w:r>
    </w:p>
    <w:p>
      <w:pPr>
        <w:tabs>
          <w:tab w:val="right" w:pos="9026"/>
        </w:tabs>
        <w:spacing w:before="60" w:after="60"/>
      </w:pPr>
      <w:hyperlink w:history="1" w:anchor="security">
        <w:r>
          <w:rPr>
            <w:rFonts w:ascii="Arial" w:cs="Arial" w:eastAsia="Arial" w:hAnsi="Arial"/>
            <w:color w:val="1B6B5A"/>
            <w:sz w:val="22"/>
            <w:szCs w:val="22"/>
            <w:u w:val="single"/>
          </w:rPr>
          <w:t xml:space="preserve">10. Keeping data secure</w:t>
        </w:r>
      </w:hyperlink>
      <w:r>
        <w:rPr>
          <w:rFonts w:ascii="Arial" w:cs="Arial" w:eastAsia="Arial" w:hAnsi="Arial"/>
          <w:color w:val="666666"/>
          <w:sz w:val="22"/>
          <w:szCs w:val="22"/>
        </w:rPr>
        <w:t xml:space="preserve">	5</w:t>
      </w:r>
    </w:p>
    <w:p>
      <w:pPr>
        <w:spacing w:before="80" w:after="0"/>
      </w:pPr>
      <w:r>
        <w:t xml:space="preserve"/>
      </w:r>
    </w:p>
    <w:p>
      <w:r>
        <w:br w:type="page"/>
      </w:r>
    </w:p>
    <w:p>
      <w:pPr>
        <w:pStyle w:val="Heading1"/>
        <w:spacing w:before="280" w:after="140"/>
      </w:pPr>
      <w:bookmarkStart w:name="who" w:id="3"/>
      <w:r>
        <w:rPr>
          <w:rFonts w:ascii="Arial" w:cs="Arial" w:eastAsia="Arial" w:hAnsi="Arial"/>
          <w:color w:val="1B6B5A"/>
        </w:rPr>
        <w:t xml:space="preserve">1. Who we are and how to contact us</w:t>
      </w:r>
      <w:bookmarkEnd w:id="4"/>
    </w:p>
    <w:p>
      <w:pPr>
        <w:spacing w:before="60" w:after="80"/>
      </w:pPr>
      <w:r>
        <w:rPr>
          <w:rFonts w:ascii="Arial" w:cs="Arial" w:eastAsia="Arial" w:hAnsi="Arial"/>
          <w:sz w:val="22"/>
          <w:szCs w:val="22"/>
        </w:rPr>
        <w:t xml:space="preserve">Greencoat Nursery CIC is the data controller for the personal information we hold. This means we decide how and why your information is used, and we are responsible for keeping it secure.</w:t>
      </w:r>
    </w:p>
    <w:p>
      <w:pPr>
        <w:spacing w:before="60" w:after="80"/>
      </w:pPr>
      <w:r>
        <w:rPr>
          <w:rFonts w:ascii="Arial" w:cs="Arial" w:eastAsia="Arial" w:hAnsi="Arial"/>
          <w:sz w:val="22"/>
          <w:szCs w:val="22"/>
        </w:rPr>
        <w:t xml:space="preserve">If you have any questions about this notice, or want to exercise any of your rights, contact:</w:t>
      </w:r>
    </w:p>
    <w:p>
      <w:pPr>
        <w:spacing w:before="8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Contact</w:t>
            </w:r>
          </w:p>
        </w:tc>
        <w:tc>
          <w:tcPr>
            <w:tcW w:type="dxa" w:w="6026"/>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Data controller</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Greencoat Nursery CIC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Responsible person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Taz Khan, Director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Email / phone</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Contact your site manager in the first instance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ICO registration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Available on request</w:t>
            </w:r>
          </w:p>
        </w:tc>
      </w:tr>
    </w:tbl>
    <w:p>
      <w:pPr>
        <w:spacing w:before="80" w:after="0"/>
      </w:pPr>
      <w:r>
        <w:t xml:space="preserve"/>
      </w:r>
    </w:p>
    <w:p>
      <w:pPr>
        <w:spacing w:before="60" w:after="80"/>
      </w:pPr>
      <w:r>
        <w:rPr>
          <w:rFonts w:ascii="Arial" w:cs="Arial" w:eastAsia="Arial" w:hAnsi="Arial"/>
          <w:sz w:val="22"/>
          <w:szCs w:val="22"/>
        </w:rPr>
        <w:t xml:space="preserve">You also have the right to complain to the Information Commissioner's Office (ICO) at ico.org.uk or 0303 123 1113 if you believe your data has been handled unlawfully.</w:t>
      </w:r>
    </w:p>
    <w:p>
      <w:pPr>
        <w:pStyle w:val="Heading1"/>
        <w:spacing w:before="280" w:after="140"/>
      </w:pPr>
      <w:bookmarkStart w:name="emp_data" w:id="5"/>
      <w:r>
        <w:rPr>
          <w:rFonts w:ascii="Arial" w:cs="Arial" w:eastAsia="Arial" w:hAnsi="Arial"/>
          <w:color w:val="1B6B5A"/>
        </w:rPr>
        <w:t xml:space="preserve">2. What data we hold — employees</w:t>
      </w:r>
      <w:bookmarkEnd w:id="6"/>
    </w:p>
    <w:p>
      <w:pPr>
        <w:spacing w:before="60" w:after="80"/>
      </w:pPr>
      <w:r>
        <w:rPr>
          <w:rFonts w:ascii="Arial" w:cs="Arial" w:eastAsia="Arial" w:hAnsi="Arial"/>
          <w:sz w:val="22"/>
          <w:szCs w:val="22"/>
        </w:rPr>
        <w:t xml:space="preserve">We collect and hold the following information about employees:</w:t>
      </w:r>
    </w:p>
    <w:p>
      <w:pPr>
        <w:pStyle w:val="Heading2"/>
        <w:spacing w:before="200" w:after="100"/>
      </w:pPr>
      <w:r>
        <w:rPr>
          <w:rFonts w:ascii="Arial" w:cs="Arial" w:eastAsia="Arial" w:hAnsi="Arial"/>
          <w:b/>
          <w:bCs/>
          <w:sz w:val="24"/>
          <w:szCs w:val="24"/>
        </w:rPr>
        <w:t xml:space="preserve">Personal information</w:t>
      </w:r>
    </w:p>
    <w:p>
      <w:pPr>
        <w:pStyle w:val="ListParagraph"/>
        <w:numPr>
          <w:ilvl w:val="0"/>
          <w:numId w:val="2"/>
        </w:numPr>
        <w:spacing w:before="40" w:after="60"/>
      </w:pPr>
      <w:r>
        <w:rPr>
          <w:rFonts w:ascii="Arial" w:cs="Arial" w:eastAsia="Arial" w:hAnsi="Arial"/>
          <w:sz w:val="22"/>
          <w:szCs w:val="22"/>
        </w:rPr>
        <w:t xml:space="preserve">Name, address, telephone number, personal email</w:t>
      </w:r>
    </w:p>
    <w:p>
      <w:pPr>
        <w:pStyle w:val="ListParagraph"/>
        <w:numPr>
          <w:ilvl w:val="0"/>
          <w:numId w:val="2"/>
        </w:numPr>
        <w:spacing w:before="40" w:after="60"/>
      </w:pPr>
      <w:r>
        <w:rPr>
          <w:rFonts w:ascii="Arial" w:cs="Arial" w:eastAsia="Arial" w:hAnsi="Arial"/>
          <w:sz w:val="22"/>
          <w:szCs w:val="22"/>
        </w:rPr>
        <w:t xml:space="preserve">Date of birth, gender, marital status and dependants</w:t>
      </w:r>
    </w:p>
    <w:p>
      <w:pPr>
        <w:pStyle w:val="ListParagraph"/>
        <w:numPr>
          <w:ilvl w:val="0"/>
          <w:numId w:val="2"/>
        </w:numPr>
        <w:spacing w:before="40" w:after="60"/>
      </w:pPr>
      <w:r>
        <w:rPr>
          <w:rFonts w:ascii="Arial" w:cs="Arial" w:eastAsia="Arial" w:hAnsi="Arial"/>
          <w:sz w:val="22"/>
          <w:szCs w:val="22"/>
        </w:rPr>
        <w:t xml:space="preserve">National Insurance number, bank details, payroll and tax records</w:t>
      </w:r>
    </w:p>
    <w:p>
      <w:pPr>
        <w:pStyle w:val="ListParagraph"/>
        <w:numPr>
          <w:ilvl w:val="0"/>
          <w:numId w:val="2"/>
        </w:numPr>
        <w:spacing w:before="40" w:after="60"/>
      </w:pPr>
      <w:r>
        <w:rPr>
          <w:rFonts w:ascii="Arial" w:cs="Arial" w:eastAsia="Arial" w:hAnsi="Arial"/>
          <w:sz w:val="22"/>
          <w:szCs w:val="22"/>
        </w:rPr>
        <w:t xml:space="preserve">Next of kin and emergency contact details</w:t>
      </w:r>
    </w:p>
    <w:p>
      <w:pPr>
        <w:pStyle w:val="ListParagraph"/>
        <w:numPr>
          <w:ilvl w:val="0"/>
          <w:numId w:val="2"/>
        </w:numPr>
        <w:spacing w:before="40" w:after="60"/>
      </w:pPr>
      <w:r>
        <w:rPr>
          <w:rFonts w:ascii="Arial" w:cs="Arial" w:eastAsia="Arial" w:hAnsi="Arial"/>
          <w:sz w:val="22"/>
          <w:szCs w:val="22"/>
        </w:rPr>
        <w:t xml:space="preserve">Driving licence (where relevant to the role)</w:t>
      </w:r>
    </w:p>
    <w:p>
      <w:pPr>
        <w:pStyle w:val="ListParagraph"/>
        <w:numPr>
          <w:ilvl w:val="0"/>
          <w:numId w:val="2"/>
        </w:numPr>
        <w:spacing w:before="40" w:after="60"/>
      </w:pPr>
      <w:r>
        <w:rPr>
          <w:rFonts w:ascii="Arial" w:cs="Arial" w:eastAsia="Arial" w:hAnsi="Arial"/>
          <w:sz w:val="22"/>
          <w:szCs w:val="22"/>
        </w:rPr>
        <w:t xml:space="preserve">Right-to-work documentation and references</w:t>
      </w:r>
    </w:p>
    <w:p>
      <w:pPr>
        <w:pStyle w:val="ListParagraph"/>
        <w:numPr>
          <w:ilvl w:val="0"/>
          <w:numId w:val="2"/>
        </w:numPr>
        <w:spacing w:before="40" w:after="60"/>
      </w:pPr>
      <w:r>
        <w:rPr>
          <w:rFonts w:ascii="Arial" w:cs="Arial" w:eastAsia="Arial" w:hAnsi="Arial"/>
          <w:sz w:val="22"/>
          <w:szCs w:val="22"/>
        </w:rPr>
        <w:t xml:space="preserve">Employment history, job title, working hours, holiday and training records</w:t>
      </w:r>
    </w:p>
    <w:p>
      <w:pPr>
        <w:pStyle w:val="ListParagraph"/>
        <w:numPr>
          <w:ilvl w:val="0"/>
          <w:numId w:val="2"/>
        </w:numPr>
        <w:spacing w:before="40" w:after="60"/>
      </w:pPr>
      <w:r>
        <w:rPr>
          <w:rFonts w:ascii="Arial" w:cs="Arial" w:eastAsia="Arial" w:hAnsi="Arial"/>
          <w:sz w:val="22"/>
          <w:szCs w:val="22"/>
        </w:rPr>
        <w:t xml:space="preserve">Performance, disciplinary and grievance records</w:t>
      </w:r>
    </w:p>
    <w:p>
      <w:pPr>
        <w:pStyle w:val="ListParagraph"/>
        <w:numPr>
          <w:ilvl w:val="0"/>
          <w:numId w:val="2"/>
        </w:numPr>
        <w:spacing w:before="40" w:after="60"/>
      </w:pPr>
      <w:r>
        <w:rPr>
          <w:rFonts w:ascii="Arial" w:cs="Arial" w:eastAsia="Arial" w:hAnsi="Arial"/>
          <w:sz w:val="22"/>
          <w:szCs w:val="22"/>
        </w:rPr>
        <w:t xml:space="preserve">Records of any reportable accidents, injuries or dangerous occurrences</w:t>
      </w:r>
    </w:p>
    <w:p>
      <w:pPr>
        <w:pStyle w:val="ListParagraph"/>
        <w:numPr>
          <w:ilvl w:val="0"/>
          <w:numId w:val="2"/>
        </w:numPr>
        <w:spacing w:before="40" w:after="60"/>
      </w:pPr>
      <w:r>
        <w:rPr>
          <w:rFonts w:ascii="Arial" w:cs="Arial" w:eastAsia="Arial" w:hAnsi="Arial"/>
          <w:sz w:val="22"/>
          <w:szCs w:val="22"/>
        </w:rPr>
        <w:t xml:space="preserve">IT and communications system usage records</w:t>
      </w:r>
    </w:p>
    <w:p>
      <w:pPr>
        <w:pStyle w:val="Heading2"/>
        <w:spacing w:before="200" w:after="100"/>
      </w:pPr>
      <w:r>
        <w:rPr>
          <w:rFonts w:ascii="Arial" w:cs="Arial" w:eastAsia="Arial" w:hAnsi="Arial"/>
          <w:b/>
          <w:bCs/>
          <w:sz w:val="24"/>
          <w:szCs w:val="24"/>
        </w:rPr>
        <w:t xml:space="preserve">Sensitive (special category) data</w:t>
      </w:r>
    </w:p>
    <w:p>
      <w:pPr>
        <w:pStyle w:val="ListParagraph"/>
        <w:numPr>
          <w:ilvl w:val="0"/>
          <w:numId w:val="2"/>
        </w:numPr>
        <w:spacing w:before="40" w:after="60"/>
      </w:pPr>
      <w:r>
        <w:rPr>
          <w:rFonts w:ascii="Arial" w:cs="Arial" w:eastAsia="Arial" w:hAnsi="Arial"/>
          <w:sz w:val="22"/>
          <w:szCs w:val="22"/>
        </w:rPr>
        <w:t xml:space="preserve">Race or ethnicity</w:t>
      </w:r>
    </w:p>
    <w:p>
      <w:pPr>
        <w:pStyle w:val="ListParagraph"/>
        <w:numPr>
          <w:ilvl w:val="0"/>
          <w:numId w:val="2"/>
        </w:numPr>
        <w:spacing w:before="40" w:after="60"/>
      </w:pPr>
      <w:r>
        <w:rPr>
          <w:rFonts w:ascii="Arial" w:cs="Arial" w:eastAsia="Arial" w:hAnsi="Arial"/>
          <w:sz w:val="22"/>
          <w:szCs w:val="22"/>
        </w:rPr>
        <w:t xml:space="preserve">Health information, medical conditions, sickness and accident records</w:t>
      </w:r>
    </w:p>
    <w:p>
      <w:pPr>
        <w:pStyle w:val="ListParagraph"/>
        <w:numPr>
          <w:ilvl w:val="0"/>
          <w:numId w:val="2"/>
        </w:numPr>
        <w:spacing w:before="40" w:after="60"/>
      </w:pPr>
      <w:r>
        <w:rPr>
          <w:rFonts w:ascii="Arial" w:cs="Arial" w:eastAsia="Arial" w:hAnsi="Arial"/>
          <w:sz w:val="22"/>
          <w:szCs w:val="22"/>
        </w:rPr>
        <w:t xml:space="preserve">Information about disability or health-related reasons for leaving</w:t>
      </w:r>
    </w:p>
    <w:p>
      <w:pPr>
        <w:pStyle w:val="ListParagraph"/>
        <w:numPr>
          <w:ilvl w:val="0"/>
          <w:numId w:val="2"/>
        </w:numPr>
        <w:spacing w:before="40" w:after="60"/>
      </w:pPr>
      <w:r>
        <w:rPr>
          <w:rFonts w:ascii="Arial" w:cs="Arial" w:eastAsia="Arial" w:hAnsi="Arial"/>
          <w:sz w:val="22"/>
          <w:szCs w:val="22"/>
        </w:rPr>
        <w:t xml:space="preserve">Details of parental leave taken</w:t>
      </w:r>
    </w:p>
    <w:p>
      <w:pPr>
        <w:pStyle w:val="ListParagraph"/>
        <w:numPr>
          <w:ilvl w:val="0"/>
          <w:numId w:val="2"/>
        </w:numPr>
        <w:spacing w:before="40" w:after="60"/>
      </w:pPr>
      <w:r>
        <w:rPr>
          <w:rFonts w:ascii="Arial" w:cs="Arial" w:eastAsia="Arial" w:hAnsi="Arial"/>
          <w:sz w:val="22"/>
          <w:szCs w:val="22"/>
        </w:rPr>
        <w:t xml:space="preserve">Criminal convictions and DBS check records</w:t>
      </w:r>
    </w:p>
    <w:p>
      <w:pPr>
        <w:pStyle w:val="Heading1"/>
        <w:spacing w:before="280" w:after="140"/>
      </w:pPr>
      <w:bookmarkStart w:name="child_data" w:id="7"/>
      <w:r>
        <w:rPr>
          <w:rFonts w:ascii="Arial" w:cs="Arial" w:eastAsia="Arial" w:hAnsi="Arial"/>
          <w:color w:val="1B6B5A"/>
        </w:rPr>
        <w:t xml:space="preserve">3. What data we hold — children</w:t>
      </w:r>
      <w:bookmarkEnd w:id="8"/>
    </w:p>
    <w:p>
      <w:pPr>
        <w:pStyle w:val="Heading2"/>
        <w:spacing w:before="200" w:after="100"/>
      </w:pPr>
      <w:r>
        <w:rPr>
          <w:rFonts w:ascii="Arial" w:cs="Arial" w:eastAsia="Arial" w:hAnsi="Arial"/>
          <w:b/>
          <w:bCs/>
          <w:sz w:val="24"/>
          <w:szCs w:val="24"/>
        </w:rPr>
        <w:t xml:space="preserve">Personal information</w:t>
      </w:r>
    </w:p>
    <w:p>
      <w:pPr>
        <w:pStyle w:val="ListParagraph"/>
        <w:numPr>
          <w:ilvl w:val="0"/>
          <w:numId w:val="2"/>
        </w:numPr>
        <w:spacing w:before="40" w:after="60"/>
      </w:pPr>
      <w:r>
        <w:rPr>
          <w:rFonts w:ascii="Arial" w:cs="Arial" w:eastAsia="Arial" w:hAnsi="Arial"/>
          <w:sz w:val="22"/>
          <w:szCs w:val="22"/>
        </w:rPr>
        <w:t xml:space="preserve">Name, date of birth, home address</w:t>
      </w:r>
    </w:p>
    <w:p>
      <w:pPr>
        <w:pStyle w:val="ListParagraph"/>
        <w:numPr>
          <w:ilvl w:val="0"/>
          <w:numId w:val="2"/>
        </w:numPr>
        <w:spacing w:before="40" w:after="60"/>
      </w:pPr>
      <w:r>
        <w:rPr>
          <w:rFonts w:ascii="Arial" w:cs="Arial" w:eastAsia="Arial" w:hAnsi="Arial"/>
          <w:sz w:val="22"/>
          <w:szCs w:val="22"/>
        </w:rPr>
        <w:t xml:space="preserve">Dietary requirements and allergy information</w:t>
      </w:r>
    </w:p>
    <w:p>
      <w:pPr>
        <w:pStyle w:val="ListParagraph"/>
        <w:numPr>
          <w:ilvl w:val="0"/>
          <w:numId w:val="2"/>
        </w:numPr>
        <w:spacing w:before="40" w:after="60"/>
      </w:pPr>
      <w:r>
        <w:rPr>
          <w:rFonts w:ascii="Arial" w:cs="Arial" w:eastAsia="Arial" w:hAnsi="Arial"/>
          <w:sz w:val="22"/>
          <w:szCs w:val="22"/>
        </w:rPr>
        <w:t xml:space="preserve">Attendance records</w:t>
      </w:r>
    </w:p>
    <w:p>
      <w:pPr>
        <w:pStyle w:val="ListParagraph"/>
        <w:numPr>
          <w:ilvl w:val="0"/>
          <w:numId w:val="2"/>
        </w:numPr>
        <w:spacing w:before="40" w:after="60"/>
      </w:pPr>
      <w:r>
        <w:rPr>
          <w:rFonts w:ascii="Arial" w:cs="Arial" w:eastAsia="Arial" w:hAnsi="Arial"/>
          <w:sz w:val="22"/>
          <w:szCs w:val="22"/>
        </w:rPr>
        <w:t xml:space="preserve">Photographs used to signpost belongings within the nursery</w:t>
      </w:r>
    </w:p>
    <w:p>
      <w:pPr>
        <w:pStyle w:val="ListParagraph"/>
        <w:numPr>
          <w:ilvl w:val="0"/>
          <w:numId w:val="2"/>
        </w:numPr>
        <w:spacing w:before="40" w:after="60"/>
      </w:pPr>
      <w:r>
        <w:rPr>
          <w:rFonts w:ascii="Arial" w:cs="Arial" w:eastAsia="Arial" w:hAnsi="Arial"/>
          <w:sz w:val="22"/>
          <w:szCs w:val="22"/>
        </w:rPr>
        <w:t xml:space="preserve">Emergency contact details</w:t>
      </w:r>
    </w:p>
    <w:p>
      <w:pPr>
        <w:pStyle w:val="ListParagraph"/>
        <w:numPr>
          <w:ilvl w:val="0"/>
          <w:numId w:val="2"/>
        </w:numPr>
        <w:spacing w:before="40" w:after="60"/>
      </w:pPr>
      <w:r>
        <w:rPr>
          <w:rFonts w:ascii="Arial" w:cs="Arial" w:eastAsia="Arial" w:hAnsi="Arial"/>
          <w:sz w:val="22"/>
          <w:szCs w:val="22"/>
        </w:rPr>
        <w:t xml:space="preserve">Learning journeys, observations and progress records</w:t>
      </w:r>
    </w:p>
    <w:p>
      <w:pPr>
        <w:pStyle w:val="ListParagraph"/>
        <w:numPr>
          <w:ilvl w:val="0"/>
          <w:numId w:val="2"/>
        </w:numPr>
        <w:spacing w:before="40" w:after="60"/>
      </w:pPr>
      <w:r>
        <w:rPr>
          <w:rFonts w:ascii="Arial" w:cs="Arial" w:eastAsia="Arial" w:hAnsi="Arial"/>
          <w:sz w:val="22"/>
          <w:szCs w:val="22"/>
        </w:rPr>
        <w:t xml:space="preserve">Care plans, common assessment frameworks, speech and language referrals</w:t>
      </w:r>
    </w:p>
    <w:p>
      <w:pPr>
        <w:pStyle w:val="ListParagraph"/>
        <w:numPr>
          <w:ilvl w:val="0"/>
          <w:numId w:val="2"/>
        </w:numPr>
        <w:spacing w:before="40" w:after="60"/>
      </w:pPr>
      <w:r>
        <w:rPr>
          <w:rFonts w:ascii="Arial" w:cs="Arial" w:eastAsia="Arial" w:hAnsi="Arial"/>
          <w:sz w:val="22"/>
          <w:szCs w:val="22"/>
        </w:rPr>
        <w:t xml:space="preserve">Accident and pre-existing injury forms</w:t>
      </w:r>
    </w:p>
    <w:p>
      <w:pPr>
        <w:pStyle w:val="ListParagraph"/>
        <w:numPr>
          <w:ilvl w:val="0"/>
          <w:numId w:val="2"/>
        </w:numPr>
        <w:spacing w:before="40" w:after="60"/>
      </w:pPr>
      <w:r>
        <w:rPr>
          <w:rFonts w:ascii="Arial" w:cs="Arial" w:eastAsia="Arial" w:hAnsi="Arial"/>
          <w:sz w:val="22"/>
          <w:szCs w:val="22"/>
        </w:rPr>
        <w:t xml:space="preserve">Records of any reportable death, injury, disease or dangerous occurrence</w:t>
      </w:r>
    </w:p>
    <w:p>
      <w:pPr>
        <w:pStyle w:val="Heading2"/>
        <w:spacing w:before="200" w:after="100"/>
      </w:pPr>
      <w:r>
        <w:rPr>
          <w:rFonts w:ascii="Arial" w:cs="Arial" w:eastAsia="Arial" w:hAnsi="Arial"/>
          <w:b/>
          <w:bCs/>
          <w:sz w:val="24"/>
          <w:szCs w:val="24"/>
        </w:rPr>
        <w:t xml:space="preserve">Sensitive (special category) data</w:t>
      </w:r>
    </w:p>
    <w:p>
      <w:pPr>
        <w:pStyle w:val="ListParagraph"/>
        <w:numPr>
          <w:ilvl w:val="0"/>
          <w:numId w:val="2"/>
        </w:numPr>
        <w:spacing w:before="40" w:after="60"/>
      </w:pPr>
      <w:r>
        <w:rPr>
          <w:rFonts w:ascii="Arial" w:cs="Arial" w:eastAsia="Arial" w:hAnsi="Arial"/>
          <w:sz w:val="22"/>
          <w:szCs w:val="22"/>
        </w:rPr>
        <w:t xml:space="preserve">Race or ethnicity, spoken language, nationality</w:t>
      </w:r>
    </w:p>
    <w:p>
      <w:pPr>
        <w:pStyle w:val="ListParagraph"/>
        <w:numPr>
          <w:ilvl w:val="0"/>
          <w:numId w:val="2"/>
        </w:numPr>
        <w:spacing w:before="40" w:after="60"/>
      </w:pPr>
      <w:r>
        <w:rPr>
          <w:rFonts w:ascii="Arial" w:cs="Arial" w:eastAsia="Arial" w:hAnsi="Arial"/>
          <w:sz w:val="22"/>
          <w:szCs w:val="22"/>
        </w:rPr>
        <w:t xml:space="preserve">Health, medical conditions and sickness records</w:t>
      </w:r>
    </w:p>
    <w:p>
      <w:pPr>
        <w:pStyle w:val="ListParagraph"/>
        <w:numPr>
          <w:ilvl w:val="0"/>
          <w:numId w:val="2"/>
        </w:numPr>
        <w:spacing w:before="40" w:after="60"/>
      </w:pPr>
      <w:r>
        <w:rPr>
          <w:rFonts w:ascii="Arial" w:cs="Arial" w:eastAsia="Arial" w:hAnsi="Arial"/>
          <w:sz w:val="22"/>
          <w:szCs w:val="22"/>
        </w:rPr>
        <w:t xml:space="preserve">Accident and incident reports including pre-existing injuries</w:t>
      </w:r>
    </w:p>
    <w:p>
      <w:pPr>
        <w:pStyle w:val="ListParagraph"/>
        <w:numPr>
          <w:ilvl w:val="0"/>
          <w:numId w:val="2"/>
        </w:numPr>
        <w:spacing w:before="40" w:after="60"/>
      </w:pPr>
      <w:r>
        <w:rPr>
          <w:rFonts w:ascii="Arial" w:cs="Arial" w:eastAsia="Arial" w:hAnsi="Arial"/>
          <w:sz w:val="22"/>
          <w:szCs w:val="22"/>
        </w:rPr>
        <w:t xml:space="preserve">Child protection referral forms and case details</w:t>
      </w:r>
    </w:p>
    <w:p>
      <w:pPr>
        <w:pStyle w:val="Heading1"/>
        <w:spacing w:before="280" w:after="140"/>
      </w:pPr>
      <w:bookmarkStart w:name="parent_data" w:id="9"/>
      <w:r>
        <w:rPr>
          <w:rFonts w:ascii="Arial" w:cs="Arial" w:eastAsia="Arial" w:hAnsi="Arial"/>
          <w:color w:val="1B6B5A"/>
        </w:rPr>
        <w:t xml:space="preserve">4. What data we hold — parents</w:t>
      </w:r>
      <w:bookmarkEnd w:id="10"/>
    </w:p>
    <w:p>
      <w:pPr>
        <w:pStyle w:val="Heading2"/>
        <w:spacing w:before="200" w:after="100"/>
      </w:pPr>
      <w:r>
        <w:rPr>
          <w:rFonts w:ascii="Arial" w:cs="Arial" w:eastAsia="Arial" w:hAnsi="Arial"/>
          <w:b/>
          <w:bCs/>
          <w:sz w:val="24"/>
          <w:szCs w:val="24"/>
        </w:rPr>
        <w:t xml:space="preserve">Personal information</w:t>
      </w:r>
    </w:p>
    <w:p>
      <w:pPr>
        <w:pStyle w:val="ListParagraph"/>
        <w:numPr>
          <w:ilvl w:val="0"/>
          <w:numId w:val="2"/>
        </w:numPr>
        <w:spacing w:before="40" w:after="60"/>
      </w:pPr>
      <w:r>
        <w:rPr>
          <w:rFonts w:ascii="Arial" w:cs="Arial" w:eastAsia="Arial" w:hAnsi="Arial"/>
          <w:sz w:val="22"/>
          <w:szCs w:val="22"/>
        </w:rPr>
        <w:t xml:space="preserve">Name, home address, telephone number, email address</w:t>
      </w:r>
    </w:p>
    <w:p>
      <w:pPr>
        <w:pStyle w:val="ListParagraph"/>
        <w:numPr>
          <w:ilvl w:val="0"/>
          <w:numId w:val="2"/>
        </w:numPr>
        <w:spacing w:before="40" w:after="60"/>
      </w:pPr>
      <w:r>
        <w:rPr>
          <w:rFonts w:ascii="Arial" w:cs="Arial" w:eastAsia="Arial" w:hAnsi="Arial"/>
          <w:sz w:val="22"/>
          <w:szCs w:val="22"/>
        </w:rPr>
        <w:t xml:space="preserve">National Insurance number (for funding purposes)</w:t>
      </w:r>
    </w:p>
    <w:p>
      <w:pPr>
        <w:pStyle w:val="ListParagraph"/>
        <w:numPr>
          <w:ilvl w:val="0"/>
          <w:numId w:val="2"/>
        </w:numPr>
        <w:spacing w:before="40" w:after="60"/>
      </w:pPr>
      <w:r>
        <w:rPr>
          <w:rFonts w:ascii="Arial" w:cs="Arial" w:eastAsia="Arial" w:hAnsi="Arial"/>
          <w:sz w:val="22"/>
          <w:szCs w:val="22"/>
        </w:rPr>
        <w:t xml:space="preserve">Bank account details (where applicable)</w:t>
      </w:r>
    </w:p>
    <w:p>
      <w:pPr>
        <w:pStyle w:val="Heading2"/>
        <w:spacing w:before="200" w:after="100"/>
      </w:pPr>
      <w:r>
        <w:rPr>
          <w:rFonts w:ascii="Arial" w:cs="Arial" w:eastAsia="Arial" w:hAnsi="Arial"/>
          <w:b/>
          <w:bCs/>
          <w:sz w:val="24"/>
          <w:szCs w:val="24"/>
        </w:rPr>
        <w:t xml:space="preserve">Sensitive (special category) data</w:t>
      </w:r>
    </w:p>
    <w:p>
      <w:pPr>
        <w:pStyle w:val="ListParagraph"/>
        <w:numPr>
          <w:ilvl w:val="0"/>
          <w:numId w:val="2"/>
        </w:numPr>
        <w:spacing w:before="40" w:after="60"/>
      </w:pPr>
      <w:r>
        <w:rPr>
          <w:rFonts w:ascii="Arial" w:cs="Arial" w:eastAsia="Arial" w:hAnsi="Arial"/>
          <w:sz w:val="22"/>
          <w:szCs w:val="22"/>
        </w:rPr>
        <w:t xml:space="preserve">Race or ethnicity, spoken language, nationality</w:t>
      </w:r>
    </w:p>
    <w:p>
      <w:pPr>
        <w:pStyle w:val="ListParagraph"/>
        <w:numPr>
          <w:ilvl w:val="0"/>
          <w:numId w:val="2"/>
        </w:numPr>
        <w:spacing w:before="40" w:after="60"/>
      </w:pPr>
      <w:r>
        <w:rPr>
          <w:rFonts w:ascii="Arial" w:cs="Arial" w:eastAsia="Arial" w:hAnsi="Arial"/>
          <w:sz w:val="22"/>
          <w:szCs w:val="22"/>
        </w:rPr>
        <w:t xml:space="preserve">Information relevant to safeguarding or prevent duties where recorded by staff</w:t>
      </w:r>
    </w:p>
    <w:p>
      <w:pPr>
        <w:pStyle w:val="Heading1"/>
        <w:spacing w:before="280" w:after="140"/>
      </w:pPr>
      <w:bookmarkStart w:name="why" w:id="11"/>
      <w:r>
        <w:rPr>
          <w:rFonts w:ascii="Arial" w:cs="Arial" w:eastAsia="Arial" w:hAnsi="Arial"/>
          <w:color w:val="1B6B5A"/>
        </w:rPr>
        <w:t xml:space="preserve">5. Why we hold it and how we use it</w:t>
      </w:r>
      <w:bookmarkEnd w:id="12"/>
    </w:p>
    <w:p>
      <w:pPr>
        <w:spacing w:before="60" w:after="80"/>
      </w:pPr>
      <w:r>
        <w:rPr>
          <w:rFonts w:ascii="Arial" w:cs="Arial" w:eastAsia="Arial" w:hAnsi="Arial"/>
          <w:sz w:val="22"/>
          <w:szCs w:val="22"/>
        </w:rPr>
        <w:t xml:space="preserve">We only use personal information when the law allows. Our lawful bases are:</w:t>
      </w:r>
    </w:p>
    <w:p>
      <w:pPr>
        <w:pStyle w:val="ListParagraph"/>
        <w:numPr>
          <w:ilvl w:val="0"/>
          <w:numId w:val="2"/>
        </w:numPr>
        <w:spacing w:before="40" w:after="60"/>
      </w:pPr>
      <w:r>
        <w:rPr>
          <w:rFonts w:ascii="Arial" w:cs="Arial" w:eastAsia="Arial" w:hAnsi="Arial"/>
          <w:sz w:val="22"/>
          <w:szCs w:val="22"/>
        </w:rPr>
        <w:t xml:space="preserve">Performing our contract with you (as an employee, or providing childcare services)</w:t>
      </w:r>
    </w:p>
    <w:p>
      <w:pPr>
        <w:pStyle w:val="ListParagraph"/>
        <w:numPr>
          <w:ilvl w:val="0"/>
          <w:numId w:val="2"/>
        </w:numPr>
        <w:spacing w:before="40" w:after="60"/>
      </w:pPr>
      <w:r>
        <w:rPr>
          <w:rFonts w:ascii="Arial" w:cs="Arial" w:eastAsia="Arial" w:hAnsi="Arial"/>
          <w:sz w:val="22"/>
          <w:szCs w:val="22"/>
        </w:rPr>
        <w:t xml:space="preserve">Complying with a legal obligation (e.g. HMRC, EYFS statutory requirements, Ofsted)</w:t>
      </w:r>
    </w:p>
    <w:p>
      <w:pPr>
        <w:pStyle w:val="ListParagraph"/>
        <w:numPr>
          <w:ilvl w:val="0"/>
          <w:numId w:val="2"/>
        </w:numPr>
        <w:spacing w:before="40" w:after="60"/>
      </w:pPr>
      <w:r>
        <w:rPr>
          <w:rFonts w:ascii="Arial" w:cs="Arial" w:eastAsia="Arial" w:hAnsi="Arial"/>
          <w:sz w:val="22"/>
          <w:szCs w:val="22"/>
        </w:rPr>
        <w:t xml:space="preserve">Legitimate interests of the nursery or a third party (e.g. safeguarding, security)</w:t>
      </w:r>
    </w:p>
    <w:p>
      <w:pPr>
        <w:pStyle w:val="ListParagraph"/>
        <w:numPr>
          <w:ilvl w:val="0"/>
          <w:numId w:val="2"/>
        </w:numPr>
        <w:spacing w:before="40" w:after="60"/>
      </w:pPr>
      <w:r>
        <w:rPr>
          <w:rFonts w:ascii="Arial" w:cs="Arial" w:eastAsia="Arial" w:hAnsi="Arial"/>
          <w:sz w:val="22"/>
          <w:szCs w:val="22"/>
        </w:rPr>
        <w:t xml:space="preserve">Protecting vital interests (in emergencies)</w:t>
      </w:r>
    </w:p>
    <w:p>
      <w:pPr>
        <w:spacing w:before="80" w:after="0"/>
      </w:pPr>
      <w:r>
        <w:t xml:space="preserve"/>
      </w:r>
    </w:p>
    <w:p>
      <w:pPr>
        <w:pStyle w:val="Heading2"/>
        <w:spacing w:before="200" w:after="100"/>
      </w:pPr>
      <w:r>
        <w:rPr>
          <w:rFonts w:ascii="Arial" w:cs="Arial" w:eastAsia="Arial" w:hAnsi="Arial"/>
          <w:b/>
          <w:bCs/>
          <w:sz w:val="24"/>
          <w:szCs w:val="24"/>
        </w:rPr>
        <w:t xml:space="preserve">We use employee data to:</w:t>
      </w:r>
    </w:p>
    <w:p>
      <w:pPr>
        <w:pStyle w:val="ListParagraph"/>
        <w:numPr>
          <w:ilvl w:val="0"/>
          <w:numId w:val="2"/>
        </w:numPr>
        <w:spacing w:before="40" w:after="60"/>
      </w:pPr>
      <w:r>
        <w:rPr>
          <w:rFonts w:ascii="Arial" w:cs="Arial" w:eastAsia="Arial" w:hAnsi="Arial"/>
          <w:sz w:val="22"/>
          <w:szCs w:val="22"/>
        </w:rPr>
        <w:t xml:space="preserve">Recruit, pay and manage staff</w:t>
      </w:r>
    </w:p>
    <w:p>
      <w:pPr>
        <w:pStyle w:val="ListParagraph"/>
        <w:numPr>
          <w:ilvl w:val="0"/>
          <w:numId w:val="2"/>
        </w:numPr>
        <w:spacing w:before="40" w:after="60"/>
      </w:pPr>
      <w:r>
        <w:rPr>
          <w:rFonts w:ascii="Arial" w:cs="Arial" w:eastAsia="Arial" w:hAnsi="Arial"/>
          <w:sz w:val="22"/>
          <w:szCs w:val="22"/>
        </w:rPr>
        <w:t xml:space="preserve">Administer leave, absence, pensions and benefits</w:t>
      </w:r>
    </w:p>
    <w:p>
      <w:pPr>
        <w:pStyle w:val="ListParagraph"/>
        <w:numPr>
          <w:ilvl w:val="0"/>
          <w:numId w:val="2"/>
        </w:numPr>
        <w:spacing w:before="40" w:after="60"/>
      </w:pPr>
      <w:r>
        <w:rPr>
          <w:rFonts w:ascii="Arial" w:cs="Arial" w:eastAsia="Arial" w:hAnsi="Arial"/>
          <w:sz w:val="22"/>
          <w:szCs w:val="22"/>
        </w:rPr>
        <w:t xml:space="preserve">Conduct performance reviews, disciplinary and grievance processes</w:t>
      </w:r>
    </w:p>
    <w:p>
      <w:pPr>
        <w:pStyle w:val="ListParagraph"/>
        <w:numPr>
          <w:ilvl w:val="0"/>
          <w:numId w:val="2"/>
        </w:numPr>
        <w:spacing w:before="40" w:after="60"/>
      </w:pPr>
      <w:r>
        <w:rPr>
          <w:rFonts w:ascii="Arial" w:cs="Arial" w:eastAsia="Arial" w:hAnsi="Arial"/>
          <w:sz w:val="22"/>
          <w:szCs w:val="22"/>
        </w:rPr>
        <w:t xml:space="preserve">Comply with health and safety and equal opportunities obligations</w:t>
      </w:r>
    </w:p>
    <w:p>
      <w:pPr>
        <w:pStyle w:val="ListParagraph"/>
        <w:numPr>
          <w:ilvl w:val="0"/>
          <w:numId w:val="2"/>
        </w:numPr>
        <w:spacing w:before="40" w:after="60"/>
      </w:pPr>
      <w:r>
        <w:rPr>
          <w:rFonts w:ascii="Arial" w:cs="Arial" w:eastAsia="Arial" w:hAnsi="Arial"/>
          <w:sz w:val="22"/>
          <w:szCs w:val="22"/>
        </w:rPr>
        <w:t xml:space="preserve">Monitor IT system use and prevent fraud</w:t>
      </w:r>
    </w:p>
    <w:p>
      <w:pPr>
        <w:pStyle w:val="Heading2"/>
        <w:spacing w:before="200" w:after="100"/>
      </w:pPr>
      <w:r>
        <w:rPr>
          <w:rFonts w:ascii="Arial" w:cs="Arial" w:eastAsia="Arial" w:hAnsi="Arial"/>
          <w:b/>
          <w:bCs/>
          <w:sz w:val="24"/>
          <w:szCs w:val="24"/>
        </w:rPr>
        <w:t xml:space="preserve">We use children's data to:</w:t>
      </w:r>
    </w:p>
    <w:p>
      <w:pPr>
        <w:pStyle w:val="ListParagraph"/>
        <w:numPr>
          <w:ilvl w:val="0"/>
          <w:numId w:val="2"/>
        </w:numPr>
        <w:spacing w:before="40" w:after="60"/>
      </w:pPr>
      <w:r>
        <w:rPr>
          <w:rFonts w:ascii="Arial" w:cs="Arial" w:eastAsia="Arial" w:hAnsi="Arial"/>
          <w:sz w:val="22"/>
          <w:szCs w:val="22"/>
        </w:rPr>
        <w:t xml:space="preserve">Ensure their care, safety and wellbeing</w:t>
      </w:r>
    </w:p>
    <w:p>
      <w:pPr>
        <w:pStyle w:val="ListParagraph"/>
        <w:numPr>
          <w:ilvl w:val="0"/>
          <w:numId w:val="2"/>
        </w:numPr>
        <w:spacing w:before="40" w:after="60"/>
      </w:pPr>
      <w:r>
        <w:rPr>
          <w:rFonts w:ascii="Arial" w:cs="Arial" w:eastAsia="Arial" w:hAnsi="Arial"/>
          <w:sz w:val="22"/>
          <w:szCs w:val="22"/>
        </w:rPr>
        <w:t xml:space="preserve">Plan and track their learning and development</w:t>
      </w:r>
    </w:p>
    <w:p>
      <w:pPr>
        <w:pStyle w:val="ListParagraph"/>
        <w:numPr>
          <w:ilvl w:val="0"/>
          <w:numId w:val="2"/>
        </w:numPr>
        <w:spacing w:before="40" w:after="60"/>
      </w:pPr>
      <w:r>
        <w:rPr>
          <w:rFonts w:ascii="Arial" w:cs="Arial" w:eastAsia="Arial" w:hAnsi="Arial"/>
          <w:sz w:val="22"/>
          <w:szCs w:val="22"/>
        </w:rPr>
        <w:t xml:space="preserve">Administer funding</w:t>
      </w:r>
    </w:p>
    <w:p>
      <w:pPr>
        <w:pStyle w:val="ListParagraph"/>
        <w:numPr>
          <w:ilvl w:val="0"/>
          <w:numId w:val="2"/>
        </w:numPr>
        <w:spacing w:before="40" w:after="60"/>
      </w:pPr>
      <w:r>
        <w:rPr>
          <w:rFonts w:ascii="Arial" w:cs="Arial" w:eastAsia="Arial" w:hAnsi="Arial"/>
          <w:sz w:val="22"/>
          <w:szCs w:val="22"/>
        </w:rPr>
        <w:t xml:space="preserve">Share progress with schools for transition</w:t>
      </w:r>
    </w:p>
    <w:p>
      <w:pPr>
        <w:pStyle w:val="ListParagraph"/>
        <w:numPr>
          <w:ilvl w:val="0"/>
          <w:numId w:val="2"/>
        </w:numPr>
        <w:spacing w:before="40" w:after="60"/>
      </w:pPr>
      <w:r>
        <w:rPr>
          <w:rFonts w:ascii="Arial" w:cs="Arial" w:eastAsia="Arial" w:hAnsi="Arial"/>
          <w:sz w:val="22"/>
          <w:szCs w:val="22"/>
        </w:rPr>
        <w:t xml:space="preserve">Share with local authorities, Ofsted or children's social care where required</w:t>
      </w:r>
    </w:p>
    <w:p>
      <w:pPr>
        <w:pStyle w:val="Heading2"/>
        <w:spacing w:before="200" w:after="100"/>
      </w:pPr>
      <w:r>
        <w:rPr>
          <w:rFonts w:ascii="Arial" w:cs="Arial" w:eastAsia="Arial" w:hAnsi="Arial"/>
          <w:b/>
          <w:bCs/>
          <w:sz w:val="24"/>
          <w:szCs w:val="24"/>
        </w:rPr>
        <w:t xml:space="preserve">We use parents' data to:</w:t>
      </w:r>
    </w:p>
    <w:p>
      <w:pPr>
        <w:pStyle w:val="ListParagraph"/>
        <w:numPr>
          <w:ilvl w:val="0"/>
          <w:numId w:val="2"/>
        </w:numPr>
        <w:spacing w:before="40" w:after="60"/>
      </w:pPr>
      <w:r>
        <w:rPr>
          <w:rFonts w:ascii="Arial" w:cs="Arial" w:eastAsia="Arial" w:hAnsi="Arial"/>
          <w:sz w:val="22"/>
          <w:szCs w:val="22"/>
        </w:rPr>
        <w:t xml:space="preserve">Contact parents and emergency contacts</w:t>
      </w:r>
    </w:p>
    <w:p>
      <w:pPr>
        <w:pStyle w:val="ListParagraph"/>
        <w:numPr>
          <w:ilvl w:val="0"/>
          <w:numId w:val="2"/>
        </w:numPr>
        <w:spacing w:before="40" w:after="60"/>
      </w:pPr>
      <w:r>
        <w:rPr>
          <w:rFonts w:ascii="Arial" w:cs="Arial" w:eastAsia="Arial" w:hAnsi="Arial"/>
          <w:sz w:val="22"/>
          <w:szCs w:val="22"/>
        </w:rPr>
        <w:t xml:space="preserve">Process nursery fees and funding claims</w:t>
      </w:r>
    </w:p>
    <w:p>
      <w:pPr>
        <w:pStyle w:val="ListParagraph"/>
        <w:numPr>
          <w:ilvl w:val="0"/>
          <w:numId w:val="2"/>
        </w:numPr>
        <w:spacing w:before="40" w:after="60"/>
      </w:pPr>
      <w:r>
        <w:rPr>
          <w:rFonts w:ascii="Arial" w:cs="Arial" w:eastAsia="Arial" w:hAnsi="Arial"/>
          <w:sz w:val="22"/>
          <w:szCs w:val="22"/>
        </w:rPr>
        <w:t xml:space="preserve">Monitor attendance</w:t>
      </w:r>
    </w:p>
    <w:p>
      <w:pPr>
        <w:spacing w:before="60" w:after="80"/>
      </w:pPr>
      <w:r>
        <w:rPr>
          <w:rFonts w:ascii="Arial" w:cs="Arial" w:eastAsia="Arial" w:hAnsi="Arial"/>
          <w:sz w:val="22"/>
          <w:szCs w:val="22"/>
        </w:rPr>
        <w:t xml:space="preserve">If employees or parents fail to provide required information, we may be unable to fulfil our legal obligations or provide our services.</w:t>
      </w:r>
    </w:p>
    <w:p>
      <w:pPr>
        <w:pStyle w:val="Heading1"/>
        <w:spacing w:before="280" w:after="140"/>
      </w:pPr>
      <w:bookmarkStart w:name="sensitive" w:id="13"/>
      <w:r>
        <w:rPr>
          <w:rFonts w:ascii="Arial" w:cs="Arial" w:eastAsia="Arial" w:hAnsi="Arial"/>
          <w:color w:val="1B6B5A"/>
        </w:rPr>
        <w:t xml:space="preserve">6. Sensitive (special category) data</w:t>
      </w:r>
      <w:bookmarkEnd w:id="14"/>
    </w:p>
    <w:p>
      <w:pPr>
        <w:spacing w:before="60" w:after="80"/>
      </w:pPr>
      <w:r>
        <w:rPr>
          <w:rFonts w:ascii="Arial" w:cs="Arial" w:eastAsia="Arial" w:hAnsi="Arial"/>
          <w:sz w:val="22"/>
          <w:szCs w:val="22"/>
        </w:rPr>
        <w:t xml:space="preserve">Sensitive data is handled only where we have a specific lawful basis. For employees this includes:</w:t>
      </w:r>
    </w:p>
    <w:p>
      <w:pPr>
        <w:pStyle w:val="ListParagraph"/>
        <w:numPr>
          <w:ilvl w:val="0"/>
          <w:numId w:val="2"/>
        </w:numPr>
        <w:spacing w:before="40" w:after="60"/>
      </w:pPr>
      <w:r>
        <w:rPr>
          <w:rFonts w:ascii="Arial" w:cs="Arial" w:eastAsia="Arial" w:hAnsi="Arial"/>
          <w:sz w:val="22"/>
          <w:szCs w:val="22"/>
        </w:rPr>
        <w:t xml:space="preserve">Managing sickness absence and assessing fitness to work</w:t>
      </w:r>
    </w:p>
    <w:p>
      <w:pPr>
        <w:pStyle w:val="ListParagraph"/>
        <w:numPr>
          <w:ilvl w:val="0"/>
          <w:numId w:val="2"/>
        </w:numPr>
        <w:spacing w:before="40" w:after="60"/>
      </w:pPr>
      <w:r>
        <w:rPr>
          <w:rFonts w:ascii="Arial" w:cs="Arial" w:eastAsia="Arial" w:hAnsi="Arial"/>
          <w:sz w:val="22"/>
          <w:szCs w:val="22"/>
        </w:rPr>
        <w:t xml:space="preserve">Making reasonable adjustments for disability</w:t>
      </w:r>
    </w:p>
    <w:p>
      <w:pPr>
        <w:pStyle w:val="ListParagraph"/>
        <w:numPr>
          <w:ilvl w:val="0"/>
          <w:numId w:val="2"/>
        </w:numPr>
        <w:spacing w:before="40" w:after="60"/>
      </w:pPr>
      <w:r>
        <w:rPr>
          <w:rFonts w:ascii="Arial" w:cs="Arial" w:eastAsia="Arial" w:hAnsi="Arial"/>
          <w:sz w:val="22"/>
          <w:szCs w:val="22"/>
        </w:rPr>
        <w:t xml:space="preserve">Equal opportunities monitoring</w:t>
      </w:r>
    </w:p>
    <w:p>
      <w:pPr>
        <w:pStyle w:val="ListParagraph"/>
        <w:numPr>
          <w:ilvl w:val="0"/>
          <w:numId w:val="2"/>
        </w:numPr>
        <w:spacing w:before="40" w:after="60"/>
      </w:pPr>
      <w:r>
        <w:rPr>
          <w:rFonts w:ascii="Arial" w:cs="Arial" w:eastAsia="Arial" w:hAnsi="Arial"/>
          <w:sz w:val="22"/>
          <w:szCs w:val="22"/>
        </w:rPr>
        <w:t xml:space="preserve">DBS checks and criminal records (required by law for working with children)</w:t>
      </w:r>
    </w:p>
    <w:p>
      <w:pPr>
        <w:spacing w:before="60" w:after="80"/>
      </w:pPr>
      <w:r>
        <w:rPr>
          <w:rFonts w:ascii="Arial" w:cs="Arial" w:eastAsia="Arial" w:hAnsi="Arial"/>
          <w:sz w:val="22"/>
          <w:szCs w:val="22"/>
        </w:rPr>
        <w:t xml:space="preserve">We do not use sensitive personal information for automated decision-making. We will ask for explicit written consent where we need to process sensitive data outside these purposes.</w:t>
      </w:r>
    </w:p>
    <w:p>
      <w:pPr>
        <w:pStyle w:val="Heading1"/>
        <w:spacing w:before="280" w:after="140"/>
      </w:pPr>
      <w:bookmarkStart w:name="sharing" w:id="15"/>
      <w:r>
        <w:rPr>
          <w:rFonts w:ascii="Arial" w:cs="Arial" w:eastAsia="Arial" w:hAnsi="Arial"/>
          <w:color w:val="1B6B5A"/>
        </w:rPr>
        <w:t xml:space="preserve">7. Who we share data with</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Recipient</w:t>
            </w:r>
          </w:p>
        </w:tc>
        <w:tc>
          <w:tcPr>
            <w:tcW w:type="dxa" w:w="5526"/>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Why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HMRC / pension providers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Payroll, tax and pension obligations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Local authority</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Funding claims, equal opportunities monitoring, SEND support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Ofsted</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Access to safeguarding and child protection records during inspection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Schools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Transition information for children moving to primary school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NHS / health professionals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Where a child or employee has a health need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Children's social care / police</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Where required for safeguarding without parental consent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DBS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Pre-employment checks and disclosures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IT / cloud service providers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Data storage and system administration (under contract)</w:t>
            </w:r>
          </w:p>
        </w:tc>
      </w:tr>
    </w:tbl>
    <w:p>
      <w:pPr>
        <w:spacing w:before="80" w:after="0"/>
      </w:pPr>
      <w:r>
        <w:t xml:space="preserve"/>
      </w:r>
    </w:p>
    <w:p>
      <w:pPr>
        <w:spacing w:before="60" w:after="80"/>
      </w:pPr>
      <w:r>
        <w:rPr>
          <w:rFonts w:ascii="Arial" w:cs="Arial" w:eastAsia="Arial" w:hAnsi="Arial"/>
          <w:sz w:val="22"/>
          <w:szCs w:val="22"/>
        </w:rPr>
        <w:t xml:space="preserve">All third parties are required to keep your data secure and to use it only for the purpose it was shared. We do not sell personal data.</w:t>
      </w:r>
    </w:p>
    <w:p>
      <w:pPr>
        <w:pStyle w:val="Heading1"/>
        <w:spacing w:before="280" w:after="140"/>
      </w:pPr>
      <w:bookmarkStart w:name="retention" w:id="17"/>
      <w:r>
        <w:rPr>
          <w:rFonts w:ascii="Arial" w:cs="Arial" w:eastAsia="Arial" w:hAnsi="Arial"/>
          <w:color w:val="1B6B5A"/>
        </w:rPr>
        <w:t xml:space="preserve">8. How long we keep data</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Data type</w:t>
            </w:r>
          </w:p>
        </w:tc>
        <w:tc>
          <w:tcPr>
            <w:tcW w:type="dxa" w:w="5226"/>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Retention period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Children's records (general)</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Until child turns 25 (or 35 if child protection involvement)</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Accident and injury records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Until child turns 21, or 3 years from date of incident — whichever is longer</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Safeguarding / child protection records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Until child turns 35, or 10 years — whichever is longer</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Employee personnel records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6 years after employment ends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Payroll and tax records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6 years after the relevant tax year</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DBS check records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Date of check and disclosure number only (not the certificate content)</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CCTV footage</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31 days (unless retained for an investigation)</w:t>
            </w:r>
          </w:p>
        </w:tc>
      </w:tr>
    </w:tbl>
    <w:p>
      <w:pPr>
        <w:spacing w:before="80" w:after="0"/>
      </w:pPr>
      <w:r>
        <w:t xml:space="preserve"/>
      </w:r>
    </w:p>
    <w:p>
      <w:pPr>
        <w:spacing w:before="60" w:after="80"/>
      </w:pPr>
      <w:r>
        <w:rPr>
          <w:rFonts w:ascii="Arial" w:cs="Arial" w:eastAsia="Arial" w:hAnsi="Arial"/>
          <w:sz w:val="22"/>
          <w:szCs w:val="22"/>
        </w:rPr>
        <w:t xml:space="preserve">We may anonymise data so it can be used for analysis without identifying individuals. We dispose of data securely when the retention period ends.</w:t>
      </w:r>
    </w:p>
    <w:p>
      <w:pPr>
        <w:pStyle w:val="Heading1"/>
        <w:spacing w:before="280" w:after="140"/>
      </w:pPr>
      <w:bookmarkStart w:name="rights" w:id="19"/>
      <w:r>
        <w:rPr>
          <w:rFonts w:ascii="Arial" w:cs="Arial" w:eastAsia="Arial" w:hAnsi="Arial"/>
          <w:color w:val="1B6B5A"/>
        </w:rPr>
        <w:t xml:space="preserve">9. Your rights</w:t>
      </w:r>
      <w:bookmarkEnd w:id="20"/>
    </w:p>
    <w:p>
      <w:pPr>
        <w:spacing w:before="60" w:after="80"/>
      </w:pPr>
      <w:r>
        <w:rPr>
          <w:rFonts w:ascii="Arial" w:cs="Arial" w:eastAsia="Arial" w:hAnsi="Arial"/>
          <w:sz w:val="22"/>
          <w:szCs w:val="22"/>
        </w:rPr>
        <w:t xml:space="preserve">You have the right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Right</w:t>
            </w:r>
          </w:p>
        </w:tc>
        <w:tc>
          <w:tcPr>
            <w:tcW w:type="dxa" w:w="6226"/>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2"/>
                <w:szCs w:val="22"/>
              </w:rPr>
              <w:t xml:space="preserve">What it means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Access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Request a copy of the personal data we hold about you (subject access request — no fee)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Correction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Ask us to correct inaccurate or incomplete data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Erasure</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Ask us to delete data where we no longer have a lawful basis to hold 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Restriction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Ask us to limit how we use your data while a concern is resolved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Portability</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Request your data in a machine-readable format for transfer to another provider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Object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Object to processing based on legitimate interests — we will stop unless we have compelling grounds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Withdraw consent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Where we rely on consent, withdraw it at any time without penalty</w:t>
            </w:r>
          </w:p>
        </w:tc>
      </w:tr>
    </w:tbl>
    <w:p>
      <w:pPr>
        <w:spacing w:before="80" w:after="0"/>
      </w:pPr>
      <w:r>
        <w:t xml:space="preserve"/>
      </w:r>
    </w:p>
    <w:p>
      <w:pPr>
        <w:spacing w:before="60" w:after="80"/>
      </w:pPr>
      <w:r>
        <w:rPr>
          <w:rFonts w:ascii="Arial" w:cs="Arial" w:eastAsia="Arial" w:hAnsi="Arial"/>
          <w:sz w:val="22"/>
          <w:szCs w:val="22"/>
        </w:rPr>
        <w:t xml:space="preserve">To exercise any of these rights, contact Taz Khan. We will respond within one calendar month. We may ask you to verify your identity before releasing any information.</w:t>
      </w:r>
    </w:p>
    <w:p>
      <w:pPr>
        <w:pStyle w:val="Heading1"/>
        <w:spacing w:before="280" w:after="140"/>
      </w:pPr>
      <w:bookmarkStart w:name="security" w:id="21"/>
      <w:r>
        <w:rPr>
          <w:rFonts w:ascii="Arial" w:cs="Arial" w:eastAsia="Arial" w:hAnsi="Arial"/>
          <w:color w:val="1B6B5A"/>
        </w:rPr>
        <w:t xml:space="preserve">10. Keeping data secure</w:t>
      </w:r>
      <w:bookmarkEnd w:id="22"/>
    </w:p>
    <w:p>
      <w:pPr>
        <w:spacing w:before="60" w:after="80"/>
      </w:pPr>
      <w:r>
        <w:rPr>
          <w:rFonts w:ascii="Arial" w:cs="Arial" w:eastAsia="Arial" w:hAnsi="Arial"/>
          <w:sz w:val="22"/>
          <w:szCs w:val="22"/>
        </w:rPr>
        <w:t xml:space="preserve">We protect personal data through:</w:t>
      </w:r>
    </w:p>
    <w:p>
      <w:pPr>
        <w:pStyle w:val="ListParagraph"/>
        <w:numPr>
          <w:ilvl w:val="0"/>
          <w:numId w:val="2"/>
        </w:numPr>
        <w:spacing w:before="40" w:after="60"/>
      </w:pPr>
      <w:r>
        <w:rPr>
          <w:rFonts w:ascii="Arial" w:cs="Arial" w:eastAsia="Arial" w:hAnsi="Arial"/>
          <w:sz w:val="22"/>
          <w:szCs w:val="22"/>
        </w:rPr>
        <w:t xml:space="preserve">Secure document storage and restricted access to personnel files</w:t>
      </w:r>
    </w:p>
    <w:p>
      <w:pPr>
        <w:pStyle w:val="ListParagraph"/>
        <w:numPr>
          <w:ilvl w:val="0"/>
          <w:numId w:val="2"/>
        </w:numPr>
        <w:spacing w:before="40" w:after="60"/>
      </w:pPr>
      <w:r>
        <w:rPr>
          <w:rFonts w:ascii="Arial" w:cs="Arial" w:eastAsia="Arial" w:hAnsi="Arial"/>
          <w:sz w:val="22"/>
          <w:szCs w:val="22"/>
        </w:rPr>
        <w:t xml:space="preserve">Password-protected systems and encrypted digital storage</w:t>
      </w:r>
    </w:p>
    <w:p>
      <w:pPr>
        <w:pStyle w:val="ListParagraph"/>
        <w:numPr>
          <w:ilvl w:val="0"/>
          <w:numId w:val="2"/>
        </w:numPr>
        <w:spacing w:before="40" w:after="60"/>
      </w:pPr>
      <w:r>
        <w:rPr>
          <w:rFonts w:ascii="Arial" w:cs="Arial" w:eastAsia="Arial" w:hAnsi="Arial"/>
          <w:sz w:val="22"/>
          <w:szCs w:val="22"/>
        </w:rPr>
        <w:t xml:space="preserve">Staff training on data protection and confidentiality</w:t>
      </w:r>
    </w:p>
    <w:p>
      <w:pPr>
        <w:pStyle w:val="ListParagraph"/>
        <w:numPr>
          <w:ilvl w:val="0"/>
          <w:numId w:val="2"/>
        </w:numPr>
        <w:spacing w:before="40" w:after="60"/>
      </w:pPr>
      <w:r>
        <w:rPr>
          <w:rFonts w:ascii="Arial" w:cs="Arial" w:eastAsia="Arial" w:hAnsi="Arial"/>
          <w:sz w:val="22"/>
          <w:szCs w:val="22"/>
        </w:rPr>
        <w:t xml:space="preserve">Contracts with IT and cloud providers requiring equivalent security standards</w:t>
      </w:r>
    </w:p>
    <w:p>
      <w:pPr>
        <w:pStyle w:val="ListParagraph"/>
        <w:numPr>
          <w:ilvl w:val="0"/>
          <w:numId w:val="2"/>
        </w:numPr>
        <w:spacing w:before="40" w:after="60"/>
      </w:pPr>
      <w:r>
        <w:rPr>
          <w:rFonts w:ascii="Arial" w:cs="Arial" w:eastAsia="Arial" w:hAnsi="Arial"/>
          <w:sz w:val="22"/>
          <w:szCs w:val="22"/>
        </w:rPr>
        <w:t xml:space="preserve">Limiting access to sensitive data to those who need it for their role</w:t>
      </w:r>
    </w:p>
    <w:p>
      <w:pPr>
        <w:spacing w:before="80" w:after="0"/>
      </w:pPr>
      <w:r>
        <w:t xml:space="preserve"/>
      </w:r>
    </w:p>
    <w:p>
      <w:pPr>
        <w:spacing w:before="60" w:after="80"/>
      </w:pPr>
      <w:r>
        <w:rPr>
          <w:rFonts w:ascii="Arial" w:cs="Arial" w:eastAsia="Arial" w:hAnsi="Arial"/>
          <w:sz w:val="22"/>
          <w:szCs w:val="22"/>
        </w:rPr>
        <w:t xml:space="preserve">If we become aware of a data breach that is likely to cause risk to your rights or freedoms, we will notify the ICO within 72 hours and inform you as soon as practicable.</w:t>
      </w:r>
    </w:p>
    <w:p>
      <w:pPr>
        <w:spacing w:before="60" w:after="80"/>
      </w:pPr>
      <w:r>
        <w:rPr>
          <w:rFonts w:ascii="Arial" w:cs="Arial" w:eastAsia="Arial" w:hAnsi="Arial"/>
          <w:sz w:val="22"/>
          <w:szCs w:val="22"/>
        </w:rPr>
        <w:t xml:space="preserve">Please keep us informed of any changes to your personal information so we can keep our records accurate and current.</w:t>
      </w:r>
    </w:p>
    <w:p>
      <w:pPr>
        <w:spacing w:before="8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513"/>
        <w:gridCol w:w="2513"/>
      </w:tblGrid>
      <w:tr>
        <w:tc>
          <w:tcPr>
            <w:tcW w:type="dxa" w:w="3000"/>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0"/>
                <w:szCs w:val="20"/>
              </w:rPr>
              <w:t xml:space="preserve">This policy was adopted on</w:t>
            </w:r>
          </w:p>
        </w:tc>
        <w:tc>
          <w:tcPr>
            <w:tcW w:type="dxa" w:w="3513"/>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0"/>
                <w:szCs w:val="20"/>
              </w:rPr>
              <w:t xml:space="preserve">Signed on behalf of the nursery</w:t>
            </w:r>
          </w:p>
        </w:tc>
        <w:tc>
          <w:tcPr>
            <w:tcW w:type="dxa" w:w="2513"/>
            <w:tcBorders>
              <w:top w:val="single" w:color="CCCCCC" w:sz="1"/>
              <w:left w:val="single" w:color="CCCCCC" w:sz="1"/>
              <w:bottom w:val="single" w:color="CCCCCC" w:sz="1"/>
              <w:right w:val="single" w:color="CCCCCC" w:sz="1"/>
            </w:tcBorders>
            <w:shd w:fill="E8F4F0" w:val="clear"/>
            <w:tcMar>
              <w:top w:type="dxa" w:w="80"/>
              <w:left w:type="dxa" w:w="120"/>
              <w:bottom w:type="dxa" w:w="80"/>
              <w:right w:type="dxa" w:w="120"/>
            </w:tcMar>
          </w:tcPr>
          <w:p>
            <w:r>
              <w:rPr>
                <w:rFonts w:ascii="Arial" w:cs="Arial" w:eastAsia="Arial" w:hAnsi="Arial"/>
                <w:b/>
                <w:bCs/>
                <w:sz w:val="20"/>
                <w:szCs w:val="20"/>
              </w:rPr>
              <w:t xml:space="preserve">Date for review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2026</w:t>
            </w:r>
          </w:p>
        </w:tc>
        <w:tc>
          <w:tcPr>
            <w:tcW w:type="dxa" w:w="3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Taz Khan – Director, Greencoat Nursery CIC</w:t>
            </w:r>
          </w:p>
        </w:tc>
        <w:tc>
          <w:tcPr>
            <w:tcW w:type="dxa" w:w="2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2028</w:t>
            </w:r>
          </w:p>
        </w:tc>
      </w:tr>
    </w:tbl>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8"/>
      </w:pBdr>
      <w:jc w:val="center"/>
    </w:pPr>
    <w:r>
      <w:rPr>
        <w:rFonts w:ascii="Arial" w:cs="Arial" w:eastAsia="Arial" w:hAnsi="Arial"/>
        <w:color w:val="888888"/>
        <w:sz w:val="18"/>
        <w:szCs w:val="18"/>
      </w:rPr>
      <w:t xml:space="preserve">GDPR Privacy Notice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8"/>
      </w:pBdr>
    </w:pPr>
    <w:r>
      <w:rPr>
        <w:rFonts w:ascii="Arial" w:cs="Arial" w:eastAsia="Arial" w:hAnsi="Arial"/>
        <w:b/>
        <w:bCs/>
        <w:color w:val="1B6B5A"/>
        <w:sz w:val="18"/>
        <w:szCs w:val="18"/>
      </w:rPr>
      <w:t xml:space="preserve">Greencoat Nursery CIC  </w:t>
    </w:r>
    <w:r>
      <w:rPr>
        <w:rFonts w:ascii="Arial" w:cs="Arial" w:eastAsia="Arial" w:hAnsi="Arial"/>
        <w:color w:val="666666"/>
        <w:sz w:val="18"/>
        <w:szCs w:val="18"/>
      </w:rPr>
      <w:t xml:space="preserve">GDPR Privacy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rFonts w:ascii="Arial" w:cs="Arial" w:eastAsia="Arial" w:hAnsi="Arial"/>
      <w:b/>
      <w:bCs/>
      <w:color w:val="1B6B5A"/>
      <w:sz w:val="32"/>
      <w:szCs w:val="32"/>
    </w:rPr>
  </w:style>
  <w:style w:type="paragraph" w:styleId="Heading2">
    <w:name w:val="Heading 2"/>
    <w:basedOn w:val="Normal"/>
    <w:next w:val="Normal"/>
    <w:qFormat/>
    <w:pPr>
      <w:spacing w:before="200" w:after="1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2026-03-26T22:32:30.855Z</dcterms:created>
  <dcterms:modified xsi:type="dcterms:W3CDTF">2026-03-26T22:32:30.856Z</dcterms:modified>
</cp:coreProperties>
</file>

<file path=docProps/custom.xml><?xml version="1.0" encoding="utf-8"?>
<Properties xmlns="http://schemas.openxmlformats.org/officeDocument/2006/custom-properties" xmlns:vt="http://schemas.openxmlformats.org/officeDocument/2006/docPropsVTypes"/>
</file>