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GLOSSARIO</w:t>
      </w:r>
    </w:p>
    <w:p w:rsidR="00000000" w:rsidDel="00000000" w:rsidP="00000000" w:rsidRDefault="00000000" w:rsidRPr="00000000" w14:paraId="00000002">
      <w:pPr>
        <w:pageBreakBefore w:val="0"/>
        <w:jc w:val="center"/>
        <w:rPr>
          <w:b w:val="1"/>
          <w:sz w:val="28"/>
          <w:szCs w:val="28"/>
        </w:rPr>
      </w:pPr>
      <w:r w:rsidDel="00000000" w:rsidR="00000000" w:rsidRPr="00000000">
        <w:rPr>
          <w:rtl w:val="0"/>
        </w:rPr>
      </w:r>
    </w:p>
    <w:p w:rsidR="00000000" w:rsidDel="00000000" w:rsidP="00000000" w:rsidRDefault="00000000" w:rsidRPr="00000000" w14:paraId="00000003">
      <w:pPr>
        <w:pageBreakBefore w:val="0"/>
        <w:jc w:val="center"/>
        <w:rPr>
          <w:b w:val="1"/>
          <w:sz w:val="28"/>
          <w:szCs w:val="28"/>
        </w:rPr>
      </w:pPr>
      <w:r w:rsidDel="00000000" w:rsidR="00000000" w:rsidRPr="00000000">
        <w:rPr>
          <w:rtl w:val="0"/>
        </w:rPr>
      </w:r>
    </w:p>
    <w:p w:rsidR="00000000" w:rsidDel="00000000" w:rsidP="00000000" w:rsidRDefault="00000000" w:rsidRPr="00000000" w14:paraId="00000004">
      <w:pPr>
        <w:pageBreakBefore w:val="0"/>
        <w:jc w:val="center"/>
        <w:rPr>
          <w:b w:val="1"/>
          <w:sz w:val="28"/>
          <w:szCs w:val="28"/>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2295"/>
        <w:gridCol w:w="1245"/>
        <w:gridCol w:w="1695"/>
        <w:gridCol w:w="1829"/>
        <w:tblGridChange w:id="0">
          <w:tblGrid>
            <w:gridCol w:w="1965"/>
            <w:gridCol w:w="2295"/>
            <w:gridCol w:w="1245"/>
            <w:gridCol w:w="1695"/>
            <w:gridCol w:w="1829"/>
          </w:tblGrid>
        </w:tblGridChange>
      </w:tblGrid>
      <w:tr>
        <w:trPr>
          <w:cantSplit w:val="0"/>
          <w:trHeight w:val="48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Definizioni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Termine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Definizione e informazione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Formato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Regole di validazione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Anche detto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Autorizzazione di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Validazione da parte di un servizio esterno di autorizzazione ai pagamenti che effettuerà o garantirà il pagamento al giocatore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222222"/>
                <w:highlight w:val="white"/>
                <w:rtl w:val="0"/>
              </w:rPr>
              <w:t xml:space="preserve">Servizio offerto da Internet, che permette mediante apposito software una ‘conversazione’ tra più interlocutori costituita da uno scambio di messaggi scritti che appaiono in tempo reale sul monitor di ciascun partecipante.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rPr>
                <w:b w:val="1"/>
                <w:sz w:val="24"/>
                <w:szCs w:val="24"/>
              </w:rPr>
            </w:pPr>
            <w:r w:rsidDel="00000000" w:rsidR="00000000" w:rsidRPr="00000000">
              <w:rPr>
                <w:b w:val="1"/>
                <w:sz w:val="24"/>
                <w:szCs w:val="24"/>
                <w:rtl w:val="0"/>
              </w:rPr>
              <w:t xml:space="preserve">Duskworld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Plancia da posizionare sopra al tabellone ove posizionare tutti i ricordi, il gruppo e </w:t>
            </w:r>
            <w:r w:rsidDel="00000000" w:rsidR="00000000" w:rsidRPr="00000000">
              <w:rPr>
                <w:color w:val="222222"/>
                <w:highlight w:val="white"/>
                <w:rtl w:val="0"/>
              </w:rPr>
              <w:t xml:space="preserve">Billygoat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Faceless start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Punto sul perimetro della plancia dove posizionare ad inizio partita un Senzavolto.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Fase minaccia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Fase seguente alla fase utente all’interno del turno di un giocatore. In questa fase cambiano gli effetti delle carte evento, rispetto la fase utente. Dopo questa fase si conclude il turno di un giocatore.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Fase 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Fase precedente alla fase minaccia all’interno del turno di un giocatore. In questa fase cambiano gli effetti delle carte evento, rispetto la fase minaccia. Questa è la fase iniziale del turno del giocatore.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Fulcro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Casella presente sulla plancia che deve essere occupata da almeno un ostacolo.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Giocatore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Partecipante a una partita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Gruppo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Pedina (bussola) che muove e definisce tutti i giocatori della partita.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Giocatore che accetta l’invito del giocatore host per unirsi alla partita creata da quest’ultimo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Giocatore che crea una partita personalizzata e ha la possibilità di invitare i giocatori 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Lobby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Ambiente virtuale creato dall’host al quale si possono unire i guest e chattare tra di loro, </w:t>
            </w:r>
            <w:r w:rsidDel="00000000" w:rsidR="00000000" w:rsidRPr="00000000">
              <w:rPr>
                <w:rtl w:val="0"/>
              </w:rPr>
              <w:t xml:space="preserve">prima del’inizio della partita.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Richiesta di autorizzazione di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Insieme di elementi inviati elettronicamente a un servizio di autorizzazione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Senzavolto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Pedina con magnete che può muoversi lungo il perimetro della plancia.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Faceless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Sistema Link Referral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Quando una persona cliccherà nel tuo link referral e si iscriverà alla tua lobby “sotto” tuo invito.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A">
      <w:pPr>
        <w:pageBreakBefore w:val="0"/>
        <w:jc w:val="center"/>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