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CO1: createLobby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createLobby(string: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choice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partecipant: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par1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Pre-Partita.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partecipante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 effettuato il login al gioco.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al Lobby Manager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lm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il proprio catalogo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lista di lobby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lobbies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stata creata una lobby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lobbies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è stata associata 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lm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è diventata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choice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stato creato un Host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associato 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è stato associato 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è stato associato 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lm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è stato associato a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settings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expansion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è diventata l’espansione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.settings.expansionSettings e’ stata aggiornata per includere tutte le impostazioni del espansione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.settings.expansion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stata associata a un Match Manager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CO2: gameMode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trHeight w:val="230.976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gameMode(string: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expansionName,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lobby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:l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Casi d’uso: Pre-Partita.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expansionName 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è presente nel catalogo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.settings.expansion è diventata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expansionName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.settings.expansionSettings e’ stata aggiornata per includere tutte le impostazioni del espansione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.settings.expansion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CO3: changeSetting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trHeight w:val="230.976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changeSetting(string: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string: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value,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lobby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:l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)</w:t>
            </w:r>
          </w:p>
        </w:tc>
      </w:tr>
      <w:tr>
        <w:trPr>
          <w:trHeight w:val="425.976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Casi d’uso: Pre-Partita.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h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è associato a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 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.settings.key è diventata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CO4: Search Lobby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trHeight w:val="230.976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searchLobby()</w:t>
            </w:r>
          </w:p>
        </w:tc>
      </w:tr>
      <w:tr>
        <w:trPr>
          <w:trHeight w:val="425.976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Casi d’uso: Pre-Partita.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par2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è associato al guest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 g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g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è associato con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 lm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CO5: Join Lobby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trHeight w:val="230.976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joinLobby(guest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g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lobby 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)</w:t>
            </w:r>
          </w:p>
        </w:tc>
      </w:tr>
      <w:tr>
        <w:trPr>
          <w:trHeight w:val="425.976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Casi d’uso: Pre-Partita.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l.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guests.size è minore di 3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il valore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type contiene il valore “public”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esiste al momento dell’attivazione della funzione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g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è associato con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 lm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g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è stato associato ad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guests.size è aumentato di 1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CO6: startGame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trHeight w:val="230.976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startGame(lobby 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)</w:t>
            </w:r>
          </w:p>
        </w:tc>
      </w:tr>
      <w:tr>
        <w:trPr>
          <w:trHeight w:val="425.976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Casi d’uso: Pre-Partita.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guests.size è maggiore di zero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associata a un Match Manager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È stato creato un'istanza di Faceless Game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fg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è stato associato a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mm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.settings è diventato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.settings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È stata creata un’ istanza di Player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p2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… per ogni host e guest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I Partecipant associati all’ host e ai guest della lobby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sono stati associati ai player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p2...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rispettivamente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p2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… sono stati associati a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fg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QEWVICYFLY8y0CUsbHWTcEhEmg==">AMUW2mUGBhNkCb6yf/k7FZ8sVhJ2IowiroNBSqU2QwpoDcEffhdMem5NYEfsuShETdAdgE+mPvbN7pjquMdrsGuq8ClERcyjybNwqIOs41zJwy+hWsOGDAI=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