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Cahier des charges fonctionnel et technique — VULULU IA V1.2</w:t>
      </w:r>
    </w:p>
    <w:p>
      <w:r>
        <w:rPr>
          <w:b/>
          <w:color w:val="B27325"/>
          <w:sz w:val="20"/>
        </w:rPr>
        <w:t>Cahier des charges • Exigences fonctionnelles, techniques et recette</w:t>
      </w:r>
    </w:p>
    <w:p>
      <w:r>
        <w:rPr>
          <w:color w:val="505058"/>
        </w:rPr>
        <w:t>Documentation de référence — 21 octobre 2026</w:t>
      </w:r>
    </w:p>
    <w:p>
      <w:r>
        <w:rPr>
          <w:b/>
        </w:rPr>
        <w:t>Référence : CDC</w:t>
      </w:r>
      <w:r>
        <w:rPr>
          <w:b w:val="0"/>
        </w:rPr>
        <w:t xml:space="preserve"> · version 1.2 · 21/10/2026 · </w:t>
      </w:r>
      <w:r>
        <w:rPr>
          <w:b/>
        </w:rPr>
        <w:t>P0</w:t>
      </w:r>
      <w:r>
        <w:rPr>
          <w:b w:val="0"/>
        </w:rPr>
        <w:t xml:space="preserve"> bloquant / </w:t>
      </w:r>
      <w:r>
        <w:rPr>
          <w:b/>
        </w:rPr>
        <w:t>P1</w:t>
      </w:r>
      <w:r>
        <w:rPr>
          <w:b w:val="0"/>
        </w:rPr>
        <w:t xml:space="preserve"> différable</w:t>
      </w:r>
    </w:p>
    <w:p>
      <w:pPr>
        <w:pStyle w:val="Heading2"/>
      </w:pPr>
      <w:r>
        <w:t>A. Périmètre et critères généraux</w:t>
      </w:r>
    </w:p>
    <w:p>
      <w:r>
        <w:rPr>
          <w:b w:val="0"/>
        </w:rPr>
        <w:t>Plateforme web interne sécurisée, connexion par invitation de super-utilisateur, 2 rôles, isolation forte des projets/contextes ; création de contenus pour TikTok, Instagram, LinkedIn ; workflow guidé, agentique multi-fournisseur, gestion scènes/personnages versionnée, contrôle qualité et livraison via Postiz, pilotage par MCP de première classe. Facturation, Memory Bank, partage public et publication autonome exclus.</w:t>
      </w:r>
    </w:p>
    <w:p>
      <w:pPr>
        <w:pStyle w:val="Heading2"/>
      </w:pPr>
      <w:r>
        <w:t>B. Exigences fonctionnelles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1"/>
        <w:gridCol w:w="2441"/>
        <w:gridCol w:w="2441"/>
        <w:gridCol w:w="2441"/>
      </w:tblGrid>
      <w:tr>
        <w:trPr>
          <w:tblHeader w:val="true"/>
        </w:trPr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b/>
                <w:color w:val="3C1F3D"/>
                <w:sz w:val="14"/>
              </w:rPr>
              <w:t>ID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b/>
                <w:color w:val="3C1F3D"/>
                <w:sz w:val="14"/>
              </w:rPr>
              <w:t>Priorité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b/>
                <w:color w:val="3C1F3D"/>
                <w:sz w:val="14"/>
              </w:rPr>
              <w:t>Exigence testable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b/>
                <w:color w:val="3C1F3D"/>
                <w:sz w:val="14"/>
              </w:rPr>
              <w:t>Preuve attendue</w:t>
            </w:r>
          </w:p>
        </w:tc>
      </w:tr>
      <w:tr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CDC-F-001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Seul super-admin peut émettre/révoquer une invitation à durée limitée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Tests activation valide/invalide/expirée</w:t>
            </w:r>
          </w:p>
        </w:tc>
      </w:tr>
      <w:tr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CDC-F-002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`user` n'accède pas aux ressources de `user` tiers ou administrateur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Tests API et MCP inter-tenant/IDOR</w:t>
            </w:r>
          </w:p>
        </w:tc>
      </w:tr>
      <w:tr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CDC-F-003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Page super-admin : utilisateur, date invitation/activation, statut, projets, sans données inutiles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Parcours UI/permissions</w:t>
            </w:r>
          </w:p>
        </w:tc>
      </w:tr>
      <w:tr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CDC-F-010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Plusieurs `BrandContext` créés par utilisateur : URL, produit/offre, marque, logos, actifs, social, notes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Persistance, validation des entrées</w:t>
            </w:r>
          </w:p>
        </w:tc>
      </w:tr>
      <w:tr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CDC-F-011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Agent contextualisation analyse, suggère et distingue faits sourcés et hypothèses, puis demande validation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Revision immuable + log provenance</w:t>
            </w:r>
          </w:p>
        </w:tc>
      </w:tr>
      <w:tr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CDC-F-012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Sélection du contexte dans chaque projet et snapshot figé au lancement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Changer contexte courant n'altère pas un run ancien</w:t>
            </w:r>
          </w:p>
        </w:tc>
      </w:tr>
      <w:tr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CDC-F-013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Bibliothèque d'assets par contexte et regroupement simple par campagne, avec version/licence et sélection explicite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Assets retrouvés et réutilisables sans promotion automatique de préférence</w:t>
            </w:r>
          </w:p>
        </w:tc>
      </w:tr>
      <w:tr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CDC-F-020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Choix réseau TikTok/Instagram/LinkedIn, format, ratio, usage organique/sponsorisé et création (image/carrousel/motion/vidéo)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Config valide/invalide, UI adaptative</w:t>
            </w:r>
          </w:p>
        </w:tc>
      </w:tr>
      <w:tr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CDC-F-021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Voix off optionnelle : langue, voix autorisée, texte/script, aperçu si disponible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Cas aucune voix / voix renseignée</w:t>
            </w:r>
          </w:p>
        </w:tc>
      </w:tr>
      <w:tr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CDC-F-022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Musique optionnelle : bibliothèque avec licences et provenance ou upload utilisateur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Blocage licence incompatible ads</w:t>
            </w:r>
          </w:p>
        </w:tc>
      </w:tr>
      <w:tr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CDC-F-023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Mix réglable voix/musique, valeurs initiales calibrées, ducking, mesure crête et intelligibilité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Tests audio &amp; comparaison niveau</w:t>
            </w:r>
          </w:p>
        </w:tc>
      </w:tr>
      <w:tr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CDC-F-024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Échanges de brief, `BriefRevision` structuré/haché, confirmation avant run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Comparaison revisions</w:t>
            </w:r>
          </w:p>
        </w:tc>
      </w:tr>
      <w:tr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CDC-F-030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Agent director planifie un DAG de steps/capabilities ; spécialistes exécutent ; QA vérifie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Run log et contrats</w:t>
            </w:r>
          </w:p>
        </w:tc>
      </w:tr>
      <w:tr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CDC-F-031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Registre `AgentDefinition` / `AgentConfigVersion` ; soul/system prompt réglable par super-admin et rollback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Config promue explicitement</w:t>
            </w:r>
          </w:p>
        </w:tc>
      </w:tr>
      <w:tr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CDC-F-032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Catalogue de fournisseurs/modèles/compétences versionné, testable, désactivable, actualisable par fournisseur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Test ajout/retrait sans modifier core</w:t>
            </w:r>
          </w:p>
        </w:tc>
      </w:tr>
      <w:tr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CDC-F-033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Router applique compatibilité + licence + budget avant classement ; fallback admissible et traçable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Simuler panne primary</w:t>
            </w:r>
          </w:p>
        </w:tc>
      </w:tr>
      <w:tr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CDC-F-040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`scene_id` immuable sur toutes les révisions ; `character_id` logique distinct des identifiants propriétaires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Corriger SCENE-003 sans renuméroter</w:t>
            </w:r>
          </w:p>
        </w:tc>
      </w:tr>
      <w:tr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CDC-F-041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Versions d'artefacts immuables, checksums, liens de provenance, stockage originaux/proxies/master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Tentative d'overwrite refusée</w:t>
            </w:r>
          </w:p>
        </w:tc>
      </w:tr>
      <w:tr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CDC-F-042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Correction ciblée recalcule dépendances réelles et ne regénère pas étapes non invalidées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Trace et delta de coût</w:t>
            </w:r>
          </w:p>
        </w:tc>
      </w:tr>
      <w:tr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CDC-F-043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Exécution durable + pause, reprise, annulation sûre, retries bornés et idempotence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Crash/restart mid-run</w:t>
            </w:r>
          </w:p>
        </w:tc>
      </w:tr>
      <w:tr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CDC-F-044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Preview/versions et comparaison ; feedback par scène ; maîtrise des erreurs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UAT scène + rendu</w:t>
            </w:r>
          </w:p>
        </w:tc>
      </w:tr>
      <w:tr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CDC-F-050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QA machine : format/ratio/codec/durée/texte, audio clipping, droits, master checksum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Rapport pass/fail avec raisons</w:t>
            </w:r>
          </w:p>
        </w:tc>
      </w:tr>
      <w:tr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CDC-F-051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Approbation humaine d'un `ArtifactVersion` exact, avant transfert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Refus autre version/absence approval</w:t>
            </w:r>
          </w:p>
        </w:tc>
      </w:tr>
      <w:tr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CDC-F-052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Postiz via adaptateur idempotent, transfert journalisé, erreurs de destination explicites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Test réel ou limitation acceptée</w:t>
            </w:r>
          </w:p>
        </w:tc>
      </w:tr>
      <w:tr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CDC-F-060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Interface admin minimale : invitations, agents/prompts/soul, modèles/fournisseurs, mesures run/coûts, audit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RBAC, rollback</w:t>
            </w:r>
          </w:p>
        </w:tc>
      </w:tr>
      <w:tr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CDC-F-061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Estimation/plafond dépenses run, coûts réels normalisés par provider/modèle/étape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Refus dépassement de budget</w:t>
            </w:r>
          </w:p>
        </w:tc>
      </w:tr>
      <w:tr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CDC-F-070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MCP HTTPS authentifié, mêmes use cases et RBAC que web, long runs non bloquants avec `run_id`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Tests IDE + cloud + replay</w:t>
            </w:r>
          </w:p>
        </w:tc>
      </w:tr>
      <w:tr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CDC-F-071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Aucun outil MCP shell/SQL arbitraire, pas de bypass approval ou quotas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Tests sécurité MCP</w:t>
            </w:r>
          </w:p>
        </w:tc>
      </w:tr>
      <w:tr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CDC-F-080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P1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Modèles de storyboard et profils créatifs supplémentaires</w:t>
            </w:r>
          </w:p>
        </w:tc>
        <w:tc>
          <w:tcPr>
            <w:tcW w:type="dxa" w:w="2441"/>
            <w:vAlign w:val="center"/>
          </w:tcPr>
          <w:p>
            <w:pPr>
              <w:spacing w:after="20"/>
            </w:pPr>
            <w:r>
              <w:rPr>
                <w:sz w:val="14"/>
              </w:rPr>
              <w:t>Tests différés</w:t>
            </w:r>
          </w:p>
        </w:tc>
      </w:tr>
    </w:tbl>
    <w:p>
      <w:pPr>
        <w:pStyle w:val="Heading2"/>
      </w:pPr>
      <w:r>
        <w:t>C. Qualité, sécurité et exploitation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b/>
                <w:color w:val="3C1F3D"/>
                <w:sz w:val="14"/>
              </w:rPr>
              <w:t>ID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b/>
                <w:color w:val="3C1F3D"/>
                <w:sz w:val="14"/>
              </w:rPr>
              <w:t>Priorité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b/>
                <w:color w:val="3C1F3D"/>
                <w:sz w:val="14"/>
              </w:rPr>
              <w:t>Exigence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CDC-N-001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RBAC sur le serveur, ressources filtrées par propriétaire dans toutes les lectures/écritures/web/MCP ; tests IDOR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CDC-N-002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Clés AI/Postiz uniquement serveur/secret store, zéro secret dans log/asset/erreur/frontend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CDC-N-003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HTTPS, authentification adaptée MCP distante, révocation, expiration, audience et scopes, protection CSRF/SSRF/uploads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CDC-N-004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Workflow repris après arrêt worker/service ; pas de double envoi / double facturation API idempotente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CDC-N-005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Audit `actor_id`, `project_id`, `run_id`, `scene_id`, `provider_id`, `trace_id`, version prompt/modèle, coûts, timestamp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CDC-N-006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Artefacts stockés S3-compatible avec checksums, URLs temporaires et durée de conservation configurable ; DB sans blobs lourds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CDC-N-007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Tests unitaires, contracts, intégration et E2E reproductibles ; environnement avec provider mocks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CDC-N-008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Accessibilité de base (navigation clavier, contrastes, labels), UI réactive et tâche asynchrone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CDC-N-009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Métadonnées de licence/provenance attachées à chaque ressource audio/visuelle et revalidées avant publicité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CDC-N-010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Publication des versions agents/prompts uniquement sur approbation super-admin ; rollback possible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CDC-N-011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Backups/restauration vérifiés en préproduction ; politique de purge tenant/actifs et minimisation des données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CDC-N-012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P0</w:t>
            </w:r>
          </w:p>
        </w:tc>
        <w:tc>
          <w:tcPr>
            <w:tcW w:type="dxa" w:w="3255"/>
            <w:vAlign w:val="center"/>
          </w:tcPr>
          <w:p>
            <w:pPr>
              <w:spacing w:after="20"/>
            </w:pPr>
            <w:r>
              <w:rPr>
                <w:sz w:val="14"/>
              </w:rPr>
              <w:t>Monitoring health/API/workers/queue/stockage et alertes coûts/pannes/fallback</w:t>
            </w:r>
          </w:p>
        </w:tc>
      </w:tr>
    </w:tbl>
    <w:p>
      <w:pPr>
        <w:pStyle w:val="Heading2"/>
      </w:pPr>
      <w:r>
        <w:t>D. Contrats et états</w:t>
      </w:r>
    </w:p>
    <w:p>
      <w:r>
        <w:rPr>
          <w:b/>
        </w:rPr>
        <w:t>États run :</w:t>
      </w:r>
      <w:r>
        <w:rPr>
          <w:b w:val="0"/>
        </w:rPr>
        <w:t xml:space="preserve"> `draft → brief_ready → queued → running → awaiting_review → approved → transfer_pending → transferred`. États alternatifs : `paused`, `failed`, `cancelled`; ne jamais assimiler `transferred` à « publié sur réseau ».</w:t>
      </w:r>
    </w:p>
    <w:p>
      <w:r>
        <w:rPr>
          <w:b/>
        </w:rPr>
        <w:t>États step :</w:t>
      </w:r>
      <w:r>
        <w:rPr>
          <w:b w:val="0"/>
        </w:rPr>
        <w:t xml:space="preserve"> `pending → ready → running → succeeded` ou `retryable_failed / terminal_failed / skipped / cancelled`.</w:t>
      </w:r>
    </w:p>
    <w:p>
      <w:r>
        <w:rPr>
          <w:b/>
        </w:rPr>
        <w:t>États transfer :</w:t>
      </w:r>
      <w:r>
        <w:rPr>
          <w:b w:val="0"/>
        </w:rPr>
        <w:t xml:space="preserve"> `pending → submitted → acknowledged / failed` ; `acknowledged` = confirmé par Postiz selon API, pas publié.</w:t>
      </w:r>
    </w:p>
    <w:p>
      <w:r>
        <w:rPr>
          <w:b/>
        </w:rPr>
        <w:t>Idempotence obligatoire :</w:t>
      </w:r>
      <w:r>
        <w:rPr>
          <w:b w:val="0"/>
        </w:rPr>
        <w:t xml:space="preserve"> création de run coûteux, correction, approbation, transfert. Toutes les transitions explicites sont auditées.</w:t>
      </w:r>
    </w:p>
    <w:p>
      <w:pPr>
        <w:pStyle w:val="Heading2"/>
      </w:pPr>
      <w:r>
        <w:t>E. Critères de recette bloquants</w:t>
      </w:r>
    </w:p>
    <w:p>
      <w:r>
        <w:rPr>
          <w:b w:val="0"/>
        </w:rPr>
        <w:t>Voir `docs/10_ACCEPTANCE_TESTS.md`. Couverture obligatoire : invitation ; fuite inter-user ; création contexte ; toutes options essentielles de brief ; audio licence/mix ; capacité par provider/fallback ; continuité ID scène et personnage ; correction ciblée et reprise ; QA/versioning ; approbation version exacte ; Postiz et répétition idempotente ; matrice MCP IDE/cloud/scopes ; suppression/retention ; redémarrage worker.</w:t>
      </w:r>
    </w:p>
    <w:p>
      <w:pPr>
        <w:pStyle w:val="Heading2"/>
      </w:pPr>
      <w:r>
        <w:t>F. Limitations / arbitrages techniques à instruire</w:t>
      </w:r>
    </w:p>
    <w:p>
      <w:pPr>
        <w:pStyle w:val="ListBullet"/>
        <w:ind w:left="288"/>
      </w:pPr>
      <w:r>
        <w:rPr>
          <w:b w:val="0"/>
        </w:rPr>
        <w:t>Choix code de départ : audit du dépôt cible ; les docs n'autorisent ni migration directe du V1 QeynoX ni reprise aveugle de SocioPulse.</w:t>
      </w:r>
    </w:p>
    <w:p>
      <w:pPr>
        <w:pStyle w:val="ListBullet"/>
        <w:ind w:left="288"/>
      </w:pPr>
      <w:r>
        <w:rPr>
          <w:b/>
        </w:rPr>
        <w:t>Hatchet</w:t>
      </w:r>
      <w:r>
        <w:rPr>
          <w:b w:val="0"/>
        </w:rPr>
        <w:t xml:space="preserve"> retenu comme orchestration VULULUIA dans l'architecture cible ; test d'intégration préproduction obligatoire pour la reprise/approbation/step granularity. Postiz gère indépendamment son Temporal.</w:t>
      </w:r>
    </w:p>
    <w:p>
      <w:pPr>
        <w:pStyle w:val="ListBullet"/>
        <w:ind w:left="288"/>
      </w:pPr>
      <w:r>
        <w:rPr>
          <w:b w:val="0"/>
        </w:rPr>
        <w:t>Prestataires IA et API Postiz : qualification réelle avant de déclarer le lot « fonctionnel ».</w:t>
      </w:r>
    </w:p>
    <w:p>
      <w:pPr>
        <w:pStyle w:val="ListBullet"/>
        <w:ind w:left="288"/>
      </w:pPr>
      <w:r>
        <w:rPr>
          <w:b w:val="0"/>
        </w:rPr>
        <w:t>Profils média par réseau : configuration versionnée ; limites mises à jour selon spécifications du canal, pas codées en dur.</w:t>
      </w:r>
    </w:p>
    <w:p>
      <w:pPr>
        <w:pStyle w:val="ListBullet"/>
        <w:ind w:left="288"/>
      </w:pPr>
      <w:r>
        <w:rPr>
          <w:b w:val="0"/>
        </w:rPr>
        <w:t>Mémoire V2 strictement exclue (pas de vector DB, recommandations auto-apprises, graphe d'héritage sémantique).</w:t>
      </w:r>
    </w:p>
    <w:p>
      <w:pPr>
        <w:pStyle w:val="Heading2"/>
      </w:pPr>
      <w:r>
        <w:t>G. Livraison</w:t>
      </w:r>
    </w:p>
    <w:p>
      <w:r>
        <w:rPr>
          <w:b w:val="0"/>
        </w:rPr>
        <w:t>Livrables : code, migrations, exemples .env non secrets, schémas/contrats versionnés, mocks providers, CI, preuves tests, runbook/rollback, UI invitée/admin, serveur MCP, pipeline média + QA, Postiz adapter validé et matrice de conformité V1. Aucun GO PROD sans tests P0 verts et autorisation explicite de mise en ligne.</w:t>
      </w:r>
    </w:p>
    <w:sectPr w:rsidR="00FC693F" w:rsidRPr="0006063C" w:rsidSect="00034616">
      <w:footerReference w:type="default" r:id="rId9"/>
      <w:pgSz w:w="12240" w:h="15840"/>
      <w:pgMar w:top="1152" w:right="1238" w:bottom="1037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05058"/>
        <w:sz w:val="16"/>
      </w:rPr>
      <w:t>VULULU IA — Dossier de cadrage V1.2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30303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C1F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C1F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C1F3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3C1F3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