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VULULU IA V2 — NOTE SPÉCIALE : propositions et idées utilisateur</w:t>
      </w:r>
    </w:p>
    <w:p>
      <w:r>
        <w:rPr>
          <w:b/>
          <w:color w:val="B27325"/>
          <w:sz w:val="20"/>
        </w:rPr>
        <w:t>V2 uniquement • mémoire sémantique / modèles économiques / Everything LLM</w:t>
      </w:r>
    </w:p>
    <w:p>
      <w:r>
        <w:rPr>
          <w:color w:val="505058"/>
        </w:rPr>
        <w:t>Documentation de référence — 21 octobre 2026</w:t>
      </w:r>
    </w:p>
    <w:p>
      <w:r>
        <w:rPr>
          <w:b/>
        </w:rPr>
        <w:t>21 octobre 2026</w:t>
      </w:r>
      <w:r>
        <w:rPr>
          <w:b w:val="0"/>
        </w:rPr>
        <w:t xml:space="preserve"> · </w:t>
      </w:r>
      <w:r>
        <w:rPr>
          <w:b/>
        </w:rPr>
        <w:t>Statut : réserve de vision — hors périmètre d'implémentation V1</w:t>
      </w:r>
    </w:p>
    <w:p>
      <w:pPr>
        <w:ind w:left="432"/>
      </w:pPr>
      <w:r>
        <w:rPr>
          <w:b/>
          <w:i/>
        </w:rPr>
        <w:t>Décision explicite du porteur du projet : « laisse la mémoire pour la V2 ».</w:t>
      </w:r>
      <w:r>
        <w:rPr>
          <w:b w:val="0"/>
          <w:i/>
        </w:rPr>
        <w:t xml:space="preserve"> Les idées de mémoire ci-dessous sont préservées, </w:t>
      </w:r>
      <w:r>
        <w:rPr>
          <w:b/>
          <w:i/>
        </w:rPr>
        <w:t>pas à coder maintenant</w:t>
      </w:r>
      <w:r>
        <w:rPr>
          <w:b w:val="0"/>
          <w:i/>
        </w:rPr>
        <w:t>. Le seul « contexte » V1 est une fiche structurée confirmée par l'utilisateur, nécessaire pour produire.</w:t>
      </w:r>
    </w:p>
    <w:p>
      <w:pPr>
        <w:pStyle w:val="Heading2"/>
      </w:pPr>
      <w:r>
        <w:t>A. Memory Bank &amp; mémoire sémantique hiérarchique — priorité conceptuelle V2</w:t>
      </w:r>
    </w:p>
    <w:p>
      <w:r>
        <w:rPr>
          <w:b/>
        </w:rPr>
        <w:t>Problème exprimé</w:t>
      </w:r>
      <w:r>
        <w:rPr>
          <w:b w:val="0"/>
        </w:rPr>
        <w:t xml:space="preserve"> : si un agent se souvient de tout ce qu'aime un utilisateur, il devient prisonnier de ses habitudes et fabrique toujours le même style. La mémoire doit être utile </w:t>
      </w:r>
      <w:r>
        <w:rPr>
          <w:b/>
        </w:rPr>
        <w:t>sans enfermer la créativité</w:t>
      </w:r>
      <w:r>
        <w:rPr>
          <w:b w:val="0"/>
        </w:rPr>
        <w:t>.</w:t>
      </w:r>
    </w:p>
    <w:p>
      <w:r>
        <w:rPr>
          <w:b/>
        </w:rPr>
        <w:t>Vision proposée par l'utilisateur</w:t>
      </w:r>
      <w:r>
        <w:rPr>
          <w:b w:val="0"/>
        </w:rPr>
        <w:t xml:space="preserve"> : une </w:t>
      </w:r>
      <w:r>
        <w:rPr>
          <w:b/>
        </w:rPr>
        <w:t>grande mémoire sémantique</w:t>
      </w:r>
      <w:r>
        <w:rPr>
          <w:b w:val="0"/>
        </w:rPr>
        <w:t xml:space="preserve"> de la marque, des goûts et préférences, puis la capacité de créer </w:t>
      </w:r>
      <w:r>
        <w:rPr>
          <w:b/>
        </w:rPr>
        <w:t>plusieurs contextes dérivés</w:t>
      </w:r>
      <w:r>
        <w:rPr>
          <w:b w:val="0"/>
        </w:rPr>
        <w:t xml:space="preserve"> : contexte d'un projet, contexte de style, contexte de campagne saisonnière (ex. hiver), contexte opérationnel précis. Un flux/une production choisit exactement le contexte utile ; plusieurs flux peuvent partager un contexte, un même client peut garder plusieurs univers créatifs en parallèle.</w:t>
      </w:r>
    </w:p>
    <w:p>
      <w:r>
        <w:rPr>
          <w:b/>
        </w:rPr>
        <w:t>Conception discutée</w:t>
      </w:r>
      <w:r>
        <w:rPr>
          <w:b w:val="0"/>
        </w:rPr>
        <w:t xml:space="preserve"> : une `Memory Bank` par contexte ou ensemble de contextes ; pas un agent mémoire omnipotent. Distinction entre mémoire de faits vérifiés sur la marque, mémoire de préférences choisies et mémoire créative expérimentale. Un futur agent/service de mémoire pourra proposer des rapprochements et suggestions ; </w:t>
      </w:r>
      <w:r>
        <w:rPr>
          <w:b/>
        </w:rPr>
        <w:t>les apprentissages permanents ne sont promus qu'avec consentement explicite</w:t>
      </w:r>
      <w:r>
        <w:rPr>
          <w:b w:val="0"/>
        </w:rPr>
        <w:t xml:space="preserve">. Les expériences éphémères ne réécrivent pas l'identité de marque. Chaque contexte a ID, parent éventuel, versions, propriété, droits, provenance ; l'héritage est </w:t>
      </w:r>
      <w:r>
        <w:rPr>
          <w:b/>
        </w:rPr>
        <w:t>sélectif et configurable</w:t>
      </w:r>
      <w:r>
        <w:rPr>
          <w:b w:val="0"/>
        </w:rPr>
        <w:t>.</w:t>
      </w:r>
    </w:p>
    <w:p>
      <w:r>
        <w:rPr>
          <w:b/>
        </w:rPr>
        <w:t>Trois modes approuvés pour V2</w:t>
      </w:r>
      <w:r>
        <w:rPr>
          <w:b w:val="0"/>
        </w:rPr>
        <w:t xml:space="preserve"> :</w:t>
      </w:r>
    </w:p>
    <w:p>
      <w:pPr>
        <w:pStyle w:val="ListBullet"/>
        <w:ind w:left="288"/>
      </w:pPr>
      <w:r>
        <w:rPr>
          <w:b/>
        </w:rPr>
        <w:t>Fidèle à la marque</w:t>
      </w:r>
      <w:r>
        <w:rPr>
          <w:b w:val="0"/>
        </w:rPr>
        <w:t xml:space="preserve"> — sélection des faits, références, assets approuvés et styles habituels autorisés.</w:t>
      </w:r>
    </w:p>
    <w:p>
      <w:pPr>
        <w:pStyle w:val="ListBullet"/>
        <w:ind w:left="288"/>
      </w:pPr>
      <w:r>
        <w:rPr>
          <w:b/>
        </w:rPr>
        <w:t>Exploration créative</w:t>
      </w:r>
      <w:r>
        <w:rPr>
          <w:b w:val="0"/>
        </w:rPr>
        <w:t xml:space="preserve"> — faits obligatoires conservés, préférences stylistiques assouplies, suggestions inattendues.</w:t>
      </w:r>
    </w:p>
    <w:p>
      <w:pPr>
        <w:pStyle w:val="ListBullet"/>
        <w:ind w:left="288"/>
      </w:pPr>
      <w:r>
        <w:rPr>
          <w:b/>
        </w:rPr>
        <w:t>Rupture totale</w:t>
      </w:r>
      <w:r>
        <w:rPr>
          <w:b w:val="0"/>
        </w:rPr>
        <w:t xml:space="preserve"> — les éléments stylistiques passés n'orientent plus le rendu ; conservation des seules contraintes explicitement nécessaires (droits, vérité produit, sécurité, objectifs du brief).</w:t>
      </w:r>
    </w:p>
    <w:p>
      <w:r>
        <w:rPr>
          <w:b/>
        </w:rPr>
        <w:t>Points à explorer en V2, sans décision finale</w:t>
      </w:r>
      <w:r>
        <w:rPr>
          <w:b w:val="0"/>
        </w:rPr>
        <w:t xml:space="preserve"> : choix de pgvector/index hybride/graph de mémoire ; cycle consolidation/forgetting ; explicabilité « pourquoi ce souvenir a été utilisé ? » ; versionnement des souvenirs ; consentement et correction, suppression/portabilité ; isolation organisation/projet/personne ; pondération forte des instructions de création actuelles sur historique ; test de diversité créative et mesure d'anti-enfermement. Agent mémoire dédié </w:t>
      </w:r>
      <w:r>
        <w:rPr>
          <w:b/>
        </w:rPr>
        <w:t>possible, mais non obligatoire</w:t>
      </w:r>
      <w:r>
        <w:rPr>
          <w:b w:val="0"/>
        </w:rPr>
        <w:t xml:space="preserve"> : préférer une `MemoryPolicy` explicite qui contrôle ingestion/recherche/promotion.</w:t>
      </w:r>
    </w:p>
    <w:p>
      <w:pPr>
        <w:pStyle w:val="Heading2"/>
      </w:pPr>
      <w:r>
        <w:t>B. Business model V2 — studio IA monétisable</w:t>
      </w:r>
    </w:p>
    <w:p>
      <w:r>
        <w:rPr>
          <w:b w:val="0"/>
        </w:rPr>
        <w:t xml:space="preserve">L'utilisateur a évoqué les plateformes à crédits Artlist, Higgsfield, Luma et le principe de consommation d'IA. Les modèles économiques envisagés : </w:t>
      </w:r>
      <w:r>
        <w:rPr>
          <w:b/>
        </w:rPr>
        <w:t>abonnement incluant des crédits de production</w:t>
      </w:r>
      <w:r>
        <w:rPr>
          <w:b w:val="0"/>
        </w:rPr>
        <w:t xml:space="preserve">, packs supplémentaires, vente d'une production finalisée à l'unité, forfaits équipes/agences, paliers de qualité/temps ; afficher coûts estimés/consommés, marges et limites. </w:t>
      </w:r>
      <w:r>
        <w:rPr>
          <w:b/>
        </w:rPr>
        <w:t>Ne pas assimiler automatiquement les crédits commerciaux aux « tokens » facturés réellement par les fournisseurs</w:t>
      </w:r>
      <w:r>
        <w:rPr>
          <w:b w:val="0"/>
        </w:rPr>
        <w:t xml:space="preserve"> : les coûts d'image/vidéo/TTS/rendu sont hétérogènes. Marges, tarifs, accords de revente, licence des outputs et prix restent </w:t>
      </w:r>
      <w:r>
        <w:rPr>
          <w:b/>
        </w:rPr>
        <w:t>à étudier, aucun montant validé</w:t>
      </w:r>
      <w:r>
        <w:rPr>
          <w:b w:val="0"/>
        </w:rPr>
        <w:t>.</w:t>
      </w:r>
    </w:p>
    <w:p>
      <w:r>
        <w:rPr>
          <w:b/>
        </w:rPr>
        <w:t>Préparation passive V1 :</w:t>
      </w:r>
      <w:r>
        <w:rPr>
          <w:b w:val="0"/>
        </w:rPr>
        <w:t xml:space="preserve"> compter coûts par run/agent/fournisseur/modèle, garder identifiants stables et journaux ; pas de paiement, wallet, tables d'abonnements ni contrôles d'entitlements commerciaux dans V1. Plus tard intégrer politique de quotas/crédits derrière une interface métier séparée.</w:t>
      </w:r>
    </w:p>
    <w:p>
      <w:pPr>
        <w:pStyle w:val="Heading2"/>
      </w:pPr>
      <w:r>
        <w:t>C. Everything LLM — écosystème élargi (V2)</w:t>
      </w:r>
    </w:p>
    <w:p>
      <w:r>
        <w:rPr>
          <w:b w:val="0"/>
        </w:rPr>
        <w:t>Vision d'un environnement plus général « Everything LLM » interopérable avec d'autres agents, modèles, outils et usages, en extension au studio créatif. Ne pas ajouter en V1 une marketplace d'agents, chat universel, memory graph global ou protocole interagents complexe.</w:t>
      </w:r>
    </w:p>
    <w:p>
      <w:pPr>
        <w:pStyle w:val="Heading2"/>
      </w:pPr>
      <w:r>
        <w:t>D. Évolutivité préparée sans coder V2</w:t>
      </w:r>
    </w:p>
    <w:p>
      <w:r>
        <w:rPr>
          <w:b/>
        </w:rPr>
        <w:t>V1 prévoit</w:t>
      </w:r>
      <w:r>
        <w:rPr>
          <w:b w:val="0"/>
        </w:rPr>
        <w:t xml:space="preserve"> : `context_id` + révision, stable `project_id`/`scene_id`/`character_id`, `ArtifactVersion`, catalogue modèle/fournisseur versionné, trace coûts et capacités, Domain Core indépendant, API/MCP, workflow versionné. </w:t>
      </w:r>
      <w:r>
        <w:rPr>
          <w:b/>
        </w:rPr>
        <w:t>V1 n'ajoute pas</w:t>
      </w:r>
      <w:r>
        <w:rPr>
          <w:b w:val="0"/>
        </w:rPr>
        <w:t xml:space="preserve"> : embeddings, Memory Agent, contexte hiérarchique sémantique, suggestions mémoire automatiques, base vectors par défaut, abonnements/crédits, marketplace, édition multi-organisation facturée.</w:t>
      </w:r>
    </w:p>
    <w:p>
      <w:pPr>
        <w:pStyle w:val="Heading2"/>
      </w:pPr>
      <w:r>
        <w:t>E. Questions de découverte V2 à garder ouvertes</w:t>
      </w:r>
    </w:p>
    <w:p>
      <w:r>
        <w:rPr>
          <w:b w:val="0"/>
        </w:rPr>
        <w:t>S'assurer des droits d'exploitation commerciale des modèles ; tarification par outcome vs crédits ; comparaison de qualité et coûts ; rétention des créations ; permissions agence ; isolation clients ; benchmark contre services créatifs ; gouvernance anti-biais créatif ; règles de consentement mémorisation ; conditions de publication multi-canal.</w:t>
      </w:r>
    </w:p>
    <w:p>
      <w:pPr>
        <w:pStyle w:val="Heading2"/>
      </w:pPr>
      <w:r>
        <w:t>F. Pourquoi ce fichier séparé</w:t>
      </w:r>
    </w:p>
    <w:p>
      <w:r>
        <w:rPr>
          <w:b w:val="0"/>
        </w:rPr>
        <w:t xml:space="preserve">Pour éviter que DeepSeek Harness et Codex confondent </w:t>
      </w:r>
      <w:r>
        <w:rPr>
          <w:b/>
        </w:rPr>
        <w:t>vision future</w:t>
      </w:r>
      <w:r>
        <w:rPr>
          <w:b w:val="0"/>
        </w:rPr>
        <w:t xml:space="preserve"> et </w:t>
      </w:r>
      <w:r>
        <w:rPr>
          <w:b/>
        </w:rPr>
        <w:t>backlog V1</w:t>
      </w:r>
      <w:r>
        <w:rPr>
          <w:b w:val="0"/>
        </w:rPr>
        <w:t xml:space="preserve">, ce document est exclu des tickets P0/P1. Il sert de garde-fou stratégique et de contexte à une future phase de conception distincte. Toute fonctionnalité décrite ici nécessite </w:t>
      </w:r>
      <w:r>
        <w:rPr>
          <w:b/>
        </w:rPr>
        <w:t>une nouvelle validation de périmètre</w:t>
      </w:r>
      <w:r>
        <w:rPr>
          <w:b w:val="0"/>
        </w:rPr>
        <w:t>, pas une implémentation anticipée.</w:t>
      </w:r>
    </w:p>
    <w:sectPr w:rsidR="00FC693F" w:rsidRPr="0006063C" w:rsidSect="00034616">
      <w:footerReference w:type="default" r:id="rId9"/>
      <w:pgSz w:w="12240" w:h="15840"/>
      <w:pgMar w:top="1152" w:right="1238" w:bottom="1037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05058"/>
        <w:sz w:val="16"/>
      </w:rPr>
      <w:t>VULULU IA — Dossier de cadrage V1.2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30303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C1F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C1F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C1F3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3C1F3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