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PRD — VULULU IA V1.2</w:t>
      </w:r>
    </w:p>
    <w:p>
      <w:r>
        <w:rPr>
          <w:b/>
          <w:color w:val="B27325"/>
          <w:sz w:val="20"/>
        </w:rPr>
        <w:t>PRD • Produit interne / studio créatif agentique</w:t>
      </w:r>
    </w:p>
    <w:p>
      <w:r>
        <w:rPr>
          <w:color w:val="505058"/>
        </w:rPr>
        <w:t>Documentation de référence — 21 octobre 2026</w:t>
      </w:r>
    </w:p>
    <w:p>
      <w:r>
        <w:rPr>
          <w:b/>
        </w:rPr>
        <w:t>Product Requirements Document</w:t>
      </w:r>
      <w:r>
        <w:rPr>
          <w:b w:val="0"/>
        </w:rPr>
        <w:t xml:space="preserve"> · 21/10/2026 · </w:t>
      </w:r>
      <w:r>
        <w:rPr>
          <w:b/>
        </w:rPr>
        <w:t>Destinataires : produit, UX, engineering, QA, DeepSeek Harness</w:t>
      </w:r>
    </w:p>
    <w:p>
      <w:pPr>
        <w:pStyle w:val="Heading2"/>
      </w:pPr>
      <w:r>
        <w:t>1. Vision et problème</w:t>
      </w:r>
    </w:p>
    <w:p>
      <w:r>
        <w:rPr>
          <w:b w:val="0"/>
        </w:rPr>
        <w:t xml:space="preserve">Un créateur, une marque ou un opérateur interne doit produire des contenus adaptés à TikTok, Instagram et LinkedIn sans orchestrer manuellement dix outils IA, perdre les références de style, recommencer une vidéo entière pour changer un plan, ni fournir le même contexte à chaque brief. VULULU IA est un studio de production créative doté d'un workflow explicite, d'agents spécialisés, d'un catalogue de fournisseurs IA évolutif et d'un passage final vers Postiz. La </w:t>
      </w:r>
      <w:r>
        <w:rPr>
          <w:b/>
        </w:rPr>
        <w:t>créativité est supervisée</w:t>
      </w:r>
      <w:r>
        <w:rPr>
          <w:b w:val="0"/>
        </w:rPr>
        <w:t xml:space="preserve"> ; l'utilisateur garde un droit d'interruption, de correction et d'approbation.</w:t>
      </w:r>
    </w:p>
    <w:p>
      <w:pPr>
        <w:pStyle w:val="Heading2"/>
      </w:pPr>
      <w:r>
        <w:t>2. Objectifs V1 (P0)</w:t>
      </w:r>
    </w:p>
    <w:p>
      <w:r>
        <w:rPr>
          <w:b/>
        </w:rPr>
        <w:t>PRD-01 — Accès privé</w:t>
      </w:r>
      <w:r>
        <w:rPr>
          <w:b w:val="0"/>
        </w:rPr>
        <w:t xml:space="preserve"> : le super-utilisateur invite des utilisateurs ; compte, date d'invitation/activation, activité et rôles consultables ; pas de vente ni inscription ouverte.</w:t>
      </w:r>
    </w:p>
    <w:p>
      <w:r>
        <w:rPr>
          <w:b/>
        </w:rPr>
        <w:t>PRD-02 — Contextualisation réutilisable</w:t>
      </w:r>
      <w:r>
        <w:rPr>
          <w:b w:val="0"/>
        </w:rPr>
        <w:t xml:space="preserve"> : créer un ou plusieurs contextes de marque/projet à partir d'URL, descriptions, offres/produits, identité graphique, logos, médias, documents, liens sociaux ; agent d'accueil converse, synthétise et propose des fiches </w:t>
      </w:r>
      <w:r>
        <w:rPr>
          <w:b/>
        </w:rPr>
        <w:t>validées manuellement</w:t>
      </w:r>
      <w:r>
        <w:rPr>
          <w:b w:val="0"/>
        </w:rPr>
        <w:t>. Chaque contexte a un `context_id` et `revision_id`. Cette mémoire *documentaire explicite* reste V1 ; la mémoire sémantique adaptative est V2.</w:t>
      </w:r>
    </w:p>
    <w:p>
      <w:r>
        <w:rPr>
          <w:b/>
        </w:rPr>
        <w:t>PRD-03 — Workflow guidé</w:t>
      </w:r>
      <w:r>
        <w:rPr>
          <w:b w:val="0"/>
        </w:rPr>
        <w:t xml:space="preserve"> : contexte → réseau → type de publication → format/ratio/durée → organique ou intention sponsorisée → type de création → style/direction artistique → options voix/musique/mix → brief interactif → validation du brief.</w:t>
      </w:r>
    </w:p>
    <w:p>
      <w:r>
        <w:rPr>
          <w:b/>
        </w:rPr>
        <w:t>PRD-04 — Sorties créatives</w:t>
      </w:r>
      <w:r>
        <w:rPr>
          <w:b w:val="0"/>
        </w:rPr>
        <w:t xml:space="preserve"> : poster/image, carrousel, texte accompagné de visuels, motion design, vidéo multiscène et hybride (selon capacités qualifiées). Générer un master compatible avec le profil de plateforme sélectionné et un preview ; ne pas annoncer un format indisponible.</w:t>
      </w:r>
    </w:p>
    <w:p>
      <w:r>
        <w:rPr>
          <w:b/>
        </w:rPr>
        <w:t>PRD-05 — Audio professionnel</w:t>
      </w:r>
      <w:r>
        <w:rPr>
          <w:b w:val="0"/>
        </w:rPr>
        <w:t xml:space="preserve"> : choix voix off, langue, timbre/échantillon autorisé, texte lu, musique issue d'une bibliothèque licenciée ou fichier utilisateur, option sans voix/sans musique, niveau de mix initial automatique avec ducking et limites de crête, correction manuelle simple (voix/musique). Vérification des droits pour publicité.</w:t>
      </w:r>
    </w:p>
    <w:p>
      <w:r>
        <w:rPr>
          <w:b/>
        </w:rPr>
        <w:t>PRD-06 — Creative director</w:t>
      </w:r>
      <w:r>
        <w:rPr>
          <w:b w:val="0"/>
        </w:rPr>
        <w:t xml:space="preserve"> : convertir les choix en `BriefRevision` structuré ; agents de planification, spécialistes et QA avec capacités et contraintes distinctes ; journal des décisions de routage.</w:t>
      </w:r>
    </w:p>
    <w:p>
      <w:r>
        <w:rPr>
          <w:b/>
        </w:rPr>
        <w:t>PRD-07 — Multimodèle</w:t>
      </w:r>
      <w:r>
        <w:rPr>
          <w:b w:val="0"/>
        </w:rPr>
        <w:t xml:space="preserve"> : modèles/fournisseurs configurables par `capability`, qualité mesurée, droits, coût, latence, santé ; fallback contrôlé sans changement du brief ; pas de « meilleur modèle universel » codé en dur.</w:t>
      </w:r>
    </w:p>
    <w:p>
      <w:r>
        <w:rPr>
          <w:b/>
        </w:rPr>
        <w:t>PRD-08 — Édition ciblée</w:t>
      </w:r>
      <w:r>
        <w:rPr>
          <w:b w:val="0"/>
        </w:rPr>
        <w:t xml:space="preserve"> : stabilité de `scene_id` et `character_id` (identifiants applicatifs, pas promesse de mémoire native du fournisseur). Une commande « modifie scène 3 » crée version nouvelle et ne relance que les étapes effectivement dépendantes.</w:t>
      </w:r>
    </w:p>
    <w:p>
      <w:r>
        <w:rPr>
          <w:b/>
        </w:rPr>
        <w:t>PRD-09 — Boucle humaine</w:t>
      </w:r>
      <w:r>
        <w:rPr>
          <w:b w:val="0"/>
        </w:rPr>
        <w:t xml:space="preserve"> : voir storyboard et rendus, commenter par scène, comparer les versions, relancer, rejeter ou approuver </w:t>
      </w:r>
      <w:r>
        <w:rPr>
          <w:b/>
        </w:rPr>
        <w:t>une version exacte</w:t>
      </w:r>
      <w:r>
        <w:rPr>
          <w:b w:val="0"/>
        </w:rPr>
        <w:t xml:space="preserve"> du master ; le feedback ne devient pas une préférence permanente par inférence.</w:t>
      </w:r>
    </w:p>
    <w:p>
      <w:r>
        <w:rPr>
          <w:b/>
        </w:rPr>
        <w:t>PRD-10 — Diffusion</w:t>
      </w:r>
      <w:r>
        <w:rPr>
          <w:b w:val="0"/>
        </w:rPr>
        <w:t xml:space="preserve"> : transfert </w:t>
      </w:r>
      <w:r>
        <w:rPr>
          <w:b/>
        </w:rPr>
        <w:t>après approbation</w:t>
      </w:r>
      <w:r>
        <w:rPr>
          <w:b w:val="0"/>
        </w:rPr>
        <w:t xml:space="preserve"> vers Postiz avec payload, état, idempotence, confirmation et journal. Postiz gère les comptes sociaux / la publication ; VULULU IA n'est pas un gestionnaire natif d'API publicitaires.</w:t>
      </w:r>
    </w:p>
    <w:p>
      <w:r>
        <w:rPr>
          <w:b/>
        </w:rPr>
        <w:t>PRD-11 — Administration minimale</w:t>
      </w:r>
      <w:r>
        <w:rPr>
          <w:b w:val="0"/>
        </w:rPr>
        <w:t xml:space="preserve"> : super-utilisateur gère invitations, fournisseurs/modèles, profils de compétences, configurations des agents, « soul »/prompts versionnés, tests d'évaluation, activation/rollback, quotas et journaux.</w:t>
      </w:r>
    </w:p>
    <w:p>
      <w:r>
        <w:rPr>
          <w:b/>
        </w:rPr>
        <w:t>PRD-12 — MCP V1</w:t>
      </w:r>
      <w:r>
        <w:rPr>
          <w:b w:val="0"/>
        </w:rPr>
        <w:t xml:space="preserve"> : même capacité via un client MCP autorisé (Codex/IDE/cloud) que via le web : contextes, briefs, runs, scènes, assets, approbation, transfert ; admin restreinte. HTTP distant authentifié, pas d'accès direct DB/Hatchet.</w:t>
      </w:r>
    </w:p>
    <w:p>
      <w:r>
        <w:rPr>
          <w:b/>
        </w:rPr>
        <w:t>PRD-13 — Coûts/résilience/traçabilité</w:t>
      </w:r>
      <w:r>
        <w:rPr>
          <w:b w:val="0"/>
        </w:rPr>
        <w:t xml:space="preserve"> : estimation avant production, seuils, coûts réels, retries limités, reprise sans duplication, journal run→étapes→artefacts→versions→transfert.</w:t>
      </w:r>
    </w:p>
    <w:p>
      <w:r>
        <w:rPr>
          <w:b/>
        </w:rPr>
        <w:t>PRD-14 — Qualité/droits</w:t>
      </w:r>
      <w:r>
        <w:rPr>
          <w:b w:val="0"/>
        </w:rPr>
        <w:t xml:space="preserve"> : conformité aux dimensions/codec audio, contrôle du texte et identité, vérification licences/provenance, conformité au réseau, rapport QA avant approbation.</w:t>
      </w:r>
    </w:p>
    <w:p>
      <w:r>
        <w:rPr>
          <w:b/>
        </w:rPr>
        <w:t>PRD-15 — Bibliothèque créative</w:t>
      </w:r>
      <w:r>
        <w:rPr>
          <w:b w:val="0"/>
        </w:rPr>
        <w:t xml:space="preserve"> : retrouver les éléments validés par marque : logos, visuels, voix, styles explicitement enregistrés, modèles de composition et créations antérieures, avec leurs droits et versions ; réutiliser sans apprentissage automatique.</w:t>
      </w:r>
    </w:p>
    <w:p>
      <w:r>
        <w:rPr>
          <w:b/>
        </w:rPr>
        <w:t>PRD-16 — Campagne / opération</w:t>
      </w:r>
      <w:r>
        <w:rPr>
          <w:b w:val="0"/>
        </w:rPr>
        <w:t xml:space="preserve"> : pouvoir regrouper plusieurs projets et créations sous une campagne identifiée (ex. campagne hiver) sans mémoire sémantique ni automatisation publicitaire.</w:t>
      </w:r>
    </w:p>
    <w:p>
      <w:pPr>
        <w:pStyle w:val="Heading2"/>
      </w:pPr>
      <w:r>
        <w:t>3. Utilisateurs et droits</w:t>
      </w:r>
    </w:p>
    <w:p>
      <w:r>
        <w:rPr>
          <w:b/>
        </w:rPr>
        <w:t>Super-utilisateur</w:t>
      </w:r>
      <w:r>
        <w:rPr>
          <w:b w:val="0"/>
        </w:rPr>
        <w:t xml:space="preserve"> : invite/révoque, configure prompts et fournisseurs, consulte métriques globales et coûts, produit du contenu. </w:t>
      </w:r>
      <w:r>
        <w:rPr>
          <w:b/>
        </w:rPr>
        <w:t>Utilisateur invité</w:t>
      </w:r>
      <w:r>
        <w:rPr>
          <w:b w:val="0"/>
        </w:rPr>
        <w:t xml:space="preserve"> : crée ses contextes/projets/flux et contenus, gère ses versions et valide son propre master. Les données d'un utilisateur ne sont jamais visibles par un autre sans partage explicitement spécifié ; </w:t>
      </w:r>
      <w:r>
        <w:rPr>
          <w:b/>
        </w:rPr>
        <w:t>partage non prévu en V1</w:t>
      </w:r>
      <w:r>
        <w:rPr>
          <w:b w:val="0"/>
        </w:rPr>
        <w:t>.</w:t>
      </w:r>
    </w:p>
    <w:p>
      <w:pPr>
        <w:pStyle w:val="Heading2"/>
      </w:pPr>
      <w:r>
        <w:t>4. Parcours principal</w:t>
      </w:r>
    </w:p>
    <w:p>
      <w:r>
        <w:rPr>
          <w:b w:val="0"/>
        </w:rPr>
        <w:t>1. Invitation reçue ; activation sécurisée ; accueil « Mes contextes ».</w:t>
      </w:r>
    </w:p>
    <w:p>
      <w:r>
        <w:rPr>
          <w:b w:val="0"/>
        </w:rPr>
        <w:t>2. Création d'un contexte : URL + description + logos + produits + assets + contraintes ; analyse assistée, validation explicite des faits extraits ; possibilité d'en avoir plusieurs.</w:t>
      </w:r>
    </w:p>
    <w:p>
      <w:r>
        <w:rPr>
          <w:b w:val="0"/>
        </w:rPr>
        <w:t>3. Sélection du contexte ; nouveau projet/création ; choix de TikTok/Instagram/LinkedIn ; catalogue de formats et options compatibles.</w:t>
      </w:r>
    </w:p>
    <w:p>
      <w:r>
        <w:rPr>
          <w:b w:val="0"/>
        </w:rPr>
        <w:t xml:space="preserve">4. Choix organique ou sponsorisé (cette option gouverne </w:t>
      </w:r>
      <w:r>
        <w:rPr>
          <w:b/>
        </w:rPr>
        <w:t>le brief et la validation des licences</w:t>
      </w:r>
      <w:r>
        <w:rPr>
          <w:b w:val="0"/>
        </w:rPr>
        <w:t>, pas l'achat média) ; création image/carrousel/vidéo/motion ; style ; audio ; mix.</w:t>
      </w:r>
    </w:p>
    <w:p>
      <w:r>
        <w:rPr>
          <w:b w:val="0"/>
        </w:rPr>
        <w:t>5. Débrief avec agent, version du brief, estimation ; confirmation du lancement.</w:t>
      </w:r>
    </w:p>
    <w:p>
      <w:r>
        <w:rPr>
          <w:b w:val="0"/>
        </w:rPr>
        <w:t>6. Production distribuée, avancement par scène/étape, previews ; échec isolé et reprise.</w:t>
      </w:r>
    </w:p>
    <w:p>
      <w:r>
        <w:rPr>
          <w:b w:val="0"/>
        </w:rPr>
        <w:t>7. Commentaires ciblés par `scene_id`, nouvelle version ; QA automatique et revue humaine.</w:t>
      </w:r>
    </w:p>
    <w:p>
      <w:r>
        <w:rPr>
          <w:b w:val="0"/>
        </w:rPr>
        <w:t xml:space="preserve">8. Approbation du master </w:t>
      </w:r>
      <w:r>
        <w:rPr>
          <w:b/>
        </w:rPr>
        <w:t>checksum + version</w:t>
      </w:r>
      <w:r>
        <w:rPr>
          <w:b w:val="0"/>
        </w:rPr>
        <w:t xml:space="preserve"> ; transfert à Postiz ; accusé, état et historique accessibles.</w:t>
      </w:r>
    </w:p>
    <w:p>
      <w:pPr>
        <w:pStyle w:val="Heading2"/>
      </w:pPr>
      <w:r>
        <w:t>5. Parcours alternatifs</w:t>
      </w:r>
    </w:p>
    <w:p>
      <w:pPr>
        <w:pStyle w:val="ListBullet"/>
        <w:ind w:left="288"/>
      </w:pPr>
      <w:r>
        <w:rPr>
          <w:b w:val="0"/>
        </w:rPr>
        <w:t>Absence de fournisseur vidéo ou audio : option indisponible affichée avec explication ; rendu sans voix si approuvé par l'utilisateur.</w:t>
      </w:r>
    </w:p>
    <w:p>
      <w:pPr>
        <w:pStyle w:val="ListBullet"/>
        <w:ind w:left="288"/>
      </w:pPr>
      <w:r>
        <w:rPr>
          <w:b w:val="0"/>
        </w:rPr>
        <w:t>Requête de correction sur scène inexistante : refuser clairement, ne jamais modifier une scène au hasard.</w:t>
      </w:r>
    </w:p>
    <w:p>
      <w:pPr>
        <w:pStyle w:val="ListBullet"/>
        <w:ind w:left="288"/>
      </w:pPr>
      <w:r>
        <w:rPr>
          <w:b w:val="0"/>
        </w:rPr>
        <w:t>Changement de modèle pendant un run : version active au lancement figée ; nouvelle config applicable aux runs suivants sauf relance explicitement choisie.</w:t>
      </w:r>
    </w:p>
    <w:p>
      <w:pPr>
        <w:pStyle w:val="ListBullet"/>
        <w:ind w:left="288"/>
      </w:pPr>
      <w:r>
        <w:rPr>
          <w:b w:val="0"/>
        </w:rPr>
        <w:t>URL d'une marque non accessible : ne pas inventer le contenu ; demander confirmation manuelle.</w:t>
      </w:r>
    </w:p>
    <w:p>
      <w:pPr>
        <w:pStyle w:val="ListBullet"/>
        <w:ind w:left="288"/>
      </w:pPr>
      <w:r>
        <w:rPr>
          <w:b w:val="0"/>
        </w:rPr>
        <w:t>Postiz indisponible : master approuvé conservé et `TransferRecord` en attente/échec ; pas de nouvelle génération.</w:t>
      </w:r>
    </w:p>
    <w:p>
      <w:pPr>
        <w:pStyle w:val="Heading2"/>
      </w:pPr>
      <w:r>
        <w:t>6. Non-objectifs stricts V1</w:t>
      </w:r>
    </w:p>
    <w:p>
      <w:r>
        <w:rPr>
          <w:b w:val="0"/>
        </w:rPr>
        <w:t>Pas de paiement, crédits commercialisés, inscriptions publiques, gestion agences facturée, campagnes publicitaires via Ads API, analytics sociaux avancés, bibliothèque d'apps Everything LLM, agent mémoire autonome, embeddings/vecteurs, préférences auto-apprises, avatars cross-modèles garantis, publication autonome sans feu vert.</w:t>
      </w:r>
    </w:p>
    <w:p>
      <w:pPr>
        <w:pStyle w:val="Heading2"/>
      </w:pPr>
      <w:r>
        <w:t>7. Mesure du succès du pilote</w:t>
      </w:r>
    </w:p>
    <w:p>
      <w:pPr>
        <w:pStyle w:val="ListBullet"/>
        <w:ind w:left="288"/>
      </w:pPr>
      <w:r>
        <w:rPr>
          <w:b w:val="0"/>
        </w:rPr>
        <w:t xml:space="preserve">Parcours V1 complet reproductible pour au moins </w:t>
      </w:r>
      <w:r>
        <w:rPr>
          <w:b/>
        </w:rPr>
        <w:t>un format visuel statique et un format audiovisuel</w:t>
      </w:r>
      <w:r>
        <w:rPr>
          <w:b w:val="0"/>
        </w:rPr>
        <w:t>, sur comptes de test autorisés.</w:t>
      </w:r>
    </w:p>
    <w:p>
      <w:pPr>
        <w:pStyle w:val="ListBullet"/>
        <w:ind w:left="288"/>
      </w:pPr>
      <w:r>
        <w:rPr>
          <w:b w:val="0"/>
        </w:rPr>
        <w:t>Taux de réussite de chaque test P0 = 100 % ; pas de fuite de données inter-utilisateurs.</w:t>
      </w:r>
    </w:p>
    <w:p>
      <w:pPr>
        <w:pStyle w:val="ListBullet"/>
        <w:ind w:left="288"/>
      </w:pPr>
      <w:r>
        <w:rPr>
          <w:b w:val="0"/>
        </w:rPr>
        <w:t xml:space="preserve">Reprise d'un workflow après interruption, </w:t>
      </w:r>
      <w:r>
        <w:rPr>
          <w:b/>
        </w:rPr>
        <w:t>sans perte des étapes valides</w:t>
      </w:r>
      <w:r>
        <w:rPr>
          <w:b w:val="0"/>
        </w:rPr>
        <w:t>.</w:t>
      </w:r>
    </w:p>
    <w:p>
      <w:pPr>
        <w:pStyle w:val="ListBullet"/>
        <w:ind w:left="288"/>
      </w:pPr>
      <w:r>
        <w:rPr>
          <w:b w:val="0"/>
        </w:rPr>
        <w:t>Démonstration de correction ciblée `scene_id` et conservation de l'ancienne version.</w:t>
      </w:r>
    </w:p>
    <w:p>
      <w:pPr>
        <w:pStyle w:val="ListBullet"/>
        <w:ind w:left="288"/>
      </w:pPr>
      <w:r>
        <w:rPr>
          <w:b w:val="0"/>
        </w:rPr>
        <w:t>Démonstration de 2 fournisseurs interchangeables pour une capacité quand disponibles, sinon adaptateur mock certifiant le contrat + statut « provider live non testé ».</w:t>
      </w:r>
    </w:p>
    <w:p>
      <w:pPr>
        <w:pStyle w:val="ListBullet"/>
        <w:ind w:left="288"/>
      </w:pPr>
      <w:r>
        <w:rPr>
          <w:b w:val="0"/>
        </w:rPr>
        <w:t>Démonstration MCP sur 1 client IDE et 1 client cloud compatibles et autorisés, avec preuves.</w:t>
      </w:r>
    </w:p>
    <w:p>
      <w:pPr>
        <w:pStyle w:val="ListBullet"/>
        <w:ind w:left="288"/>
      </w:pPr>
      <w:r>
        <w:rPr>
          <w:b w:val="0"/>
        </w:rPr>
        <w:t>Coût par run calculable et plafond de dépense appliqué.</w:t>
      </w:r>
    </w:p>
    <w:p>
      <w:pPr>
        <w:pStyle w:val="ListBullet"/>
        <w:ind w:left="288"/>
      </w:pPr>
      <w:r>
        <w:rPr>
          <w:b w:val="0"/>
        </w:rPr>
        <w:t xml:space="preserve">Remise Postiz confirmée </w:t>
      </w:r>
      <w:r>
        <w:rPr>
          <w:b/>
        </w:rPr>
        <w:t>ou</w:t>
      </w:r>
      <w:r>
        <w:rPr>
          <w:b w:val="0"/>
        </w:rPr>
        <w:t xml:space="preserve"> non-disponibilité documentée sans succès fictif.</w:t>
      </w:r>
    </w:p>
    <w:p>
      <w:pPr>
        <w:pStyle w:val="Heading2"/>
      </w:pPr>
      <w:r>
        <w:t>8. Dépendances, hypothèses, risques</w:t>
      </w:r>
    </w:p>
    <w:p>
      <w:r>
        <w:rPr>
          <w:b w:val="0"/>
        </w:rPr>
        <w:t xml:space="preserve">Compte Postiz accessible, API / mécanisme d'import à qualifier ; droits d'exploitation sur images/voix/musique, disponibilité de fournisseurs IA par pays/tarif ; coûts GPU et temps de vidéo ; exigences évolutives par plateforme. L'architecture utilise un </w:t>
      </w:r>
      <w:r>
        <w:rPr>
          <w:b/>
        </w:rPr>
        <w:t>modular monolith</w:t>
      </w:r>
      <w:r>
        <w:rPr>
          <w:b w:val="0"/>
        </w:rPr>
        <w:t xml:space="preserve"> et des workers spécialisés ; tests d'intégration nécessaires avant de figer une implémentation concrète.</w:t>
      </w:r>
    </w:p>
    <w:p>
      <w:pPr>
        <w:pStyle w:val="Heading2"/>
      </w:pPr>
      <w:r>
        <w:t>9. Lots de livraison</w:t>
      </w:r>
    </w:p>
    <w:p>
      <w:r>
        <w:rPr>
          <w:b w:val="0"/>
        </w:rPr>
        <w:t>P0-A fondation/auth/contextes ; P0-B workflow/brief ; P0-C orchestrateur/routeur/agents ; P0-D rendu/scene-version/QA ; P0-E MCP + approbation + Postiz ; P0-F observabilité, sécurité et recette. Aucun lot ne déclenche automatiquement un déploiement public.</w:t>
      </w:r>
    </w:p>
    <w:sectPr w:rsidR="00FC693F" w:rsidRPr="0006063C" w:rsidSect="00034616">
      <w:footerReference w:type="default" r:id="rId9"/>
      <w:pgSz w:w="12240" w:h="15840"/>
      <w:pgMar w:top="1152" w:right="1238" w:bottom="1037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05058"/>
        <w:sz w:val="16"/>
      </w:rPr>
      <w:t>VULULU IA — Dossier de cadrage V1.2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30303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C1F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C1F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C1F3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3C1F3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