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hd w:fill="1E1E1E" w:val="clear"/>
        <w:spacing w:after="200" w:before="200"/>
        <w:jc w:val="center"/>
      </w:pPr>
      <w:r>
        <w:rPr>
          <w:b/>
          <w:bCs/>
          <w:color w:val="C9A84C"/>
          <w:sz w:val="56"/>
          <w:szCs w:val="56"/>
        </w:rPr>
        <w:t xml:space="preserve">ÉLITE PLACO &amp; DÉCO</w:t>
      </w:r>
    </w:p>
    <w:p>
      <w:pPr>
        <w:shd w:fill="1E1E1E" w:val="clear"/>
        <w:spacing w:after="600"/>
        <w:jc w:val="center"/>
      </w:pPr>
      <w:r>
        <w:rPr>
          <w:b/>
          <w:bCs/>
          <w:color w:val="FFFFFF"/>
          <w:sz w:val="30"/>
          <w:szCs w:val="30"/>
        </w:rPr>
        <w:t xml:space="preserve">PRIMA BTP</w:t>
      </w:r>
    </w:p>
    <w:p>
      <w:pPr>
        <w:spacing w:after="400"/>
      </w:pPr>
      <w:r>
        <w:t xml:space="preserve"/>
      </w:r>
    </w:p>
    <w:p>
      <w:pPr>
        <w:jc w:val="center"/>
      </w:pPr>
      <w:r>
        <w:rPr>
          <w:b/>
          <w:bCs/>
          <w:color w:val="1E1E1E"/>
          <w:sz w:val="40"/>
          <w:szCs w:val="40"/>
        </w:rPr>
        <w:t xml:space="preserve">CAHIER DES CHARGES</w:t>
      </w:r>
    </w:p>
    <w:p>
      <w:pPr>
        <w:spacing w:after="300"/>
        <w:jc w:val="center"/>
      </w:pPr>
      <w:r>
        <w:rPr>
          <w:i/>
          <w:iCs/>
          <w:color w:val="3A3A3A"/>
          <w:sz w:val="26"/>
          <w:szCs w:val="26"/>
        </w:rPr>
        <w:t xml:space="preserve">Application de Gestion Comptable des Chantiers</w:t>
      </w:r>
    </w:p>
    <w:p>
      <w:pPr>
        <w:spacing w:after="100"/>
        <w:jc w:val="center"/>
      </w:pPr>
      <w:r>
        <w:rPr>
          <w:b/>
          <w:bCs/>
          <w:color w:val="C9A84C"/>
          <w:sz w:val="22"/>
          <w:szCs w:val="22"/>
        </w:rPr>
        <w:t xml:space="preserve">Version 2.0 — Édition complète (MVP + Roadmap)</w:t>
      </w:r>
    </w:p>
    <w:p>
      <w:pPr>
        <w:spacing w:after="800"/>
        <w:jc w:val="center"/>
      </w:pPr>
      <w:r>
        <w:rPr>
          <w:color w:val="999999"/>
          <w:sz w:val="20"/>
          <w:szCs w:val="20"/>
        </w:rPr>
        <w:t xml:space="preserve">Juillet 2026</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E1E1E" w:val="clear"/>
            <w:tcMar>
              <w:top w:type="dxa" w:w="80"/>
              <w:left w:type="dxa" w:w="100"/>
              <w:bottom w:type="dxa" w:w="80"/>
              <w:right w:type="dxa" w:w="100"/>
            </w:tcMar>
            <w:vAlign w:val="center"/>
          </w:tcPr>
          <w:p>
            <w:r>
              <w:rPr>
                <w:b/>
                <w:bCs/>
                <w:color w:val="FFFFFF"/>
                <w:sz w:val="19"/>
                <w:szCs w:val="19"/>
              </w:rPr>
              <w:t xml:space="preserve">Information</w:t>
            </w:r>
          </w:p>
        </w:tc>
        <w:tc>
          <w:tcPr>
            <w:tcW w:type="dxa" w:w="6300"/>
            <w:shd w:fill="1E1E1E" w:val="clear"/>
            <w:tcMar>
              <w:top w:type="dxa" w:w="80"/>
              <w:left w:type="dxa" w:w="100"/>
              <w:bottom w:type="dxa" w:w="80"/>
              <w:right w:type="dxa" w:w="100"/>
            </w:tcMar>
            <w:vAlign w:val="center"/>
          </w:tcPr>
          <w:p>
            <w:r>
              <w:rPr>
                <w:b/>
                <w:bCs/>
                <w:color w:val="FFFFFF"/>
                <w:sz w:val="19"/>
                <w:szCs w:val="19"/>
              </w:rPr>
              <w:t xml:space="preserve">Détail</w:t>
            </w:r>
          </w:p>
        </w:tc>
      </w:tr>
      <w:tr>
        <w:tc>
          <w:tcPr>
            <w:tcW w:type="dxa" w:w="3200"/>
            <w:shd w:fill="FFFFFF" w:val="clear"/>
            <w:tcMar>
              <w:top w:type="dxa" w:w="70"/>
              <w:left w:type="dxa" w:w="100"/>
              <w:bottom w:type="dxa" w:w="70"/>
              <w:right w:type="dxa" w:w="100"/>
            </w:tcMar>
            <w:vAlign w:val="center"/>
          </w:tcPr>
          <w:p>
            <w:r>
              <w:rPr>
                <w:color w:val="3A3A3A"/>
                <w:sz w:val="19"/>
                <w:szCs w:val="19"/>
              </w:rPr>
              <w:t xml:space="preserve">Nom commercial</w:t>
            </w:r>
          </w:p>
        </w:tc>
        <w:tc>
          <w:tcPr>
            <w:tcW w:type="dxa" w:w="6300"/>
            <w:shd w:fill="FFFFFF" w:val="clear"/>
            <w:tcMar>
              <w:top w:type="dxa" w:w="70"/>
              <w:left w:type="dxa" w:w="100"/>
              <w:bottom w:type="dxa" w:w="70"/>
              <w:right w:type="dxa" w:w="100"/>
            </w:tcMar>
            <w:vAlign w:val="center"/>
          </w:tcPr>
          <w:p>
            <w:r>
              <w:rPr>
                <w:color w:val="3A3A3A"/>
                <w:sz w:val="19"/>
                <w:szCs w:val="19"/>
              </w:rPr>
              <w:t xml:space="preserve">Élite Placo &amp; Déco</w:t>
            </w:r>
          </w:p>
        </w:tc>
      </w:tr>
      <w:tr>
        <w:tc>
          <w:tcPr>
            <w:tcW w:type="dxa" w:w="3200"/>
            <w:shd w:fill="EDEDED" w:val="clear"/>
            <w:tcMar>
              <w:top w:type="dxa" w:w="70"/>
              <w:left w:type="dxa" w:w="100"/>
              <w:bottom w:type="dxa" w:w="70"/>
              <w:right w:type="dxa" w:w="100"/>
            </w:tcMar>
            <w:vAlign w:val="center"/>
          </w:tcPr>
          <w:p>
            <w:r>
              <w:rPr>
                <w:color w:val="3A3A3A"/>
                <w:sz w:val="19"/>
                <w:szCs w:val="19"/>
              </w:rPr>
              <w:t xml:space="preserve">Entité légale</w:t>
            </w:r>
          </w:p>
        </w:tc>
        <w:tc>
          <w:tcPr>
            <w:tcW w:type="dxa" w:w="6300"/>
            <w:shd w:fill="EDEDED" w:val="clear"/>
            <w:tcMar>
              <w:top w:type="dxa" w:w="70"/>
              <w:left w:type="dxa" w:w="100"/>
              <w:bottom w:type="dxa" w:w="70"/>
              <w:right w:type="dxa" w:w="100"/>
            </w:tcMar>
            <w:vAlign w:val="center"/>
          </w:tcPr>
          <w:p>
            <w:r>
              <w:rPr>
                <w:color w:val="3A3A3A"/>
                <w:sz w:val="19"/>
                <w:szCs w:val="19"/>
              </w:rPr>
              <w:t xml:space="preserve">PRIMA BTP</w:t>
            </w:r>
          </w:p>
        </w:tc>
      </w:tr>
      <w:tr>
        <w:tc>
          <w:tcPr>
            <w:tcW w:type="dxa" w:w="3200"/>
            <w:shd w:fill="FFFFFF" w:val="clear"/>
            <w:tcMar>
              <w:top w:type="dxa" w:w="70"/>
              <w:left w:type="dxa" w:w="100"/>
              <w:bottom w:type="dxa" w:w="70"/>
              <w:right w:type="dxa" w:w="100"/>
            </w:tcMar>
            <w:vAlign w:val="center"/>
          </w:tcPr>
          <w:p>
            <w:r>
              <w:rPr>
                <w:color w:val="3A3A3A"/>
                <w:sz w:val="19"/>
                <w:szCs w:val="19"/>
              </w:rPr>
              <w:t xml:space="preserve">Dirigeant</w:t>
            </w:r>
          </w:p>
        </w:tc>
        <w:tc>
          <w:tcPr>
            <w:tcW w:type="dxa" w:w="6300"/>
            <w:shd w:fill="FFFFFF" w:val="clear"/>
            <w:tcMar>
              <w:top w:type="dxa" w:w="70"/>
              <w:left w:type="dxa" w:w="100"/>
              <w:bottom w:type="dxa" w:w="70"/>
              <w:right w:type="dxa" w:w="100"/>
            </w:tcMar>
            <w:vAlign w:val="center"/>
          </w:tcPr>
          <w:p>
            <w:r>
              <w:rPr>
                <w:color w:val="3A3A3A"/>
                <w:sz w:val="19"/>
                <w:szCs w:val="19"/>
              </w:rPr>
              <w:t xml:space="preserve">Raoul Michel</w:t>
            </w:r>
          </w:p>
        </w:tc>
      </w:tr>
      <w:tr>
        <w:tc>
          <w:tcPr>
            <w:tcW w:type="dxa" w:w="3200"/>
            <w:shd w:fill="EDEDED" w:val="clear"/>
            <w:tcMar>
              <w:top w:type="dxa" w:w="70"/>
              <w:left w:type="dxa" w:w="100"/>
              <w:bottom w:type="dxa" w:w="70"/>
              <w:right w:type="dxa" w:w="100"/>
            </w:tcMar>
            <w:vAlign w:val="center"/>
          </w:tcPr>
          <w:p>
            <w:r>
              <w:rPr>
                <w:color w:val="3A3A3A"/>
                <w:sz w:val="19"/>
                <w:szCs w:val="19"/>
              </w:rPr>
              <w:t xml:space="preserve">Téléphone</w:t>
            </w:r>
          </w:p>
        </w:tc>
        <w:tc>
          <w:tcPr>
            <w:tcW w:type="dxa" w:w="6300"/>
            <w:shd w:fill="EDEDED" w:val="clear"/>
            <w:tcMar>
              <w:top w:type="dxa" w:w="70"/>
              <w:left w:type="dxa" w:w="100"/>
              <w:bottom w:type="dxa" w:w="70"/>
              <w:right w:type="dxa" w:w="100"/>
            </w:tcMar>
            <w:vAlign w:val="center"/>
          </w:tcPr>
          <w:p>
            <w:r>
              <w:rPr>
                <w:color w:val="3A3A3A"/>
                <w:sz w:val="19"/>
                <w:szCs w:val="19"/>
              </w:rPr>
              <w:t xml:space="preserve">+237 688 92 12 13</w:t>
            </w:r>
          </w:p>
        </w:tc>
      </w:tr>
      <w:tr>
        <w:tc>
          <w:tcPr>
            <w:tcW w:type="dxa" w:w="3200"/>
            <w:shd w:fill="FFFFFF" w:val="clear"/>
            <w:tcMar>
              <w:top w:type="dxa" w:w="70"/>
              <w:left w:type="dxa" w:w="100"/>
              <w:bottom w:type="dxa" w:w="70"/>
              <w:right w:type="dxa" w:w="100"/>
            </w:tcMar>
            <w:vAlign w:val="center"/>
          </w:tcPr>
          <w:p>
            <w:r>
              <w:rPr>
                <w:color w:val="3A3A3A"/>
                <w:sz w:val="19"/>
                <w:szCs w:val="19"/>
              </w:rPr>
              <w:t xml:space="preserve">Email</w:t>
            </w:r>
          </w:p>
        </w:tc>
        <w:tc>
          <w:tcPr>
            <w:tcW w:type="dxa" w:w="6300"/>
            <w:shd w:fill="FFFFFF" w:val="clear"/>
            <w:tcMar>
              <w:top w:type="dxa" w:w="70"/>
              <w:left w:type="dxa" w:w="100"/>
              <w:bottom w:type="dxa" w:w="70"/>
              <w:right w:type="dxa" w:w="100"/>
            </w:tcMar>
            <w:vAlign w:val="center"/>
          </w:tcPr>
          <w:p>
            <w:r>
              <w:rPr>
                <w:color w:val="3A3A3A"/>
                <w:sz w:val="19"/>
                <w:szCs w:val="19"/>
              </w:rPr>
              <w:t xml:space="preserve">raoulmichel20@gmail.com</w:t>
            </w:r>
          </w:p>
        </w:tc>
      </w:tr>
      <w:tr>
        <w:tc>
          <w:tcPr>
            <w:tcW w:type="dxa" w:w="3200"/>
            <w:shd w:fill="EDEDED" w:val="clear"/>
            <w:tcMar>
              <w:top w:type="dxa" w:w="70"/>
              <w:left w:type="dxa" w:w="100"/>
              <w:bottom w:type="dxa" w:w="70"/>
              <w:right w:type="dxa" w:w="100"/>
            </w:tcMar>
            <w:vAlign w:val="center"/>
          </w:tcPr>
          <w:p>
            <w:r>
              <w:rPr>
                <w:color w:val="3A3A3A"/>
                <w:sz w:val="19"/>
                <w:szCs w:val="19"/>
              </w:rPr>
              <w:t xml:space="preserve">Ville</w:t>
            </w:r>
          </w:p>
        </w:tc>
        <w:tc>
          <w:tcPr>
            <w:tcW w:type="dxa" w:w="6300"/>
            <w:shd w:fill="EDEDED" w:val="clear"/>
            <w:tcMar>
              <w:top w:type="dxa" w:w="70"/>
              <w:left w:type="dxa" w:w="100"/>
              <w:bottom w:type="dxa" w:w="70"/>
              <w:right w:type="dxa" w:w="100"/>
            </w:tcMar>
            <w:vAlign w:val="center"/>
          </w:tcPr>
          <w:p>
            <w:r>
              <w:rPr>
                <w:color w:val="3A3A3A"/>
                <w:sz w:val="19"/>
                <w:szCs w:val="19"/>
              </w:rPr>
              <w:t xml:space="preserve">Douala, Cameroun</w:t>
            </w:r>
          </w:p>
        </w:tc>
      </w:tr>
      <w:tr>
        <w:tc>
          <w:tcPr>
            <w:tcW w:type="dxa" w:w="3200"/>
            <w:shd w:fill="FFFFFF" w:val="clear"/>
            <w:tcMar>
              <w:top w:type="dxa" w:w="70"/>
              <w:left w:type="dxa" w:w="100"/>
              <w:bottom w:type="dxa" w:w="70"/>
              <w:right w:type="dxa" w:w="100"/>
            </w:tcMar>
            <w:vAlign w:val="center"/>
          </w:tcPr>
          <w:p>
            <w:r>
              <w:rPr>
                <w:color w:val="3A3A3A"/>
                <w:sz w:val="19"/>
                <w:szCs w:val="19"/>
              </w:rPr>
              <w:t xml:space="preserve">Zone d'activité</w:t>
            </w:r>
          </w:p>
        </w:tc>
        <w:tc>
          <w:tcPr>
            <w:tcW w:type="dxa" w:w="6300"/>
            <w:shd w:fill="FFFFFF" w:val="clear"/>
            <w:tcMar>
              <w:top w:type="dxa" w:w="70"/>
              <w:left w:type="dxa" w:w="100"/>
              <w:bottom w:type="dxa" w:w="70"/>
              <w:right w:type="dxa" w:w="100"/>
            </w:tcMar>
            <w:vAlign w:val="center"/>
          </w:tcPr>
          <w:p>
            <w:r>
              <w:rPr>
                <w:color w:val="3A3A3A"/>
                <w:sz w:val="19"/>
                <w:szCs w:val="19"/>
              </w:rPr>
              <w:t xml:space="preserve">Nationale (tout le Cameroun)</w:t>
            </w:r>
          </w:p>
        </w:tc>
      </w:tr>
    </w:tbl>
    <w:p>
      <w:r>
        <w:br w:type="page"/>
      </w:r>
    </w:p>
    <w:p>
      <w:pPr>
        <w:pStyle w:val="Heading1"/>
        <w:pBdr>
          <w:bottom w:val="single" w:color="C9A84C" w:sz="12" w:space="4"/>
        </w:pBdr>
        <w:spacing w:after="200" w:before="400"/>
      </w:pPr>
      <w:r>
        <w:rPr>
          <w:b/>
          <w:bCs/>
          <w:color w:val="1E1E1E"/>
          <w:sz w:val="30"/>
          <w:szCs w:val="30"/>
        </w:rPr>
        <w:t xml:space="preserve">1. CONTEXTE &amp; OBJECTIF</w:t>
      </w:r>
    </w:p>
    <w:p>
      <w:pPr>
        <w:spacing w:after="120"/>
      </w:pPr>
      <w:r>
        <w:rPr>
          <w:color w:val="3A3A3A"/>
          <w:sz w:val="21"/>
          <w:szCs w:val="21"/>
        </w:rPr>
        <w:t xml:space="preserve">Élite Placo &amp; Déco (entité légale : PRIMA BTP) est une entreprise spécialisée dans la réalisation de plafonds en placoplatre, la décoration intérieure et les travaux de finition, basée à Douala et opérant sur l'ensemble du territoire camerounais.</w:t>
      </w:r>
    </w:p>
    <w:p>
      <w:pPr>
        <w:spacing w:after="120"/>
      </w:pPr>
      <w:r>
        <w:rPr>
          <w:color w:val="3A3A3A"/>
          <w:sz w:val="21"/>
          <w:szCs w:val="21"/>
        </w:rPr>
        <w:t xml:space="preserve">Le dirigeant gère simultanément plusieurs chantiers avec des ouvriers payés sur site. Il a besoin d'une application mobile et web pour suivre en temps réel la comptabilité de chaque chantier, savoir si un chantier est rentable ou non, et avoir une vue globale sur la santé financière de l'entreprise.</w:t>
      </w:r>
    </w:p>
    <w:p>
      <w:pPr>
        <w:spacing w:after="120"/>
      </w:pPr>
      <w:r>
        <w:rPr>
          <w:color w:val="3A3A3A"/>
          <w:sz w:val="21"/>
          <w:szCs w:val="21"/>
        </w:rPr>
        <w:t xml:space="preserve">Cette version 2 du cahier des charges enrichit le périmètre initial avec un site vitrine public et un espace client sécurisé, dans un objectif de renforcement de la confiance : chaque client doit pouvoir suivre l'avancement de son chantier et la transparence des paiements, en complément du suivi comptable interne.</w:t>
      </w:r>
    </w:p>
    <w:p>
      <w:pPr>
        <w:pStyle w:val="Heading1"/>
        <w:pBdr>
          <w:bottom w:val="single" w:color="C9A84C" w:sz="12" w:space="4"/>
        </w:pBdr>
        <w:spacing w:after="200" w:before="400"/>
      </w:pPr>
      <w:r>
        <w:rPr>
          <w:b/>
          <w:bCs/>
          <w:color w:val="1E1E1E"/>
          <w:sz w:val="30"/>
          <w:szCs w:val="30"/>
        </w:rPr>
        <w:t xml:space="preserve">2. PÉRIMÈTRE DU PROJET — MVP &amp; ROADMAP</w:t>
      </w:r>
    </w:p>
    <w:p>
      <w:pPr>
        <w:spacing w:after="120"/>
      </w:pPr>
      <w:r>
        <w:rPr>
          <w:color w:val="3A3A3A"/>
          <w:sz w:val="21"/>
          <w:szCs w:val="21"/>
        </w:rPr>
        <w:t xml:space="preserve">Afin de livrer une première version utilisable rapidement sur le terrain, les fonctionnalités sont réparties entre un MVP (Minimum Viable Product) et une Roadmap de fonctionnalités futures. Cette répartition permet de prioriser la valeur immédiate (suivi financier, transparence client) sans bloquer le développement sur des fonctionnalités secondaires.</w:t>
      </w:r>
    </w:p>
    <w:p>
      <w:pPr>
        <w:pStyle w:val="Heading3"/>
        <w:spacing w:after="100" w:before="200"/>
      </w:pPr>
      <w:r>
        <w:rPr>
          <w:b/>
          <w:bCs/>
          <w:color w:val="1E1E1E"/>
          <w:sz w:val="22"/>
          <w:szCs w:val="22"/>
        </w:rPr>
        <w:t xml:space="preserve">Inclus dans le MVP</w:t>
      </w:r>
    </w:p>
    <w:p>
      <w:pPr>
        <w:pStyle w:val="ListParagraph"/>
        <w:numPr>
          <w:ilvl w:val="0"/>
          <w:numId w:val="2"/>
        </w:numPr>
        <w:spacing w:after="60"/>
      </w:pPr>
      <w:r>
        <w:rPr>
          <w:color w:val="3A3A3A"/>
          <w:sz w:val="21"/>
          <w:szCs w:val="21"/>
        </w:rPr>
        <w:t xml:space="preserve">Modules 1 à 6 : gestion des chantiers, suivi financier, calcul des matériaux, tableau de bord, fiche de métrage, suivi des ouvriers</w:t>
      </w:r>
    </w:p>
    <w:p>
      <w:pPr>
        <w:pStyle w:val="ListParagraph"/>
        <w:numPr>
          <w:ilvl w:val="0"/>
          <w:numId w:val="2"/>
        </w:numPr>
        <w:spacing w:after="60"/>
      </w:pPr>
      <w:r>
        <w:rPr>
          <w:color w:val="3A3A3A"/>
          <w:sz w:val="21"/>
          <w:szCs w:val="21"/>
        </w:rPr>
        <w:t xml:space="preserve">Module 7 : site vitrine public + espace client (lecture seule, par chantier)</w:t>
      </w:r>
    </w:p>
    <w:p>
      <w:pPr>
        <w:pStyle w:val="ListParagraph"/>
        <w:numPr>
          <w:ilvl w:val="0"/>
          <w:numId w:val="2"/>
        </w:numPr>
        <w:spacing w:after="60"/>
      </w:pPr>
      <w:r>
        <w:rPr>
          <w:color w:val="3A3A3A"/>
          <w:sz w:val="21"/>
          <w:szCs w:val="21"/>
        </w:rPr>
        <w:t xml:space="preserve">Un seul compte utilisateur interne (le dirigeant), avec accès complet</w:t>
      </w:r>
    </w:p>
    <w:p>
      <w:pPr>
        <w:pStyle w:val="ListParagraph"/>
        <w:numPr>
          <w:ilvl w:val="0"/>
          <w:numId w:val="2"/>
        </w:numPr>
        <w:spacing w:after="60"/>
      </w:pPr>
      <w:r>
        <w:rPr>
          <w:color w:val="3A3A3A"/>
          <w:sz w:val="21"/>
          <w:szCs w:val="21"/>
        </w:rPr>
        <w:t xml:space="preserve">Mode hors-ligne avec synchronisation automatique</w:t>
      </w:r>
    </w:p>
    <w:p>
      <w:pPr>
        <w:pStyle w:val="Heading3"/>
        <w:spacing w:after="100" w:before="200"/>
      </w:pPr>
      <w:r>
        <w:rPr>
          <w:b/>
          <w:bCs/>
          <w:color w:val="1E1E1E"/>
          <w:sz w:val="22"/>
          <w:szCs w:val="22"/>
        </w:rPr>
        <w:t xml:space="preserve">Repoussé en Roadmap (post-MVP)</w:t>
      </w:r>
    </w:p>
    <w:p>
      <w:pPr>
        <w:pStyle w:val="ListParagraph"/>
        <w:numPr>
          <w:ilvl w:val="0"/>
          <w:numId w:val="2"/>
        </w:numPr>
        <w:spacing w:after="60"/>
      </w:pPr>
      <w:r>
        <w:rPr>
          <w:color w:val="3A3A3A"/>
          <w:sz w:val="21"/>
          <w:szCs w:val="21"/>
        </w:rPr>
        <w:t xml:space="preserve">Rôles et permissions multi-utilisateurs internes (chef de chantier, comptable...)</w:t>
      </w:r>
    </w:p>
    <w:p>
      <w:pPr>
        <w:pStyle w:val="ListParagraph"/>
        <w:numPr>
          <w:ilvl w:val="0"/>
          <w:numId w:val="2"/>
        </w:numPr>
        <w:spacing w:after="60"/>
      </w:pPr>
      <w:r>
        <w:rPr>
          <w:color w:val="3A3A3A"/>
          <w:sz w:val="21"/>
          <w:szCs w:val="21"/>
        </w:rPr>
        <w:t xml:space="preserve">Suivi de tâches avancé façon Jira (dépendances, priorités, historique détaillé)</w:t>
      </w:r>
    </w:p>
    <w:p>
      <w:pPr>
        <w:pStyle w:val="ListParagraph"/>
        <w:numPr>
          <w:ilvl w:val="0"/>
          <w:numId w:val="2"/>
        </w:numPr>
        <w:spacing w:after="60"/>
      </w:pPr>
      <w:r>
        <w:rPr>
          <w:color w:val="3A3A3A"/>
          <w:sz w:val="21"/>
          <w:szCs w:val="21"/>
        </w:rPr>
        <w:t xml:space="preserve">Génération automatique de devis, planning multi-chantiers, module fournisseurs, etc. (voir section 8)</w:t>
      </w:r>
    </w:p>
    <w:p>
      <w:pPr>
        <w:spacing w:after="120"/>
      </w:pPr>
      <w:r>
        <w:rPr>
          <w:color w:val="3A3A3A"/>
          <w:sz w:val="21"/>
          <w:szCs w:val="21"/>
        </w:rPr>
        <w:t xml:space="preserve">Cette approche est détaillée à titre de recommandation ; le dirigeant reste décisionnaire final sur l'ordre de priorité.</w:t>
      </w:r>
    </w:p>
    <w:p>
      <w:r>
        <w:br w:type="page"/>
      </w:r>
    </w:p>
    <w:p>
      <w:pPr>
        <w:pStyle w:val="Heading1"/>
        <w:pBdr>
          <w:bottom w:val="single" w:color="C9A84C" w:sz="12" w:space="4"/>
        </w:pBdr>
        <w:spacing w:after="200" w:before="400"/>
      </w:pPr>
      <w:r>
        <w:rPr>
          <w:b/>
          <w:bCs/>
          <w:color w:val="1E1E1E"/>
          <w:sz w:val="30"/>
          <w:szCs w:val="30"/>
        </w:rPr>
        <w:t xml:space="preserve">3. FONCTIONNALITÉS — MODULES PRINCIPAUX</w:t>
      </w:r>
    </w:p>
    <w:p>
      <w:pPr>
        <w:pStyle w:val="Heading2"/>
        <w:spacing w:after="150" w:before="300"/>
      </w:pPr>
      <w:r>
        <w:rPr>
          <w:b/>
          <w:bCs/>
          <w:color w:val="C9A84C"/>
          <w:sz w:val="24"/>
          <w:szCs w:val="24"/>
        </w:rPr>
        <w:t xml:space="preserve">MODULE 1 — Gestion des chantiers</w:t>
      </w:r>
    </w:p>
    <w:p>
      <w:pPr>
        <w:shd w:fill="4CAF7D" w:val="clear"/>
        <w:spacing w:after="150"/>
      </w:pPr>
      <w:r>
        <w:rPr>
          <w:b/>
          <w:bCs/>
          <w:color w:val="FFFFFF"/>
          <w:sz w:val="18"/>
          <w:szCs w:val="18"/>
        </w:rPr>
        <w:t xml:space="preserve">  MVP  </w:t>
      </w:r>
    </w:p>
    <w:p>
      <w:pPr>
        <w:pStyle w:val="ListParagraph"/>
        <w:numPr>
          <w:ilvl w:val="0"/>
          <w:numId w:val="2"/>
        </w:numPr>
        <w:spacing w:after="60"/>
      </w:pPr>
      <w:r>
        <w:rPr>
          <w:color w:val="3A3A3A"/>
          <w:sz w:val="21"/>
          <w:szCs w:val="21"/>
        </w:rPr>
        <w:t xml:space="preserve">Créer un nouveau chantier : nom client, ville, type de travaux, statut</w:t>
      </w:r>
    </w:p>
    <w:p>
      <w:pPr>
        <w:pStyle w:val="ListParagraph"/>
        <w:numPr>
          <w:ilvl w:val="0"/>
          <w:numId w:val="2"/>
        </w:numPr>
        <w:spacing w:after="60"/>
      </w:pPr>
      <w:r>
        <w:rPr>
          <w:color w:val="3A3A3A"/>
          <w:sz w:val="21"/>
          <w:szCs w:val="21"/>
        </w:rPr>
        <w:t xml:space="preserve">Statuts disponibles : À venir / En cours / Terminé / En pause</w:t>
      </w:r>
    </w:p>
    <w:p>
      <w:pPr>
        <w:pStyle w:val="ListParagraph"/>
        <w:numPr>
          <w:ilvl w:val="0"/>
          <w:numId w:val="2"/>
        </w:numPr>
        <w:spacing w:after="60"/>
      </w:pPr>
      <w:r>
        <w:rPr>
          <w:color w:val="3A3A3A"/>
          <w:sz w:val="21"/>
          <w:szCs w:val="21"/>
        </w:rPr>
        <w:t xml:space="preserve">Modifier les informations d'un chantier à tout moment</w:t>
      </w:r>
    </w:p>
    <w:p>
      <w:pPr>
        <w:pStyle w:val="ListParagraph"/>
        <w:numPr>
          <w:ilvl w:val="0"/>
          <w:numId w:val="2"/>
        </w:numPr>
        <w:spacing w:after="60"/>
      </w:pPr>
      <w:r>
        <w:rPr>
          <w:color w:val="3A3A3A"/>
          <w:sz w:val="21"/>
          <w:szCs w:val="21"/>
        </w:rPr>
        <w:t xml:space="preserve">Archiver un chantier terminé</w:t>
      </w:r>
    </w:p>
    <w:p>
      <w:pPr>
        <w:pStyle w:val="ListParagraph"/>
        <w:numPr>
          <w:ilvl w:val="0"/>
          <w:numId w:val="2"/>
        </w:numPr>
        <w:spacing w:after="60"/>
      </w:pPr>
      <w:r>
        <w:rPr>
          <w:color w:val="3A3A3A"/>
          <w:sz w:val="21"/>
          <w:szCs w:val="21"/>
        </w:rPr>
        <w:t xml:space="preserve">Afficher la liste de tous les chantiers avec leur statut en temps réel</w:t>
      </w:r>
    </w:p>
    <w:p>
      <w:pPr>
        <w:pStyle w:val="Heading2"/>
        <w:spacing w:after="150" w:before="300"/>
      </w:pPr>
      <w:r>
        <w:rPr>
          <w:b/>
          <w:bCs/>
          <w:color w:val="C9A84C"/>
          <w:sz w:val="24"/>
          <w:szCs w:val="24"/>
        </w:rPr>
        <w:t xml:space="preserve">MODULE 2 — Suivi financier par chantier</w:t>
      </w:r>
    </w:p>
    <w:p>
      <w:pPr>
        <w:shd w:fill="4CAF7D" w:val="clear"/>
        <w:spacing w:after="150"/>
      </w:pPr>
      <w:r>
        <w:rPr>
          <w:b/>
          <w:bCs/>
          <w:color w:val="FFFFFF"/>
          <w:sz w:val="18"/>
          <w:szCs w:val="18"/>
        </w:rPr>
        <w:t xml:space="preserve">  MVP  </w:t>
      </w:r>
    </w:p>
    <w:p>
      <w:pPr>
        <w:pStyle w:val="Heading3"/>
        <w:spacing w:after="100" w:before="200"/>
      </w:pPr>
      <w:r>
        <w:rPr>
          <w:b/>
          <w:bCs/>
          <w:color w:val="1E1E1E"/>
          <w:sz w:val="22"/>
          <w:szCs w:val="22"/>
        </w:rPr>
        <w:t xml:space="preserve">Recettes</w:t>
      </w:r>
    </w:p>
    <w:p>
      <w:pPr>
        <w:pStyle w:val="ListParagraph"/>
        <w:numPr>
          <w:ilvl w:val="0"/>
          <w:numId w:val="2"/>
        </w:numPr>
        <w:spacing w:after="60"/>
      </w:pPr>
      <w:r>
        <w:rPr>
          <w:color w:val="3A3A3A"/>
          <w:sz w:val="21"/>
          <w:szCs w:val="21"/>
        </w:rPr>
        <w:t xml:space="preserve">Saisir le montant du devis signé</w:t>
      </w:r>
    </w:p>
    <w:p>
      <w:pPr>
        <w:pStyle w:val="ListParagraph"/>
        <w:numPr>
          <w:ilvl w:val="0"/>
          <w:numId w:val="2"/>
        </w:numPr>
        <w:spacing w:after="60"/>
      </w:pPr>
      <w:r>
        <w:rPr>
          <w:color w:val="3A3A3A"/>
          <w:sz w:val="21"/>
          <w:szCs w:val="21"/>
        </w:rPr>
        <w:t xml:space="preserve">Enregistrer chaque encaissement reçu : date, montant, nature (acompte / versement / solde)</w:t>
      </w:r>
    </w:p>
    <w:p>
      <w:pPr>
        <w:pStyle w:val="ListParagraph"/>
        <w:numPr>
          <w:ilvl w:val="0"/>
          <w:numId w:val="2"/>
        </w:numPr>
        <w:spacing w:after="60"/>
      </w:pPr>
      <w:r>
        <w:rPr>
          <w:color w:val="3A3A3A"/>
          <w:sz w:val="21"/>
          <w:szCs w:val="21"/>
        </w:rPr>
        <w:t xml:space="preserve">Calculer automatiquement le reste à encaisser</w:t>
      </w:r>
    </w:p>
    <w:p>
      <w:pPr>
        <w:pStyle w:val="Heading3"/>
        <w:spacing w:after="100" w:before="200"/>
      </w:pPr>
      <w:r>
        <w:rPr>
          <w:b/>
          <w:bCs/>
          <w:color w:val="1E1E1E"/>
          <w:sz w:val="22"/>
          <w:szCs w:val="22"/>
        </w:rPr>
        <w:t xml:space="preserve">Dépenses</w:t>
      </w:r>
    </w:p>
    <w:p>
      <w:pPr>
        <w:pStyle w:val="ListParagraph"/>
        <w:numPr>
          <w:ilvl w:val="0"/>
          <w:numId w:val="2"/>
        </w:numPr>
        <w:spacing w:after="60"/>
      </w:pPr>
      <w:r>
        <w:rPr>
          <w:color w:val="3A3A3A"/>
          <w:sz w:val="21"/>
          <w:szCs w:val="21"/>
        </w:rPr>
        <w:t xml:space="preserve">Enregistrer chaque dépense : date, montant, catégorie, description</w:t>
      </w:r>
    </w:p>
    <w:p>
      <w:pPr>
        <w:pStyle w:val="ListParagraph"/>
        <w:numPr>
          <w:ilvl w:val="0"/>
          <w:numId w:val="2"/>
        </w:numPr>
        <w:spacing w:after="60"/>
      </w:pPr>
      <w:r>
        <w:rPr>
          <w:color w:val="3A3A3A"/>
          <w:sz w:val="21"/>
          <w:szCs w:val="21"/>
        </w:rPr>
        <w:t xml:space="preserve">Catégories : Matériaux BA13 — Profilés/Ossature — Visserie — Peinture/Enduit — Transport — Main d'œuvre — Sous-traitant — Location matériel — Divers</w:t>
      </w:r>
    </w:p>
    <w:p>
      <w:pPr>
        <w:pStyle w:val="ListParagraph"/>
        <w:numPr>
          <w:ilvl w:val="0"/>
          <w:numId w:val="2"/>
        </w:numPr>
        <w:spacing w:after="60"/>
      </w:pPr>
      <w:r>
        <w:rPr>
          <w:color w:val="3A3A3A"/>
          <w:sz w:val="21"/>
          <w:szCs w:val="21"/>
        </w:rPr>
        <w:t xml:space="preserve">Modifier ou supprimer une dépense</w:t>
      </w:r>
    </w:p>
    <w:p>
      <w:pPr>
        <w:pStyle w:val="Heading3"/>
        <w:spacing w:after="100" w:before="200"/>
      </w:pPr>
      <w:r>
        <w:rPr>
          <w:b/>
          <w:bCs/>
          <w:color w:val="1E1E1E"/>
          <w:sz w:val="22"/>
          <w:szCs w:val="22"/>
        </w:rPr>
        <w:t xml:space="preserve">Calculs automatiques par chantier</w:t>
      </w:r>
    </w:p>
    <w:p>
      <w:pPr>
        <w:pStyle w:val="ListParagraph"/>
        <w:numPr>
          <w:ilvl w:val="0"/>
          <w:numId w:val="2"/>
        </w:numPr>
        <w:spacing w:after="60"/>
      </w:pPr>
      <w:r>
        <w:rPr>
          <w:color w:val="3A3A3A"/>
          <w:sz w:val="21"/>
          <w:szCs w:val="21"/>
        </w:rPr>
        <w:t xml:space="preserve">Total encaissé | Total dépenses | Résultat net (encaissé − dépenses)</w:t>
      </w:r>
    </w:p>
    <w:p>
      <w:pPr>
        <w:pStyle w:val="ListParagraph"/>
        <w:numPr>
          <w:ilvl w:val="0"/>
          <w:numId w:val="2"/>
        </w:numPr>
        <w:spacing w:after="60"/>
      </w:pPr>
      <w:r>
        <w:rPr>
          <w:color w:val="3A3A3A"/>
          <w:sz w:val="21"/>
          <w:szCs w:val="21"/>
        </w:rPr>
        <w:t xml:space="preserve">Marge brute en % par rapport au devis signé</w:t>
      </w:r>
    </w:p>
    <w:p>
      <w:pPr>
        <w:pStyle w:val="ListParagraph"/>
        <w:numPr>
          <w:ilvl w:val="0"/>
          <w:numId w:val="2"/>
        </w:numPr>
        <w:spacing w:after="60"/>
      </w:pPr>
      <w:r>
        <w:rPr>
          <w:color w:val="3A3A3A"/>
          <w:sz w:val="21"/>
          <w:szCs w:val="21"/>
        </w:rPr>
        <w:t xml:space="preserve">Indicateur visuel : Bonne marge (vert) / Marge faible (orange) / Perte (rouge)</w:t>
      </w:r>
    </w:p>
    <w:p>
      <w:pPr>
        <w:pStyle w:val="Heading2"/>
        <w:spacing w:after="150" w:before="300"/>
      </w:pPr>
      <w:r>
        <w:rPr>
          <w:b/>
          <w:bCs/>
          <w:color w:val="C9A84C"/>
          <w:sz w:val="24"/>
          <w:szCs w:val="24"/>
        </w:rPr>
        <w:t xml:space="preserve">MODULE 3 — Calcul automatique des matériaux</w:t>
      </w:r>
    </w:p>
    <w:p>
      <w:pPr>
        <w:shd w:fill="4CAF7D" w:val="clear"/>
        <w:spacing w:after="150"/>
      </w:pPr>
      <w:r>
        <w:rPr>
          <w:b/>
          <w:bCs/>
          <w:color w:val="FFFFFF"/>
          <w:sz w:val="18"/>
          <w:szCs w:val="18"/>
        </w:rPr>
        <w:t xml:space="preserve">  MVP — enrichi  </w:t>
      </w:r>
    </w:p>
    <w:p>
      <w:pPr>
        <w:spacing w:after="120"/>
      </w:pPr>
      <w:r>
        <w:rPr>
          <w:i/>
          <w:iCs/>
          <w:color w:val="3A3A3A"/>
          <w:sz w:val="21"/>
          <w:szCs w:val="21"/>
        </w:rPr>
        <w:t xml:space="preserve">Évolution v2 : afin de s'adapter aux variations de dimensions et de prix selon les fournisseurs, un catalogue de matériaux configurable est introduit en amont du calcul.</w:t>
      </w:r>
    </w:p>
    <w:p>
      <w:pPr>
        <w:pStyle w:val="Heading3"/>
        <w:spacing w:after="100" w:before="200"/>
      </w:pPr>
      <w:r>
        <w:rPr>
          <w:b/>
          <w:bCs/>
          <w:color w:val="1E1E1E"/>
          <w:sz w:val="22"/>
          <w:szCs w:val="22"/>
        </w:rPr>
        <w:t xml:space="preserve">3.1 — Catalogue Matériaux (nouveau)</w:t>
      </w:r>
    </w:p>
    <w:p>
      <w:pPr>
        <w:pStyle w:val="ListParagraph"/>
        <w:numPr>
          <w:ilvl w:val="0"/>
          <w:numId w:val="2"/>
        </w:numPr>
        <w:spacing w:after="60"/>
      </w:pPr>
      <w:r>
        <w:rPr>
          <w:color w:val="3A3A3A"/>
          <w:sz w:val="21"/>
          <w:szCs w:val="21"/>
        </w:rPr>
        <w:t xml:space="preserve">Interface de configuration où le dirigeant renseigne, pour chaque matériau : longueur, largeur et épaisseur/hauteur par défaut</w:t>
      </w:r>
    </w:p>
    <w:p>
      <w:pPr>
        <w:pStyle w:val="ListParagraph"/>
        <w:numPr>
          <w:ilvl w:val="0"/>
          <w:numId w:val="2"/>
        </w:numPr>
        <w:spacing w:after="60"/>
      </w:pPr>
      <w:r>
        <w:rPr>
          <w:color w:val="3A3A3A"/>
          <w:sz w:val="21"/>
          <w:szCs w:val="21"/>
        </w:rPr>
        <w:t xml:space="preserve">Saisie du prix unitaire d'achat pour chaque matériau, modifiable à tout moment</w:t>
      </w:r>
    </w:p>
    <w:p>
      <w:pPr>
        <w:pStyle w:val="ListParagraph"/>
        <w:numPr>
          <w:ilvl w:val="0"/>
          <w:numId w:val="2"/>
        </w:numPr>
        <w:spacing w:after="60"/>
      </w:pPr>
      <w:r>
        <w:rPr>
          <w:color w:val="3A3A3A"/>
          <w:sz w:val="21"/>
          <w:szCs w:val="21"/>
        </w:rPr>
        <w:t xml:space="preserve">Matériaux couverts : Plaques BA13, Fourrures, Cornières, Rails, Montants, Vis placo, Vis autophoreuses, Bande à joints, Enduit</w:t>
      </w:r>
    </w:p>
    <w:p>
      <w:pPr>
        <w:pStyle w:val="ListParagraph"/>
        <w:numPr>
          <w:ilvl w:val="0"/>
          <w:numId w:val="2"/>
        </w:numPr>
        <w:spacing w:after="60"/>
      </w:pPr>
      <w:r>
        <w:rPr>
          <w:color w:val="3A3A3A"/>
          <w:sz w:val="21"/>
          <w:szCs w:val="21"/>
        </w:rPr>
        <w:t xml:space="preserve">Ce catalogue alimente automatiquement le module de calcul et le budget estimatif — toute modification de dimension ou de prix se répercute immédiatement sur les futurs calculs</w:t>
      </w:r>
    </w:p>
    <w:p>
      <w:pPr>
        <w:pStyle w:val="Heading3"/>
        <w:spacing w:after="100" w:before="200"/>
      </w:pPr>
      <w:r>
        <w:rPr>
          <w:b/>
          <w:bCs/>
          <w:color w:val="1E1E1E"/>
          <w:sz w:val="22"/>
          <w:szCs w:val="22"/>
        </w:rPr>
        <w:t xml:space="preserve">3.2 — Calcul par chantier</w:t>
      </w:r>
    </w:p>
    <w:p>
      <w:pPr>
        <w:pStyle w:val="ListParagraph"/>
        <w:numPr>
          <w:ilvl w:val="0"/>
          <w:numId w:val="2"/>
        </w:numPr>
        <w:spacing w:after="60"/>
      </w:pPr>
      <w:r>
        <w:rPr>
          <w:color w:val="3A3A3A"/>
          <w:sz w:val="21"/>
          <w:szCs w:val="21"/>
        </w:rPr>
        <w:t xml:space="preserve">L'utilisateur entre la surface en m² du chantier</w:t>
      </w:r>
    </w:p>
    <w:p>
      <w:pPr>
        <w:pStyle w:val="ListParagraph"/>
        <w:numPr>
          <w:ilvl w:val="0"/>
          <w:numId w:val="2"/>
        </w:numPr>
        <w:spacing w:after="60"/>
      </w:pPr>
      <w:r>
        <w:rPr>
          <w:color w:val="3A3A3A"/>
          <w:sz w:val="21"/>
          <w:szCs w:val="21"/>
        </w:rPr>
        <w:t xml:space="preserve">L'application calcule automatiquement les quantités de matériaux selon le système choisi, à partir du catalogue configuré</w:t>
      </w:r>
    </w:p>
    <w:p>
      <w:pPr>
        <w:pStyle w:val="ListParagraph"/>
        <w:numPr>
          <w:ilvl w:val="0"/>
          <w:numId w:val="2"/>
        </w:numPr>
        <w:spacing w:after="60"/>
      </w:pPr>
      <w:r>
        <w:rPr>
          <w:color w:val="3A3A3A"/>
          <w:sz w:val="21"/>
          <w:szCs w:val="21"/>
        </w:rPr>
        <w:t xml:space="preserve">Systèmes disponibles : Cornière + Fourrure + BA13 | Rails + Montants + BA13</w:t>
      </w:r>
    </w:p>
    <w:p>
      <w:pPr>
        <w:pStyle w:val="ListParagraph"/>
        <w:numPr>
          <w:ilvl w:val="0"/>
          <w:numId w:val="2"/>
        </w:numPr>
        <w:spacing w:after="60"/>
      </w:pPr>
      <w:r>
        <w:rPr>
          <w:color w:val="3A3A3A"/>
          <w:sz w:val="21"/>
          <w:szCs w:val="21"/>
        </w:rPr>
        <w:t xml:space="preserve">Toutes les quantités incluent automatiquement +15% de marge de perte</w:t>
      </w:r>
    </w:p>
    <w:p>
      <w:pPr>
        <w:pStyle w:val="ListParagraph"/>
        <w:numPr>
          <w:ilvl w:val="0"/>
          <w:numId w:val="2"/>
        </w:numPr>
        <w:spacing w:after="60"/>
      </w:pPr>
      <w:r>
        <w:rPr>
          <w:color w:val="3A3A3A"/>
          <w:sz w:val="21"/>
          <w:szCs w:val="21"/>
        </w:rPr>
        <w:t xml:space="preserve">Affichage d'un budget estimatif d'achat des matériaux, basé sur les prix unitaires du catalogue</w:t>
      </w:r>
    </w:p>
    <w:p>
      <w:pPr>
        <w:pStyle w:val="Heading2"/>
        <w:spacing w:after="150" w:before="300"/>
      </w:pPr>
      <w:r>
        <w:rPr>
          <w:b/>
          <w:bCs/>
          <w:color w:val="C9A84C"/>
          <w:sz w:val="24"/>
          <w:szCs w:val="24"/>
        </w:rPr>
        <w:t xml:space="preserve">MODULE 4 — Tableau de bord global</w:t>
      </w:r>
    </w:p>
    <w:p>
      <w:pPr>
        <w:shd w:fill="4CAF7D" w:val="clear"/>
        <w:spacing w:after="150"/>
      </w:pPr>
      <w:r>
        <w:rPr>
          <w:b/>
          <w:bCs/>
          <w:color w:val="FFFFFF"/>
          <w:sz w:val="18"/>
          <w:szCs w:val="18"/>
        </w:rPr>
        <w:t xml:space="preserve">  MVP  </w:t>
      </w:r>
    </w:p>
    <w:p>
      <w:pPr>
        <w:pStyle w:val="ListParagraph"/>
        <w:numPr>
          <w:ilvl w:val="0"/>
          <w:numId w:val="2"/>
        </w:numPr>
        <w:spacing w:after="60"/>
      </w:pPr>
      <w:r>
        <w:rPr>
          <w:color w:val="3A3A3A"/>
          <w:sz w:val="21"/>
          <w:szCs w:val="21"/>
        </w:rPr>
        <w:t xml:space="preserve">Chiffre d'affaires total (somme de tous les devis signés)</w:t>
      </w:r>
    </w:p>
    <w:p>
      <w:pPr>
        <w:pStyle w:val="ListParagraph"/>
        <w:numPr>
          <w:ilvl w:val="0"/>
          <w:numId w:val="2"/>
        </w:numPr>
        <w:spacing w:after="60"/>
      </w:pPr>
      <w:r>
        <w:rPr>
          <w:color w:val="3A3A3A"/>
          <w:sz w:val="21"/>
          <w:szCs w:val="21"/>
        </w:rPr>
        <w:t xml:space="preserve">Total encaissé et total dépenses sur tous les chantiers</w:t>
      </w:r>
    </w:p>
    <w:p>
      <w:pPr>
        <w:pStyle w:val="ListParagraph"/>
        <w:numPr>
          <w:ilvl w:val="0"/>
          <w:numId w:val="2"/>
        </w:numPr>
        <w:spacing w:after="60"/>
      </w:pPr>
      <w:r>
        <w:rPr>
          <w:color w:val="3A3A3A"/>
          <w:sz w:val="21"/>
          <w:szCs w:val="21"/>
        </w:rPr>
        <w:t xml:space="preserve">Résultat net global et marge brute globale en %</w:t>
      </w:r>
    </w:p>
    <w:p>
      <w:pPr>
        <w:pStyle w:val="ListParagraph"/>
        <w:numPr>
          <w:ilvl w:val="0"/>
          <w:numId w:val="2"/>
        </w:numPr>
        <w:spacing w:after="60"/>
      </w:pPr>
      <w:r>
        <w:rPr>
          <w:color w:val="3A3A3A"/>
          <w:sz w:val="21"/>
          <w:szCs w:val="21"/>
        </w:rPr>
        <w:t xml:space="preserve">Liste résumée de tous les chantiers avec résultat individuel</w:t>
      </w:r>
    </w:p>
    <w:p>
      <w:pPr>
        <w:pStyle w:val="ListParagraph"/>
        <w:numPr>
          <w:ilvl w:val="0"/>
          <w:numId w:val="2"/>
        </w:numPr>
        <w:spacing w:after="60"/>
      </w:pPr>
      <w:r>
        <w:rPr>
          <w:color w:val="3A3A3A"/>
          <w:sz w:val="21"/>
          <w:szCs w:val="21"/>
        </w:rPr>
        <w:t xml:space="preserve">Graphique : recettes vs dépenses par chantier</w:t>
      </w:r>
    </w:p>
    <w:p>
      <w:pPr>
        <w:pStyle w:val="Heading2"/>
        <w:spacing w:after="150" w:before="300"/>
      </w:pPr>
      <w:r>
        <w:rPr>
          <w:b/>
          <w:bCs/>
          <w:color w:val="C9A84C"/>
          <w:sz w:val="24"/>
          <w:szCs w:val="24"/>
        </w:rPr>
        <w:t xml:space="preserve">MODULE 5 — Fiche de métrage numérique</w:t>
      </w:r>
    </w:p>
    <w:p>
      <w:pPr>
        <w:shd w:fill="4CAF7D" w:val="clear"/>
        <w:spacing w:after="150"/>
      </w:pPr>
      <w:r>
        <w:rPr>
          <w:b/>
          <w:bCs/>
          <w:color w:val="FFFFFF"/>
          <w:sz w:val="18"/>
          <w:szCs w:val="18"/>
        </w:rPr>
        <w:t xml:space="preserve">  MVP  </w:t>
      </w:r>
    </w:p>
    <w:p>
      <w:pPr>
        <w:pStyle w:val="ListParagraph"/>
        <w:numPr>
          <w:ilvl w:val="0"/>
          <w:numId w:val="2"/>
        </w:numPr>
        <w:spacing w:after="60"/>
      </w:pPr>
      <w:r>
        <w:rPr>
          <w:color w:val="3A3A3A"/>
          <w:sz w:val="21"/>
          <w:szCs w:val="21"/>
        </w:rPr>
        <w:t xml:space="preserve">Formulaire numérique à remplir directement sur le chantier</w:t>
      </w:r>
    </w:p>
    <w:p>
      <w:pPr>
        <w:pStyle w:val="ListParagraph"/>
        <w:numPr>
          <w:ilvl w:val="0"/>
          <w:numId w:val="2"/>
        </w:numPr>
        <w:spacing w:after="60"/>
      </w:pPr>
      <w:r>
        <w:rPr>
          <w:color w:val="3A3A3A"/>
          <w:sz w:val="21"/>
          <w:szCs w:val="21"/>
        </w:rPr>
        <w:t xml:space="preserve">Champs par pièce : nom, longueur, largeur → surface et périmètre calculés automatiquement</w:t>
      </w:r>
    </w:p>
    <w:p>
      <w:pPr>
        <w:pStyle w:val="ListParagraph"/>
        <w:numPr>
          <w:ilvl w:val="0"/>
          <w:numId w:val="2"/>
        </w:numPr>
        <w:spacing w:after="60"/>
      </w:pPr>
      <w:r>
        <w:rPr>
          <w:color w:val="3A3A3A"/>
          <w:sz w:val="21"/>
          <w:szCs w:val="21"/>
        </w:rPr>
        <w:t xml:space="preserve">Capacité : jusqu'à 30 pièces saisissables</w:t>
      </w:r>
    </w:p>
    <w:p>
      <w:pPr>
        <w:pStyle w:val="ListParagraph"/>
        <w:numPr>
          <w:ilvl w:val="0"/>
          <w:numId w:val="2"/>
        </w:numPr>
        <w:spacing w:after="60"/>
      </w:pPr>
      <w:r>
        <w:rPr>
          <w:color w:val="3A3A3A"/>
          <w:sz w:val="21"/>
          <w:szCs w:val="21"/>
        </w:rPr>
        <w:t xml:space="preserve">Section déductions : poutres, piliers, gaines, baies</w:t>
      </w:r>
    </w:p>
    <w:p>
      <w:pPr>
        <w:pStyle w:val="ListParagraph"/>
        <w:numPr>
          <w:ilvl w:val="0"/>
          <w:numId w:val="2"/>
        </w:numPr>
        <w:spacing w:after="60"/>
      </w:pPr>
      <w:r>
        <w:rPr>
          <w:color w:val="3A3A3A"/>
          <w:sz w:val="21"/>
          <w:szCs w:val="21"/>
        </w:rPr>
        <w:t xml:space="preserve">Section éléments décoratifs : décaissé en abord, bandeau horizontal, joue verticale, spot/niche</w:t>
      </w:r>
    </w:p>
    <w:p>
      <w:pPr>
        <w:pStyle w:val="ListParagraph"/>
        <w:numPr>
          <w:ilvl w:val="0"/>
          <w:numId w:val="2"/>
        </w:numPr>
        <w:spacing w:after="60"/>
      </w:pPr>
      <w:r>
        <w:rPr>
          <w:color w:val="3A3A3A"/>
          <w:sz w:val="21"/>
          <w:szCs w:val="21"/>
        </w:rPr>
        <w:t xml:space="preserve">Récapitulatif automatique : surface nette totale + périmètre total</w:t>
      </w:r>
    </w:p>
    <w:p>
      <w:pPr>
        <w:pStyle w:val="ListParagraph"/>
        <w:numPr>
          <w:ilvl w:val="0"/>
          <w:numId w:val="2"/>
        </w:numPr>
        <w:spacing w:after="60"/>
      </w:pPr>
      <w:r>
        <w:rPr>
          <w:color w:val="3A3A3A"/>
          <w:sz w:val="21"/>
          <w:szCs w:val="21"/>
        </w:rPr>
        <w:t xml:space="preserve">Export de la fiche en PDF et partage par WhatsApp</w:t>
      </w:r>
    </w:p>
    <w:p>
      <w:r>
        <w:br w:type="page"/>
      </w:r>
    </w:p>
    <w:p>
      <w:pPr>
        <w:pStyle w:val="Heading2"/>
        <w:spacing w:after="150" w:before="300"/>
      </w:pPr>
      <w:r>
        <w:rPr>
          <w:b/>
          <w:bCs/>
          <w:color w:val="C9A84C"/>
          <w:sz w:val="24"/>
          <w:szCs w:val="24"/>
        </w:rPr>
        <w:t xml:space="preserve">MODULE 6 — Suivi des ouvriers par chantier</w:t>
      </w:r>
    </w:p>
    <w:p>
      <w:pPr>
        <w:shd w:fill="4CAF7D" w:val="clear"/>
        <w:spacing w:after="150"/>
      </w:pPr>
      <w:r>
        <w:rPr>
          <w:b/>
          <w:bCs/>
          <w:color w:val="FFFFFF"/>
          <w:sz w:val="18"/>
          <w:szCs w:val="18"/>
        </w:rPr>
        <w:t xml:space="preserve">  MVP — enrichi  </w:t>
      </w:r>
    </w:p>
    <w:p>
      <w:pPr>
        <w:spacing w:after="120"/>
      </w:pPr>
      <w:r>
        <w:rPr>
          <w:i/>
          <w:iCs/>
          <w:color w:val="3A3A3A"/>
          <w:sz w:val="21"/>
          <w:szCs w:val="21"/>
        </w:rPr>
        <w:t xml:space="preserve">Évolution v2 : un ouvrier peut terminer ses tâches sur un chantier et être affecté à un autre, y compris sur une même période. Un suivi de tâches simplifié est donc introduit, inspiré d'outils de gestion de projet type Jira, mais volontairement allégé pour un usage MVP.</w:t>
      </w:r>
    </w:p>
    <w:p>
      <w:pPr>
        <w:pStyle w:val="Heading3"/>
        <w:spacing w:after="100" w:before="200"/>
      </w:pPr>
      <w:r>
        <w:rPr>
          <w:b/>
          <w:bCs/>
          <w:color w:val="1E1E1E"/>
          <w:sz w:val="22"/>
          <w:szCs w:val="22"/>
        </w:rPr>
        <w:t xml:space="preserve">6.1 — Affectations et paiements</w:t>
      </w:r>
    </w:p>
    <w:p>
      <w:pPr>
        <w:pStyle w:val="ListParagraph"/>
        <w:numPr>
          <w:ilvl w:val="0"/>
          <w:numId w:val="2"/>
        </w:numPr>
        <w:spacing w:after="60"/>
      </w:pPr>
      <w:r>
        <w:rPr>
          <w:color w:val="3A3A3A"/>
          <w:sz w:val="21"/>
          <w:szCs w:val="21"/>
        </w:rPr>
        <w:t xml:space="preserve">Enregistrer les ouvriers affectés à chaque chantier (nom, rôle)</w:t>
      </w:r>
    </w:p>
    <w:p>
      <w:pPr>
        <w:pStyle w:val="ListParagraph"/>
        <w:numPr>
          <w:ilvl w:val="0"/>
          <w:numId w:val="2"/>
        </w:numPr>
        <w:spacing w:after="60"/>
      </w:pPr>
      <w:r>
        <w:rPr>
          <w:color w:val="3A3A3A"/>
          <w:sz w:val="21"/>
          <w:szCs w:val="21"/>
        </w:rPr>
        <w:t xml:space="preserve">Un même ouvrier peut être affecté à plusieurs chantiers, y compris simultanément</w:t>
      </w:r>
    </w:p>
    <w:p>
      <w:pPr>
        <w:pStyle w:val="ListParagraph"/>
        <w:numPr>
          <w:ilvl w:val="0"/>
          <w:numId w:val="2"/>
        </w:numPr>
        <w:spacing w:after="60"/>
      </w:pPr>
      <w:r>
        <w:rPr>
          <w:color w:val="3A3A3A"/>
          <w:sz w:val="21"/>
          <w:szCs w:val="21"/>
        </w:rPr>
        <w:t xml:space="preserve">Saisir chaque paiement effectué : date, montant, ouvrier concerné</w:t>
      </w:r>
    </w:p>
    <w:p>
      <w:pPr>
        <w:pStyle w:val="ListParagraph"/>
        <w:numPr>
          <w:ilvl w:val="0"/>
          <w:numId w:val="2"/>
        </w:numPr>
        <w:spacing w:after="60"/>
      </w:pPr>
      <w:r>
        <w:rPr>
          <w:color w:val="3A3A3A"/>
          <w:sz w:val="21"/>
          <w:szCs w:val="21"/>
        </w:rPr>
        <w:t xml:space="preserve">Total main d'œuvre par chantier calculé automatiquement</w:t>
      </w:r>
    </w:p>
    <w:p>
      <w:pPr>
        <w:pStyle w:val="ListParagraph"/>
        <w:numPr>
          <w:ilvl w:val="0"/>
          <w:numId w:val="2"/>
        </w:numPr>
        <w:spacing w:after="60"/>
      </w:pPr>
      <w:r>
        <w:rPr>
          <w:color w:val="3A3A3A"/>
          <w:sz w:val="21"/>
          <w:szCs w:val="21"/>
        </w:rPr>
        <w:t xml:space="preserve">Ce total remonte automatiquement dans les dépenses du chantier</w:t>
      </w:r>
    </w:p>
    <w:p>
      <w:pPr>
        <w:pStyle w:val="Heading3"/>
        <w:spacing w:after="100" w:before="200"/>
      </w:pPr>
      <w:r>
        <w:rPr>
          <w:b/>
          <w:bCs/>
          <w:color w:val="1E1E1E"/>
          <w:sz w:val="22"/>
          <w:szCs w:val="22"/>
        </w:rPr>
        <w:t xml:space="preserve">6.2 — Suivi de tâches simplifié (nouveau)</w:t>
      </w:r>
    </w:p>
    <w:p>
      <w:pPr>
        <w:pStyle w:val="ListParagraph"/>
        <w:numPr>
          <w:ilvl w:val="0"/>
          <w:numId w:val="2"/>
        </w:numPr>
        <w:spacing w:after="60"/>
      </w:pPr>
      <w:r>
        <w:rPr>
          <w:color w:val="3A3A3A"/>
          <w:sz w:val="21"/>
          <w:szCs w:val="21"/>
        </w:rPr>
        <w:t xml:space="preserve">Chaque ouvrier peut se voir attribuer une ou plusieurs tâches, chacune rattachée à un chantier</w:t>
      </w:r>
    </w:p>
    <w:p>
      <w:pPr>
        <w:pStyle w:val="ListParagraph"/>
        <w:numPr>
          <w:ilvl w:val="0"/>
          <w:numId w:val="2"/>
        </w:numPr>
        <w:spacing w:after="60"/>
      </w:pPr>
      <w:r>
        <w:rPr>
          <w:color w:val="3A3A3A"/>
          <w:sz w:val="21"/>
          <w:szCs w:val="21"/>
        </w:rPr>
        <w:t xml:space="preserve">Statut de tâche à trois états : À faire / En cours / Terminée</w:t>
      </w:r>
    </w:p>
    <w:p>
      <w:pPr>
        <w:pStyle w:val="ListParagraph"/>
        <w:numPr>
          <w:ilvl w:val="0"/>
          <w:numId w:val="2"/>
        </w:numPr>
        <w:spacing w:after="60"/>
      </w:pPr>
      <w:r>
        <w:rPr>
          <w:color w:val="3A3A3A"/>
          <w:sz w:val="21"/>
          <w:szCs w:val="21"/>
        </w:rPr>
        <w:t xml:space="preserve">Date de début et date de fin (réelle ou estimée) par tâche</w:t>
      </w:r>
    </w:p>
    <w:p>
      <w:pPr>
        <w:pStyle w:val="ListParagraph"/>
        <w:numPr>
          <w:ilvl w:val="0"/>
          <w:numId w:val="2"/>
        </w:numPr>
        <w:spacing w:after="60"/>
      </w:pPr>
      <w:r>
        <w:rPr>
          <w:color w:val="3A3A3A"/>
          <w:sz w:val="21"/>
          <w:szCs w:val="21"/>
        </w:rPr>
        <w:t xml:space="preserve">Vue globale par ouvrier : sur quel(s) chantier(s) et quelle(s) tâche(s) il est actuellement engagé</w:t>
      </w:r>
    </w:p>
    <w:p>
      <w:pPr>
        <w:pStyle w:val="ListParagraph"/>
        <w:numPr>
          <w:ilvl w:val="0"/>
          <w:numId w:val="2"/>
        </w:numPr>
        <w:spacing w:after="60"/>
      </w:pPr>
      <w:r>
        <w:rPr>
          <w:color w:val="3A3A3A"/>
          <w:sz w:val="21"/>
          <w:szCs w:val="21"/>
        </w:rPr>
        <w:t xml:space="preserve">Le suivi de tâches avancé (priorités, dépendances entre tâches, historique détaillé façon Jira complet) est repoussé en roadmap — voir section 8</w:t>
      </w:r>
    </w:p>
    <w:p>
      <w:pPr>
        <w:pStyle w:val="Heading2"/>
        <w:spacing w:after="150" w:before="300"/>
      </w:pPr>
      <w:r>
        <w:rPr>
          <w:b/>
          <w:bCs/>
          <w:color w:val="C9A84C"/>
          <w:sz w:val="24"/>
          <w:szCs w:val="24"/>
        </w:rPr>
        <w:t xml:space="preserve">MODULE 7 — Site vitrine &amp; Espace Client</w:t>
      </w:r>
    </w:p>
    <w:p>
      <w:pPr>
        <w:shd w:fill="C9A84C" w:val="clear"/>
        <w:spacing w:after="150"/>
      </w:pPr>
      <w:r>
        <w:rPr>
          <w:b/>
          <w:bCs/>
          <w:color w:val="FFFFFF"/>
          <w:sz w:val="18"/>
          <w:szCs w:val="18"/>
        </w:rPr>
        <w:t xml:space="preserve">  NOUVEAU — MVP  </w:t>
      </w:r>
    </w:p>
    <w:p>
      <w:pPr>
        <w:spacing w:after="120"/>
      </w:pPr>
      <w:r>
        <w:rPr>
          <w:color w:val="3A3A3A"/>
          <w:sz w:val="21"/>
          <w:szCs w:val="21"/>
        </w:rPr>
        <w:t xml:space="preserve">Ce module a un double objectif : donner à Élite Placo &amp; Déco une vitrine professionnelle en ligne, et renforcer la confiance des clients en leur donnant une visibilité directe et transparente sur l'avancement et le financement de leur chantier.</w:t>
      </w:r>
    </w:p>
    <w:p>
      <w:pPr>
        <w:pStyle w:val="Heading3"/>
        <w:spacing w:after="100" w:before="200"/>
      </w:pPr>
      <w:r>
        <w:rPr>
          <w:b/>
          <w:bCs/>
          <w:color w:val="1E1E1E"/>
          <w:sz w:val="22"/>
          <w:szCs w:val="22"/>
        </w:rPr>
        <w:t xml:space="preserve">7.1 — Site vitrine public</w:t>
      </w:r>
    </w:p>
    <w:p>
      <w:pPr>
        <w:pStyle w:val="ListParagraph"/>
        <w:numPr>
          <w:ilvl w:val="0"/>
          <w:numId w:val="2"/>
        </w:numPr>
        <w:spacing w:after="60"/>
      </w:pPr>
      <w:r>
        <w:rPr>
          <w:color w:val="3A3A3A"/>
          <w:sz w:val="21"/>
          <w:szCs w:val="21"/>
        </w:rPr>
        <w:t xml:space="preserve">Page d'accueil : présentation de l'entreprise, message d'accroche institutionnel, zone d'intervention nationale</w:t>
      </w:r>
    </w:p>
    <w:p>
      <w:pPr>
        <w:pStyle w:val="ListParagraph"/>
        <w:numPr>
          <w:ilvl w:val="0"/>
          <w:numId w:val="2"/>
        </w:numPr>
        <w:spacing w:after="60"/>
      </w:pPr>
      <w:r>
        <w:rPr>
          <w:color w:val="3A3A3A"/>
          <w:sz w:val="21"/>
          <w:szCs w:val="21"/>
        </w:rPr>
        <w:t xml:space="preserve">Page Services : plafonds placoplatre, décoration intérieure, travaux de finition</w:t>
      </w:r>
    </w:p>
    <w:p>
      <w:pPr>
        <w:pStyle w:val="ListParagraph"/>
        <w:numPr>
          <w:ilvl w:val="0"/>
          <w:numId w:val="2"/>
        </w:numPr>
        <w:spacing w:after="60"/>
      </w:pPr>
      <w:r>
        <w:rPr>
          <w:color w:val="3A3A3A"/>
          <w:sz w:val="21"/>
          <w:szCs w:val="21"/>
        </w:rPr>
        <w:t xml:space="preserve">Page Réalisations : galerie de photos avant/après, classée par type de chantier</w:t>
      </w:r>
    </w:p>
    <w:p>
      <w:pPr>
        <w:pStyle w:val="ListParagraph"/>
        <w:numPr>
          <w:ilvl w:val="0"/>
          <w:numId w:val="2"/>
        </w:numPr>
        <w:spacing w:after="60"/>
      </w:pPr>
      <w:r>
        <w:rPr>
          <w:color w:val="3A3A3A"/>
          <w:sz w:val="21"/>
          <w:szCs w:val="21"/>
        </w:rPr>
        <w:t xml:space="preserve">Page À propos : présentation du dirigeant et de PRIMA BTP, valeurs de l'entreprise</w:t>
      </w:r>
    </w:p>
    <w:p>
      <w:pPr>
        <w:pStyle w:val="ListParagraph"/>
        <w:numPr>
          <w:ilvl w:val="0"/>
          <w:numId w:val="2"/>
        </w:numPr>
        <w:spacing w:after="60"/>
      </w:pPr>
      <w:r>
        <w:rPr>
          <w:color w:val="3A3A3A"/>
          <w:sz w:val="21"/>
          <w:szCs w:val="21"/>
        </w:rPr>
        <w:t xml:space="preserve">Page Contact : formulaire de contact, numéro de téléphone et WhatsApp cliquables, ville d'implantation</w:t>
      </w:r>
    </w:p>
    <w:p>
      <w:pPr>
        <w:pStyle w:val="Heading3"/>
        <w:spacing w:after="100" w:before="200"/>
      </w:pPr>
      <w:r>
        <w:rPr>
          <w:b/>
          <w:bCs/>
          <w:color w:val="1E1E1E"/>
          <w:sz w:val="22"/>
          <w:szCs w:val="22"/>
        </w:rPr>
        <w:t xml:space="preserve">7.2 — Espace Client sécurisé</w:t>
      </w:r>
    </w:p>
    <w:p>
      <w:pPr>
        <w:pStyle w:val="ListParagraph"/>
        <w:numPr>
          <w:ilvl w:val="0"/>
          <w:numId w:val="2"/>
        </w:numPr>
        <w:spacing w:after="60"/>
      </w:pPr>
      <w:r>
        <w:rPr>
          <w:color w:val="3A3A3A"/>
          <w:sz w:val="21"/>
          <w:szCs w:val="21"/>
        </w:rPr>
        <w:t xml:space="preserve">Connexion par code d'accès unique transmis au client (pas de création de compte complexe)</w:t>
      </w:r>
    </w:p>
    <w:p>
      <w:pPr>
        <w:pStyle w:val="ListParagraph"/>
        <w:numPr>
          <w:ilvl w:val="0"/>
          <w:numId w:val="2"/>
        </w:numPr>
        <w:spacing w:after="60"/>
      </w:pPr>
      <w:r>
        <w:rPr>
          <w:color w:val="3A3A3A"/>
          <w:sz w:val="21"/>
          <w:szCs w:val="21"/>
        </w:rPr>
        <w:t xml:space="preserve">Suivi de l'avancement du chantier : statut actuel, étapes clés franchies (métrage → pose ossature → BA13 → finition), photos régulières</w:t>
      </w:r>
    </w:p>
    <w:p>
      <w:pPr>
        <w:pStyle w:val="ListParagraph"/>
        <w:numPr>
          <w:ilvl w:val="0"/>
          <w:numId w:val="2"/>
        </w:numPr>
        <w:spacing w:after="60"/>
      </w:pPr>
      <w:r>
        <w:rPr>
          <w:color w:val="3A3A3A"/>
          <w:sz w:val="21"/>
          <w:szCs w:val="21"/>
        </w:rPr>
        <w:t xml:space="preserve">Suivi financier transparent : montant du devis signé, total encaissé, reste à payer</w:t>
      </w:r>
    </w:p>
    <w:p>
      <w:pPr>
        <w:pStyle w:val="ListParagraph"/>
        <w:numPr>
          <w:ilvl w:val="0"/>
          <w:numId w:val="2"/>
        </w:numPr>
        <w:spacing w:after="60"/>
      </w:pPr>
      <w:r>
        <w:rPr>
          <w:color w:val="3A3A3A"/>
          <w:sz w:val="21"/>
          <w:szCs w:val="21"/>
        </w:rPr>
        <w:t xml:space="preserve">Aucune donnée interne sensible visible côté client : les dépenses détaillées et la marge de l'entreprise restent strictement confidentielles</w:t>
      </w:r>
    </w:p>
    <w:p>
      <w:pPr>
        <w:pStyle w:val="ListParagraph"/>
        <w:numPr>
          <w:ilvl w:val="0"/>
          <w:numId w:val="2"/>
        </w:numPr>
        <w:spacing w:after="60"/>
      </w:pPr>
      <w:r>
        <w:rPr>
          <w:color w:val="3A3A3A"/>
          <w:sz w:val="21"/>
          <w:szCs w:val="21"/>
        </w:rPr>
        <w:t xml:space="preserve">Accès aux documents du chantier : devis signé, factures, fiche de métrage en PDF</w:t>
      </w:r>
    </w:p>
    <w:p>
      <w:pPr>
        <w:pStyle w:val="ListParagraph"/>
        <w:numPr>
          <w:ilvl w:val="0"/>
          <w:numId w:val="2"/>
        </w:numPr>
        <w:spacing w:after="60"/>
      </w:pPr>
      <w:r>
        <w:rPr>
          <w:color w:val="3A3A3A"/>
          <w:sz w:val="21"/>
          <w:szCs w:val="21"/>
        </w:rPr>
        <w:t xml:space="preserve">Notification automatique par SMS ou WhatsApp à chaque étape franchie ou paiement enregistré</w:t>
      </w:r>
    </w:p>
    <w:p>
      <w:r>
        <w:br w:type="page"/>
      </w:r>
    </w:p>
    <w:p>
      <w:pPr>
        <w:pStyle w:val="Heading1"/>
        <w:pBdr>
          <w:bottom w:val="single" w:color="C9A84C" w:sz="12" w:space="4"/>
        </w:pBdr>
        <w:spacing w:after="200" w:before="400"/>
      </w:pPr>
      <w:r>
        <w:rPr>
          <w:b/>
          <w:bCs/>
          <w:color w:val="1E1E1E"/>
          <w:sz w:val="30"/>
          <w:szCs w:val="30"/>
        </w:rPr>
        <w:t xml:space="preserve">4. GESTION DES UTILISATEURS ET DES RÔLES</w:t>
      </w:r>
    </w:p>
    <w:p>
      <w:pPr>
        <w:pStyle w:val="Heading3"/>
        <w:spacing w:after="100" w:before="200"/>
      </w:pPr>
      <w:r>
        <w:rPr>
          <w:b/>
          <w:bCs/>
          <w:color w:val="1E1E1E"/>
          <w:sz w:val="22"/>
          <w:szCs w:val="22"/>
        </w:rPr>
        <w:t xml:space="preserve">MVP</w:t>
      </w:r>
    </w:p>
    <w:p>
      <w:pPr>
        <w:pStyle w:val="ListParagraph"/>
        <w:numPr>
          <w:ilvl w:val="0"/>
          <w:numId w:val="2"/>
        </w:numPr>
        <w:spacing w:after="60"/>
      </w:pPr>
      <w:r>
        <w:rPr>
          <w:color w:val="3A3A3A"/>
          <w:sz w:val="21"/>
          <w:szCs w:val="21"/>
        </w:rPr>
        <w:t xml:space="preserve">Un seul compte interne, celui du dirigeant, avec accès complet à toutes les fonctionnalités de gestion</w:t>
      </w:r>
    </w:p>
    <w:p>
      <w:pPr>
        <w:pStyle w:val="ListParagraph"/>
        <w:numPr>
          <w:ilvl w:val="0"/>
          <w:numId w:val="2"/>
        </w:numPr>
        <w:spacing w:after="60"/>
      </w:pPr>
      <w:r>
        <w:rPr>
          <w:color w:val="3A3A3A"/>
          <w:sz w:val="21"/>
          <w:szCs w:val="21"/>
        </w:rPr>
        <w:t xml:space="preserve">Un accès client distinct et cloisonné (Module 7), en lecture seule, limité aux informations de son propre chantier</w:t>
      </w:r>
    </w:p>
    <w:p>
      <w:pPr>
        <w:pStyle w:val="Heading3"/>
        <w:spacing w:after="100" w:before="200"/>
      </w:pPr>
      <w:r>
        <w:rPr>
          <w:b/>
          <w:bCs/>
          <w:color w:val="1E1E1E"/>
          <w:sz w:val="22"/>
          <w:szCs w:val="22"/>
        </w:rPr>
        <w:t xml:space="preserve">Roadmap (post-MVP)</w:t>
      </w:r>
    </w:p>
    <w:p>
      <w:pPr>
        <w:pStyle w:val="ListParagraph"/>
        <w:numPr>
          <w:ilvl w:val="0"/>
          <w:numId w:val="2"/>
        </w:numPr>
        <w:spacing w:after="60"/>
      </w:pPr>
      <w:r>
        <w:rPr>
          <w:color w:val="3A3A3A"/>
          <w:sz w:val="21"/>
          <w:szCs w:val="21"/>
        </w:rPr>
        <w:t xml:space="preserve">Rôles internes multiples avec permissions différenciées : par exemple chef de chantier (saisie des dépenses et de l'avancement sur le terrain) ou comptable (accès financier sans droit de modification des chantiers)</w:t>
      </w:r>
    </w:p>
    <w:p>
      <w:pPr>
        <w:pStyle w:val="ListParagraph"/>
        <w:numPr>
          <w:ilvl w:val="0"/>
          <w:numId w:val="2"/>
        </w:numPr>
        <w:spacing w:after="60"/>
      </w:pPr>
      <w:r>
        <w:rPr>
          <w:color w:val="3A3A3A"/>
          <w:sz w:val="21"/>
          <w:szCs w:val="21"/>
        </w:rPr>
        <w:t xml:space="preserve">Journal d'activité (qui a modifié quoi et quand), utile dès l'introduction de plusieurs comptes internes</w:t>
      </w:r>
    </w:p>
    <w:p>
      <w:pPr>
        <w:pStyle w:val="Heading1"/>
        <w:pBdr>
          <w:bottom w:val="single" w:color="C9A84C" w:sz="12" w:space="4"/>
        </w:pBdr>
        <w:spacing w:after="200" w:before="400"/>
      </w:pPr>
      <w:r>
        <w:rPr>
          <w:b/>
          <w:bCs/>
          <w:color w:val="1E1E1E"/>
          <w:sz w:val="30"/>
          <w:szCs w:val="30"/>
        </w:rPr>
        <w:t xml:space="preserve">5. EXIGENCES TECHNIQUES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E1E1E" w:val="clear"/>
            <w:tcMar>
              <w:top w:type="dxa" w:w="80"/>
              <w:left w:type="dxa" w:w="100"/>
              <w:bottom w:type="dxa" w:w="80"/>
              <w:right w:type="dxa" w:w="100"/>
            </w:tcMar>
            <w:vAlign w:val="center"/>
          </w:tcPr>
          <w:p>
            <w:r>
              <w:rPr>
                <w:b/>
                <w:bCs/>
                <w:color w:val="FFFFFF"/>
                <w:sz w:val="19"/>
                <w:szCs w:val="19"/>
              </w:rPr>
              <w:t xml:space="preserve">Exigence</w:t>
            </w:r>
          </w:p>
        </w:tc>
        <w:tc>
          <w:tcPr>
            <w:tcW w:type="dxa" w:w="6900"/>
            <w:shd w:fill="1E1E1E" w:val="clear"/>
            <w:tcMar>
              <w:top w:type="dxa" w:w="80"/>
              <w:left w:type="dxa" w:w="100"/>
              <w:bottom w:type="dxa" w:w="80"/>
              <w:right w:type="dxa" w:w="100"/>
            </w:tcMar>
            <w:vAlign w:val="center"/>
          </w:tcPr>
          <w:p>
            <w:r>
              <w:rPr>
                <w:b/>
                <w:bCs/>
                <w:color w:val="FFFFFF"/>
                <w:sz w:val="19"/>
                <w:szCs w:val="19"/>
              </w:rPr>
              <w:t xml:space="preserve">Détail</w:t>
            </w:r>
          </w:p>
        </w:tc>
      </w:tr>
      <w:tr>
        <w:tc>
          <w:tcPr>
            <w:tcW w:type="dxa" w:w="2600"/>
            <w:shd w:fill="FFFFFF" w:val="clear"/>
            <w:tcMar>
              <w:top w:type="dxa" w:w="70"/>
              <w:left w:type="dxa" w:w="100"/>
              <w:bottom w:type="dxa" w:w="70"/>
              <w:right w:type="dxa" w:w="100"/>
            </w:tcMar>
            <w:vAlign w:val="center"/>
          </w:tcPr>
          <w:p>
            <w:r>
              <w:rPr>
                <w:color w:val="3A3A3A"/>
                <w:sz w:val="19"/>
                <w:szCs w:val="19"/>
              </w:rPr>
              <w:t xml:space="preserve">Plateforme</w:t>
            </w:r>
          </w:p>
        </w:tc>
        <w:tc>
          <w:tcPr>
            <w:tcW w:type="dxa" w:w="6900"/>
            <w:shd w:fill="FFFFFF" w:val="clear"/>
            <w:tcMar>
              <w:top w:type="dxa" w:w="70"/>
              <w:left w:type="dxa" w:w="100"/>
              <w:bottom w:type="dxa" w:w="70"/>
              <w:right w:type="dxa" w:w="100"/>
            </w:tcMar>
            <w:vAlign w:val="center"/>
          </w:tcPr>
          <w:p>
            <w:r>
              <w:rPr>
                <w:color w:val="3A3A3A"/>
                <w:sz w:val="19"/>
                <w:szCs w:val="19"/>
              </w:rPr>
              <w:t xml:space="preserve">Application mobile Android (priorité) + version web PC</w:t>
            </w:r>
          </w:p>
        </w:tc>
      </w:tr>
      <w:tr>
        <w:tc>
          <w:tcPr>
            <w:tcW w:type="dxa" w:w="2600"/>
            <w:shd w:fill="EDEDED" w:val="clear"/>
            <w:tcMar>
              <w:top w:type="dxa" w:w="70"/>
              <w:left w:type="dxa" w:w="100"/>
              <w:bottom w:type="dxa" w:w="70"/>
              <w:right w:type="dxa" w:w="100"/>
            </w:tcMar>
            <w:vAlign w:val="center"/>
          </w:tcPr>
          <w:p>
            <w:r>
              <w:rPr>
                <w:color w:val="3A3A3A"/>
                <w:sz w:val="19"/>
                <w:szCs w:val="19"/>
              </w:rPr>
              <w:t xml:space="preserve">Connexion</w:t>
            </w:r>
          </w:p>
        </w:tc>
        <w:tc>
          <w:tcPr>
            <w:tcW w:type="dxa" w:w="6900"/>
            <w:shd w:fill="EDEDED" w:val="clear"/>
            <w:tcMar>
              <w:top w:type="dxa" w:w="70"/>
              <w:left w:type="dxa" w:w="100"/>
              <w:bottom w:type="dxa" w:w="70"/>
              <w:right w:type="dxa" w:w="100"/>
            </w:tcMar>
            <w:vAlign w:val="center"/>
          </w:tcPr>
          <w:p>
            <w:r>
              <w:rPr>
                <w:color w:val="3A3A3A"/>
                <w:sz w:val="19"/>
                <w:szCs w:val="19"/>
              </w:rPr>
              <w:t xml:space="preserve">Fonctionne HORS LIGNE sur le terrain — synchronisation automatique au retour du réseau</w:t>
            </w:r>
          </w:p>
        </w:tc>
      </w:tr>
      <w:tr>
        <w:tc>
          <w:tcPr>
            <w:tcW w:type="dxa" w:w="2600"/>
            <w:shd w:fill="FFFFFF" w:val="clear"/>
            <w:tcMar>
              <w:top w:type="dxa" w:w="70"/>
              <w:left w:type="dxa" w:w="100"/>
              <w:bottom w:type="dxa" w:w="70"/>
              <w:right w:type="dxa" w:w="100"/>
            </w:tcMar>
            <w:vAlign w:val="center"/>
          </w:tcPr>
          <w:p>
            <w:r>
              <w:rPr>
                <w:color w:val="3A3A3A"/>
                <w:sz w:val="19"/>
                <w:szCs w:val="19"/>
              </w:rPr>
              <w:t xml:space="preserve">Données</w:t>
            </w:r>
          </w:p>
        </w:tc>
        <w:tc>
          <w:tcPr>
            <w:tcW w:type="dxa" w:w="6900"/>
            <w:shd w:fill="FFFFFF" w:val="clear"/>
            <w:tcMar>
              <w:top w:type="dxa" w:w="70"/>
              <w:left w:type="dxa" w:w="100"/>
              <w:bottom w:type="dxa" w:w="70"/>
              <w:right w:type="dxa" w:w="100"/>
            </w:tcMar>
            <w:vAlign w:val="center"/>
          </w:tcPr>
          <w:p>
            <w:r>
              <w:rPr>
                <w:color w:val="3A3A3A"/>
                <w:sz w:val="19"/>
                <w:szCs w:val="19"/>
              </w:rPr>
              <w:t xml:space="preserve">Sauvegarde permanente — les données ne doivent jamais se perdre</w:t>
            </w:r>
          </w:p>
        </w:tc>
      </w:tr>
      <w:tr>
        <w:tc>
          <w:tcPr>
            <w:tcW w:type="dxa" w:w="2600"/>
            <w:shd w:fill="EDEDED" w:val="clear"/>
            <w:tcMar>
              <w:top w:type="dxa" w:w="70"/>
              <w:left w:type="dxa" w:w="100"/>
              <w:bottom w:type="dxa" w:w="70"/>
              <w:right w:type="dxa" w:w="100"/>
            </w:tcMar>
            <w:vAlign w:val="center"/>
          </w:tcPr>
          <w:p>
            <w:r>
              <w:rPr>
                <w:color w:val="3A3A3A"/>
                <w:sz w:val="19"/>
                <w:szCs w:val="19"/>
              </w:rPr>
              <w:t xml:space="preserve">Sécurité</w:t>
            </w:r>
          </w:p>
        </w:tc>
        <w:tc>
          <w:tcPr>
            <w:tcW w:type="dxa" w:w="6900"/>
            <w:shd w:fill="EDEDED" w:val="clear"/>
            <w:tcMar>
              <w:top w:type="dxa" w:w="70"/>
              <w:left w:type="dxa" w:w="100"/>
              <w:bottom w:type="dxa" w:w="70"/>
              <w:right w:type="dxa" w:w="100"/>
            </w:tcMar>
            <w:vAlign w:val="center"/>
          </w:tcPr>
          <w:p>
            <w:r>
              <w:rPr>
                <w:color w:val="3A3A3A"/>
                <w:sz w:val="19"/>
                <w:szCs w:val="19"/>
              </w:rPr>
              <w:t xml:space="preserve">Accès protégé par mot de passe ou code PIN (interne) ; code d'accès dédié pour l'espace client</w:t>
            </w:r>
          </w:p>
        </w:tc>
      </w:tr>
      <w:tr>
        <w:tc>
          <w:tcPr>
            <w:tcW w:type="dxa" w:w="2600"/>
            <w:shd w:fill="FFFFFF" w:val="clear"/>
            <w:tcMar>
              <w:top w:type="dxa" w:w="70"/>
              <w:left w:type="dxa" w:w="100"/>
              <w:bottom w:type="dxa" w:w="70"/>
              <w:right w:type="dxa" w:w="100"/>
            </w:tcMar>
            <w:vAlign w:val="center"/>
          </w:tcPr>
          <w:p>
            <w:r>
              <w:rPr>
                <w:color w:val="3A3A3A"/>
                <w:sz w:val="19"/>
                <w:szCs w:val="19"/>
              </w:rPr>
              <w:t xml:space="preserve">Export</w:t>
            </w:r>
          </w:p>
        </w:tc>
        <w:tc>
          <w:tcPr>
            <w:tcW w:type="dxa" w:w="6900"/>
            <w:shd w:fill="FFFFFF" w:val="clear"/>
            <w:tcMar>
              <w:top w:type="dxa" w:w="70"/>
              <w:left w:type="dxa" w:w="100"/>
              <w:bottom w:type="dxa" w:w="70"/>
              <w:right w:type="dxa" w:w="100"/>
            </w:tcMar>
            <w:vAlign w:val="center"/>
          </w:tcPr>
          <w:p>
            <w:r>
              <w:rPr>
                <w:color w:val="3A3A3A"/>
                <w:sz w:val="19"/>
                <w:szCs w:val="19"/>
              </w:rPr>
              <w:t xml:space="preserve">Bilan de chantier exportable en PDF — partage direct par WhatsApp</w:t>
            </w:r>
          </w:p>
        </w:tc>
      </w:tr>
      <w:tr>
        <w:tc>
          <w:tcPr>
            <w:tcW w:type="dxa" w:w="2600"/>
            <w:shd w:fill="EDEDED" w:val="clear"/>
            <w:tcMar>
              <w:top w:type="dxa" w:w="70"/>
              <w:left w:type="dxa" w:w="100"/>
              <w:bottom w:type="dxa" w:w="70"/>
              <w:right w:type="dxa" w:w="100"/>
            </w:tcMar>
            <w:vAlign w:val="center"/>
          </w:tcPr>
          <w:p>
            <w:r>
              <w:rPr>
                <w:color w:val="3A3A3A"/>
                <w:sz w:val="19"/>
                <w:szCs w:val="19"/>
              </w:rPr>
              <w:t xml:space="preserve">Monnaie</w:t>
            </w:r>
          </w:p>
        </w:tc>
        <w:tc>
          <w:tcPr>
            <w:tcW w:type="dxa" w:w="6900"/>
            <w:shd w:fill="EDEDED" w:val="clear"/>
            <w:tcMar>
              <w:top w:type="dxa" w:w="70"/>
              <w:left w:type="dxa" w:w="100"/>
              <w:bottom w:type="dxa" w:w="70"/>
              <w:right w:type="dxa" w:w="100"/>
            </w:tcMar>
            <w:vAlign w:val="center"/>
          </w:tcPr>
          <w:p>
            <w:r>
              <w:rPr>
                <w:color w:val="3A3A3A"/>
                <w:sz w:val="19"/>
                <w:szCs w:val="19"/>
              </w:rPr>
              <w:t xml:space="preserve">Toutes les valeurs en FCFA avec séparateur de milliers</w:t>
            </w:r>
          </w:p>
        </w:tc>
      </w:tr>
      <w:tr>
        <w:tc>
          <w:tcPr>
            <w:tcW w:type="dxa" w:w="2600"/>
            <w:shd w:fill="FFFFFF" w:val="clear"/>
            <w:tcMar>
              <w:top w:type="dxa" w:w="70"/>
              <w:left w:type="dxa" w:w="100"/>
              <w:bottom w:type="dxa" w:w="70"/>
              <w:right w:type="dxa" w:w="100"/>
            </w:tcMar>
            <w:vAlign w:val="center"/>
          </w:tcPr>
          <w:p>
            <w:r>
              <w:rPr>
                <w:color w:val="3A3A3A"/>
                <w:sz w:val="19"/>
                <w:szCs w:val="19"/>
              </w:rPr>
              <w:t xml:space="preserve">Site vitrine</w:t>
            </w:r>
          </w:p>
        </w:tc>
        <w:tc>
          <w:tcPr>
            <w:tcW w:type="dxa" w:w="6900"/>
            <w:shd w:fill="FFFFFF" w:val="clear"/>
            <w:tcMar>
              <w:top w:type="dxa" w:w="70"/>
              <w:left w:type="dxa" w:w="100"/>
              <w:bottom w:type="dxa" w:w="70"/>
              <w:right w:type="dxa" w:w="100"/>
            </w:tcMar>
            <w:vAlign w:val="center"/>
          </w:tcPr>
          <w:p>
            <w:r>
              <w:rPr>
                <w:color w:val="3A3A3A"/>
                <w:sz w:val="19"/>
                <w:szCs w:val="19"/>
              </w:rPr>
              <w:t xml:space="preserve">Hébergement web accessible publiquement, responsive (mobile et desktop)</w:t>
            </w:r>
          </w:p>
        </w:tc>
      </w:tr>
    </w:tbl>
    <w:p>
      <w:r>
        <w:br w:type="page"/>
      </w:r>
    </w:p>
    <w:p>
      <w:pPr>
        <w:pStyle w:val="Heading1"/>
        <w:pBdr>
          <w:bottom w:val="single" w:color="C9A84C" w:sz="12" w:space="4"/>
        </w:pBdr>
        <w:spacing w:after="200" w:before="400"/>
      </w:pPr>
      <w:r>
        <w:rPr>
          <w:b/>
          <w:bCs/>
          <w:color w:val="1E1E1E"/>
          <w:sz w:val="30"/>
          <w:szCs w:val="30"/>
        </w:rPr>
        <w:t xml:space="preserve">6. DESIGN &amp; ERGONOMIE</w:t>
      </w:r>
    </w:p>
    <w:p>
      <w:pPr>
        <w:pStyle w:val="ListParagraph"/>
        <w:numPr>
          <w:ilvl w:val="0"/>
          <w:numId w:val="2"/>
        </w:numPr>
        <w:spacing w:after="60"/>
      </w:pPr>
      <w:r>
        <w:rPr>
          <w:color w:val="3A3A3A"/>
          <w:sz w:val="21"/>
          <w:szCs w:val="21"/>
        </w:rPr>
        <w:t xml:space="preserve">Interface simple et rapide à utiliser sur téléphone, même sur chantier</w:t>
      </w:r>
    </w:p>
    <w:p>
      <w:pPr>
        <w:pStyle w:val="ListParagraph"/>
        <w:numPr>
          <w:ilvl w:val="0"/>
          <w:numId w:val="2"/>
        </w:numPr>
        <w:spacing w:after="60"/>
      </w:pPr>
      <w:r>
        <w:rPr>
          <w:color w:val="3A3A3A"/>
          <w:sz w:val="21"/>
          <w:szCs w:val="21"/>
        </w:rPr>
        <w:t xml:space="preserve">Navigation claire avec menu principal par icônes</w:t>
      </w:r>
    </w:p>
    <w:p>
      <w:pPr>
        <w:pStyle w:val="ListParagraph"/>
        <w:numPr>
          <w:ilvl w:val="0"/>
          <w:numId w:val="2"/>
        </w:numPr>
        <w:spacing w:after="60"/>
      </w:pPr>
      <w:r>
        <w:rPr>
          <w:color w:val="3A3A3A"/>
          <w:sz w:val="21"/>
          <w:szCs w:val="21"/>
        </w:rPr>
        <w:t xml:space="preserve">Saisie rapide des montants en FCFA</w:t>
      </w:r>
    </w:p>
    <w:p>
      <w:pPr>
        <w:pStyle w:val="ListParagraph"/>
        <w:numPr>
          <w:ilvl w:val="0"/>
          <w:numId w:val="2"/>
        </w:numPr>
        <w:spacing w:after="60"/>
      </w:pPr>
      <w:r>
        <w:rPr>
          <w:color w:val="3A3A3A"/>
          <w:sz w:val="21"/>
          <w:szCs w:val="21"/>
        </w:rPr>
        <w:t xml:space="preserve">Le site vitrine et l'espace client reprennent la même charte graphique que l'application interne, pour une cohérence de marque</w:t>
      </w:r>
    </w:p>
    <w:p>
      <w:pPr>
        <w:pStyle w:val="Heading3"/>
        <w:spacing w:after="100" w:before="200"/>
      </w:pPr>
      <w:r>
        <w:rPr>
          <w:b/>
          <w:bCs/>
          <w:color w:val="1E1E1E"/>
          <w:sz w:val="22"/>
          <w:szCs w:val="22"/>
        </w:rPr>
        <w:t xml:space="preserve">Charte graphique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000"/>
      </w:tblGrid>
      <w:tr>
        <w:trPr>
          <w:tblHeader/>
        </w:trPr>
        <w:tc>
          <w:tcPr>
            <w:tcW w:type="dxa" w:w="2500"/>
            <w:shd w:fill="1E1E1E" w:val="clear"/>
            <w:tcMar>
              <w:top w:type="dxa" w:w="80"/>
              <w:left w:type="dxa" w:w="100"/>
              <w:bottom w:type="dxa" w:w="80"/>
              <w:right w:type="dxa" w:w="100"/>
            </w:tcMar>
            <w:vAlign w:val="center"/>
          </w:tcPr>
          <w:p>
            <w:r>
              <w:rPr>
                <w:b/>
                <w:bCs/>
                <w:color w:val="FFFFFF"/>
                <w:sz w:val="19"/>
                <w:szCs w:val="19"/>
              </w:rPr>
              <w:t xml:space="preserve">Couleur</w:t>
            </w:r>
          </w:p>
        </w:tc>
        <w:tc>
          <w:tcPr>
            <w:tcW w:type="dxa" w:w="2000"/>
            <w:shd w:fill="1E1E1E" w:val="clear"/>
            <w:tcMar>
              <w:top w:type="dxa" w:w="80"/>
              <w:left w:type="dxa" w:w="100"/>
              <w:bottom w:type="dxa" w:w="80"/>
              <w:right w:type="dxa" w:w="100"/>
            </w:tcMar>
            <w:vAlign w:val="center"/>
          </w:tcPr>
          <w:p>
            <w:r>
              <w:rPr>
                <w:b/>
                <w:bCs/>
                <w:color w:val="FFFFFF"/>
                <w:sz w:val="19"/>
                <w:szCs w:val="19"/>
              </w:rPr>
              <w:t xml:space="preserve">Code HEX</w:t>
            </w:r>
          </w:p>
        </w:tc>
        <w:tc>
          <w:tcPr>
            <w:tcW w:type="dxa" w:w="5000"/>
            <w:shd w:fill="1E1E1E" w:val="clear"/>
            <w:tcMar>
              <w:top w:type="dxa" w:w="80"/>
              <w:left w:type="dxa" w:w="100"/>
              <w:bottom w:type="dxa" w:w="80"/>
              <w:right w:type="dxa" w:w="100"/>
            </w:tcMar>
            <w:vAlign w:val="center"/>
          </w:tcPr>
          <w:p>
            <w:r>
              <w:rPr>
                <w:b/>
                <w:bCs/>
                <w:color w:val="FFFFFF"/>
                <w:sz w:val="19"/>
                <w:szCs w:val="19"/>
              </w:rPr>
              <w:t xml:space="preserve">Usage</w:t>
            </w:r>
          </w:p>
        </w:tc>
      </w:tr>
      <w:tr>
        <w:tc>
          <w:tcPr>
            <w:tcW w:type="dxa" w:w="2500"/>
            <w:shd w:fill="FFFFFF" w:val="clear"/>
            <w:tcMar>
              <w:top w:type="dxa" w:w="70"/>
              <w:left w:type="dxa" w:w="100"/>
              <w:bottom w:type="dxa" w:w="70"/>
              <w:right w:type="dxa" w:w="100"/>
            </w:tcMar>
            <w:vAlign w:val="center"/>
          </w:tcPr>
          <w:p>
            <w:r>
              <w:rPr>
                <w:color w:val="3A3A3A"/>
                <w:sz w:val="19"/>
                <w:szCs w:val="19"/>
              </w:rPr>
              <w:t xml:space="preserve">Anthracite</w:t>
            </w:r>
          </w:p>
        </w:tc>
        <w:tc>
          <w:tcPr>
            <w:tcW w:type="dxa" w:w="2000"/>
            <w:shd w:fill="FFFFFF" w:val="clear"/>
            <w:tcMar>
              <w:top w:type="dxa" w:w="70"/>
              <w:left w:type="dxa" w:w="100"/>
              <w:bottom w:type="dxa" w:w="70"/>
              <w:right w:type="dxa" w:w="100"/>
            </w:tcMar>
            <w:vAlign w:val="center"/>
          </w:tcPr>
          <w:p>
            <w:r>
              <w:rPr>
                <w:color w:val="3A3A3A"/>
                <w:sz w:val="19"/>
                <w:szCs w:val="19"/>
              </w:rPr>
              <w:t xml:space="preserve">#1E1E1E</w:t>
            </w:r>
          </w:p>
        </w:tc>
        <w:tc>
          <w:tcPr>
            <w:tcW w:type="dxa" w:w="5000"/>
            <w:shd w:fill="FFFFFF" w:val="clear"/>
            <w:tcMar>
              <w:top w:type="dxa" w:w="70"/>
              <w:left w:type="dxa" w:w="100"/>
              <w:bottom w:type="dxa" w:w="70"/>
              <w:right w:type="dxa" w:w="100"/>
            </w:tcMar>
            <w:vAlign w:val="center"/>
          </w:tcPr>
          <w:p>
            <w:r>
              <w:rPr>
                <w:color w:val="3A3A3A"/>
                <w:sz w:val="19"/>
                <w:szCs w:val="19"/>
              </w:rPr>
              <w:t xml:space="preserve">Fond principal, en-têtes</w:t>
            </w:r>
          </w:p>
        </w:tc>
      </w:tr>
      <w:tr>
        <w:tc>
          <w:tcPr>
            <w:tcW w:type="dxa" w:w="2500"/>
            <w:shd w:fill="EDEDED" w:val="clear"/>
            <w:tcMar>
              <w:top w:type="dxa" w:w="70"/>
              <w:left w:type="dxa" w:w="100"/>
              <w:bottom w:type="dxa" w:w="70"/>
              <w:right w:type="dxa" w:w="100"/>
            </w:tcMar>
            <w:vAlign w:val="center"/>
          </w:tcPr>
          <w:p>
            <w:r>
              <w:rPr>
                <w:color w:val="3A3A3A"/>
                <w:sz w:val="19"/>
                <w:szCs w:val="19"/>
              </w:rPr>
              <w:t xml:space="preserve">Or</w:t>
            </w:r>
          </w:p>
        </w:tc>
        <w:tc>
          <w:tcPr>
            <w:tcW w:type="dxa" w:w="2000"/>
            <w:shd w:fill="EDEDED" w:val="clear"/>
            <w:tcMar>
              <w:top w:type="dxa" w:w="70"/>
              <w:left w:type="dxa" w:w="100"/>
              <w:bottom w:type="dxa" w:w="70"/>
              <w:right w:type="dxa" w:w="100"/>
            </w:tcMar>
            <w:vAlign w:val="center"/>
          </w:tcPr>
          <w:p>
            <w:r>
              <w:rPr>
                <w:color w:val="3A3A3A"/>
                <w:sz w:val="19"/>
                <w:szCs w:val="19"/>
              </w:rPr>
              <w:t xml:space="preserve">#C9A84C</w:t>
            </w:r>
          </w:p>
        </w:tc>
        <w:tc>
          <w:tcPr>
            <w:tcW w:type="dxa" w:w="5000"/>
            <w:shd w:fill="EDEDED" w:val="clear"/>
            <w:tcMar>
              <w:top w:type="dxa" w:w="70"/>
              <w:left w:type="dxa" w:w="100"/>
              <w:bottom w:type="dxa" w:w="70"/>
              <w:right w:type="dxa" w:w="100"/>
            </w:tcMar>
            <w:vAlign w:val="center"/>
          </w:tcPr>
          <w:p>
            <w:r>
              <w:rPr>
                <w:color w:val="3A3A3A"/>
                <w:sz w:val="19"/>
                <w:szCs w:val="19"/>
              </w:rPr>
              <w:t xml:space="preserve">Accents, titres, totaux</w:t>
            </w:r>
          </w:p>
        </w:tc>
      </w:tr>
      <w:tr>
        <w:tc>
          <w:tcPr>
            <w:tcW w:type="dxa" w:w="2500"/>
            <w:shd w:fill="FFFFFF" w:val="clear"/>
            <w:tcMar>
              <w:top w:type="dxa" w:w="70"/>
              <w:left w:type="dxa" w:w="100"/>
              <w:bottom w:type="dxa" w:w="70"/>
              <w:right w:type="dxa" w:w="100"/>
            </w:tcMar>
            <w:vAlign w:val="center"/>
          </w:tcPr>
          <w:p>
            <w:r>
              <w:rPr>
                <w:color w:val="3A3A3A"/>
                <w:sz w:val="19"/>
                <w:szCs w:val="19"/>
              </w:rPr>
              <w:t xml:space="preserve">Blanc</w:t>
            </w:r>
          </w:p>
        </w:tc>
        <w:tc>
          <w:tcPr>
            <w:tcW w:type="dxa" w:w="2000"/>
            <w:shd w:fill="FFFFFF" w:val="clear"/>
            <w:tcMar>
              <w:top w:type="dxa" w:w="70"/>
              <w:left w:type="dxa" w:w="100"/>
              <w:bottom w:type="dxa" w:w="70"/>
              <w:right w:type="dxa" w:w="100"/>
            </w:tcMar>
            <w:vAlign w:val="center"/>
          </w:tcPr>
          <w:p>
            <w:r>
              <w:rPr>
                <w:color w:val="3A3A3A"/>
                <w:sz w:val="19"/>
                <w:szCs w:val="19"/>
              </w:rPr>
              <w:t xml:space="preserve">#F5F5F5</w:t>
            </w:r>
          </w:p>
        </w:tc>
        <w:tc>
          <w:tcPr>
            <w:tcW w:type="dxa" w:w="5000"/>
            <w:shd w:fill="FFFFFF" w:val="clear"/>
            <w:tcMar>
              <w:top w:type="dxa" w:w="70"/>
              <w:left w:type="dxa" w:w="100"/>
              <w:bottom w:type="dxa" w:w="70"/>
              <w:right w:type="dxa" w:w="100"/>
            </w:tcMar>
            <w:vAlign w:val="center"/>
          </w:tcPr>
          <w:p>
            <w:r>
              <w:rPr>
                <w:color w:val="3A3A3A"/>
                <w:sz w:val="19"/>
                <w:szCs w:val="19"/>
              </w:rPr>
              <w:t xml:space="preserve">Fond des contenus, textes sur fond sombre</w:t>
            </w:r>
          </w:p>
        </w:tc>
      </w:tr>
      <w:tr>
        <w:tc>
          <w:tcPr>
            <w:tcW w:type="dxa" w:w="2500"/>
            <w:shd w:fill="EDEDED" w:val="clear"/>
            <w:tcMar>
              <w:top w:type="dxa" w:w="70"/>
              <w:left w:type="dxa" w:w="100"/>
              <w:bottom w:type="dxa" w:w="70"/>
              <w:right w:type="dxa" w:w="100"/>
            </w:tcMar>
            <w:vAlign w:val="center"/>
          </w:tcPr>
          <w:p>
            <w:r>
              <w:rPr>
                <w:color w:val="3A3A3A"/>
                <w:sz w:val="19"/>
                <w:szCs w:val="19"/>
              </w:rPr>
              <w:t xml:space="preserve">Vert</w:t>
            </w:r>
          </w:p>
        </w:tc>
        <w:tc>
          <w:tcPr>
            <w:tcW w:type="dxa" w:w="2000"/>
            <w:shd w:fill="EDEDED" w:val="clear"/>
            <w:tcMar>
              <w:top w:type="dxa" w:w="70"/>
              <w:left w:type="dxa" w:w="100"/>
              <w:bottom w:type="dxa" w:w="70"/>
              <w:right w:type="dxa" w:w="100"/>
            </w:tcMar>
            <w:vAlign w:val="center"/>
          </w:tcPr>
          <w:p>
            <w:r>
              <w:rPr>
                <w:color w:val="3A3A3A"/>
                <w:sz w:val="19"/>
                <w:szCs w:val="19"/>
              </w:rPr>
              <w:t xml:space="preserve">#4CAF7D</w:t>
            </w:r>
          </w:p>
        </w:tc>
        <w:tc>
          <w:tcPr>
            <w:tcW w:type="dxa" w:w="5000"/>
            <w:shd w:fill="EDEDED" w:val="clear"/>
            <w:tcMar>
              <w:top w:type="dxa" w:w="70"/>
              <w:left w:type="dxa" w:w="100"/>
              <w:bottom w:type="dxa" w:w="70"/>
              <w:right w:type="dxa" w:w="100"/>
            </w:tcMar>
            <w:vAlign w:val="center"/>
          </w:tcPr>
          <w:p>
            <w:r>
              <w:rPr>
                <w:color w:val="3A3A3A"/>
                <w:sz w:val="19"/>
                <w:szCs w:val="19"/>
              </w:rPr>
              <w:t xml:space="preserve">Indicateur bonne marge</w:t>
            </w:r>
          </w:p>
        </w:tc>
      </w:tr>
      <w:tr>
        <w:tc>
          <w:tcPr>
            <w:tcW w:type="dxa" w:w="2500"/>
            <w:shd w:fill="FFFFFF" w:val="clear"/>
            <w:tcMar>
              <w:top w:type="dxa" w:w="70"/>
              <w:left w:type="dxa" w:w="100"/>
              <w:bottom w:type="dxa" w:w="70"/>
              <w:right w:type="dxa" w:w="100"/>
            </w:tcMar>
            <w:vAlign w:val="center"/>
          </w:tcPr>
          <w:p>
            <w:r>
              <w:rPr>
                <w:color w:val="3A3A3A"/>
                <w:sz w:val="19"/>
                <w:szCs w:val="19"/>
              </w:rPr>
              <w:t xml:space="preserve">Orange</w:t>
            </w:r>
          </w:p>
        </w:tc>
        <w:tc>
          <w:tcPr>
            <w:tcW w:type="dxa" w:w="2000"/>
            <w:shd w:fill="FFFFFF" w:val="clear"/>
            <w:tcMar>
              <w:top w:type="dxa" w:w="70"/>
              <w:left w:type="dxa" w:w="100"/>
              <w:bottom w:type="dxa" w:w="70"/>
              <w:right w:type="dxa" w:w="100"/>
            </w:tcMar>
            <w:vAlign w:val="center"/>
          </w:tcPr>
          <w:p>
            <w:r>
              <w:rPr>
                <w:color w:val="3A3A3A"/>
                <w:sz w:val="19"/>
                <w:szCs w:val="19"/>
              </w:rPr>
              <w:t xml:space="preserve">#E0B84C</w:t>
            </w:r>
          </w:p>
        </w:tc>
        <w:tc>
          <w:tcPr>
            <w:tcW w:type="dxa" w:w="5000"/>
            <w:shd w:fill="FFFFFF" w:val="clear"/>
            <w:tcMar>
              <w:top w:type="dxa" w:w="70"/>
              <w:left w:type="dxa" w:w="100"/>
              <w:bottom w:type="dxa" w:w="70"/>
              <w:right w:type="dxa" w:w="100"/>
            </w:tcMar>
            <w:vAlign w:val="center"/>
          </w:tcPr>
          <w:p>
            <w:r>
              <w:rPr>
                <w:color w:val="3A3A3A"/>
                <w:sz w:val="19"/>
                <w:szCs w:val="19"/>
              </w:rPr>
              <w:t xml:space="preserve">Indicateur marge faible</w:t>
            </w:r>
          </w:p>
        </w:tc>
      </w:tr>
      <w:tr>
        <w:tc>
          <w:tcPr>
            <w:tcW w:type="dxa" w:w="2500"/>
            <w:shd w:fill="EDEDED" w:val="clear"/>
            <w:tcMar>
              <w:top w:type="dxa" w:w="70"/>
              <w:left w:type="dxa" w:w="100"/>
              <w:bottom w:type="dxa" w:w="70"/>
              <w:right w:type="dxa" w:w="100"/>
            </w:tcMar>
            <w:vAlign w:val="center"/>
          </w:tcPr>
          <w:p>
            <w:r>
              <w:rPr>
                <w:color w:val="3A3A3A"/>
                <w:sz w:val="19"/>
                <w:szCs w:val="19"/>
              </w:rPr>
              <w:t xml:space="preserve">Rouge</w:t>
            </w:r>
          </w:p>
        </w:tc>
        <w:tc>
          <w:tcPr>
            <w:tcW w:type="dxa" w:w="2000"/>
            <w:shd w:fill="EDEDED" w:val="clear"/>
            <w:tcMar>
              <w:top w:type="dxa" w:w="70"/>
              <w:left w:type="dxa" w:w="100"/>
              <w:bottom w:type="dxa" w:w="70"/>
              <w:right w:type="dxa" w:w="100"/>
            </w:tcMar>
            <w:vAlign w:val="center"/>
          </w:tcPr>
          <w:p>
            <w:r>
              <w:rPr>
                <w:color w:val="3A3A3A"/>
                <w:sz w:val="19"/>
                <w:szCs w:val="19"/>
              </w:rPr>
              <w:t xml:space="preserve">#E05555</w:t>
            </w:r>
          </w:p>
        </w:tc>
        <w:tc>
          <w:tcPr>
            <w:tcW w:type="dxa" w:w="5000"/>
            <w:shd w:fill="EDEDED" w:val="clear"/>
            <w:tcMar>
              <w:top w:type="dxa" w:w="70"/>
              <w:left w:type="dxa" w:w="100"/>
              <w:bottom w:type="dxa" w:w="70"/>
              <w:right w:type="dxa" w:w="100"/>
            </w:tcMar>
            <w:vAlign w:val="center"/>
          </w:tcPr>
          <w:p>
            <w:r>
              <w:rPr>
                <w:color w:val="3A3A3A"/>
                <w:sz w:val="19"/>
                <w:szCs w:val="19"/>
              </w:rPr>
              <w:t xml:space="preserve">Indicateur perte</w:t>
            </w:r>
          </w:p>
        </w:tc>
      </w:tr>
    </w:tbl>
    <w:p>
      <w:pPr>
        <w:pStyle w:val="Heading1"/>
        <w:pBdr>
          <w:bottom w:val="single" w:color="C9A84C" w:sz="12" w:space="4"/>
        </w:pBdr>
        <w:spacing w:after="200" w:before="400"/>
      </w:pPr>
      <w:r>
        <w:rPr>
          <w:b/>
          <w:bCs/>
          <w:color w:val="1E1E1E"/>
          <w:sz w:val="30"/>
          <w:szCs w:val="30"/>
        </w:rPr>
        <w:t xml:space="preserve">7. RECOMMANDATION D'ARCHITECTURE APPLICATIVE</w:t>
      </w:r>
    </w:p>
    <w:p>
      <w:pPr>
        <w:spacing w:after="120"/>
      </w:pPr>
      <w:r>
        <w:rPr>
          <w:color w:val="3A3A3A"/>
          <w:sz w:val="21"/>
          <w:szCs w:val="21"/>
        </w:rPr>
        <w:t xml:space="preserve">À titre de recommandation technique pour le développeur, l'architecture suivante permettrait de couvrir l'ensemble des besoins exprimés :</w:t>
      </w:r>
    </w:p>
    <w:p>
      <w:pPr>
        <w:pStyle w:val="ListParagraph"/>
        <w:numPr>
          <w:ilvl w:val="0"/>
          <w:numId w:val="2"/>
        </w:numPr>
        <w:spacing w:after="60"/>
      </w:pPr>
      <w:r>
        <w:rPr>
          <w:color w:val="3A3A3A"/>
          <w:sz w:val="21"/>
          <w:szCs w:val="21"/>
        </w:rPr>
        <w:t xml:space="preserve">Application mobile Android native ou hybride (ex. Flutter/React Native) avec base de données locale (ex. SQLite) pour le fonctionnement hors ligne</w:t>
      </w:r>
    </w:p>
    <w:p>
      <w:pPr>
        <w:pStyle w:val="ListParagraph"/>
        <w:numPr>
          <w:ilvl w:val="0"/>
          <w:numId w:val="2"/>
        </w:numPr>
        <w:spacing w:after="60"/>
      </w:pPr>
      <w:r>
        <w:rPr>
          <w:color w:val="3A3A3A"/>
          <w:sz w:val="21"/>
          <w:szCs w:val="21"/>
        </w:rPr>
        <w:t xml:space="preserve">Synchronisation avec un backend cloud dès que le réseau est disponible, avec gestion des conflits de données</w:t>
      </w:r>
    </w:p>
    <w:p>
      <w:pPr>
        <w:pStyle w:val="ListParagraph"/>
        <w:numPr>
          <w:ilvl w:val="0"/>
          <w:numId w:val="2"/>
        </w:numPr>
        <w:spacing w:after="60"/>
      </w:pPr>
      <w:r>
        <w:rPr>
          <w:color w:val="3A3A3A"/>
          <w:sz w:val="21"/>
          <w:szCs w:val="21"/>
        </w:rPr>
        <w:t xml:space="preserve">Site vitrine et espace client développés séparément (web), consommant les mêmes données via une API commune</w:t>
      </w:r>
    </w:p>
    <w:p>
      <w:pPr>
        <w:pStyle w:val="ListParagraph"/>
        <w:numPr>
          <w:ilvl w:val="0"/>
          <w:numId w:val="2"/>
        </w:numPr>
        <w:spacing w:after="60"/>
      </w:pPr>
      <w:r>
        <w:rPr>
          <w:color w:val="3A3A3A"/>
          <w:sz w:val="21"/>
          <w:szCs w:val="21"/>
        </w:rPr>
        <w:t xml:space="preserve">Sauvegardes automatiques régulières côté serveur pour garantir qu'aucune donnée ne soit perdue</w:t>
      </w:r>
    </w:p>
    <w:p>
      <w:r>
        <w:br w:type="page"/>
      </w:r>
    </w:p>
    <w:p>
      <w:pPr>
        <w:pStyle w:val="Heading1"/>
        <w:pBdr>
          <w:bottom w:val="single" w:color="C9A84C" w:sz="12" w:space="4"/>
        </w:pBdr>
        <w:spacing w:after="200" w:before="400"/>
      </w:pPr>
      <w:r>
        <w:rPr>
          <w:b/>
          <w:bCs/>
          <w:color w:val="1E1E1E"/>
          <w:sz w:val="30"/>
          <w:szCs w:val="30"/>
        </w:rPr>
        <w:t xml:space="preserve">8. ROADMAP — FONCTIONNALITÉS FUTURES</w:t>
      </w:r>
    </w:p>
    <w:p>
      <w:pPr>
        <w:spacing w:after="120"/>
      </w:pPr>
      <w:r>
        <w:rPr>
          <w:color w:val="3A3A3A"/>
          <w:sz w:val="21"/>
          <w:szCs w:val="21"/>
        </w:rPr>
        <w:t xml:space="preserve">Les fonctionnalités suivantes ne sont pas indispensables au lancement mais sont identifiées comme des évolutions naturelles de l'application, à prioriser après la mise en production du MVP.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E1E1E" w:val="clear"/>
            <w:tcMar>
              <w:top w:type="dxa" w:w="80"/>
              <w:left w:type="dxa" w:w="100"/>
              <w:bottom w:type="dxa" w:w="80"/>
              <w:right w:type="dxa" w:w="100"/>
            </w:tcMar>
            <w:vAlign w:val="center"/>
          </w:tcPr>
          <w:p>
            <w:r>
              <w:rPr>
                <w:b/>
                <w:bCs/>
                <w:color w:val="FFFFFF"/>
                <w:sz w:val="19"/>
                <w:szCs w:val="19"/>
              </w:rPr>
              <w:t xml:space="preserve">Fonctionnalité future</w:t>
            </w:r>
          </w:p>
        </w:tc>
        <w:tc>
          <w:tcPr>
            <w:tcW w:type="dxa" w:w="6300"/>
            <w:shd w:fill="1E1E1E" w:val="clear"/>
            <w:tcMar>
              <w:top w:type="dxa" w:w="80"/>
              <w:left w:type="dxa" w:w="100"/>
              <w:bottom w:type="dxa" w:w="80"/>
              <w:right w:type="dxa" w:w="100"/>
            </w:tcMar>
            <w:vAlign w:val="center"/>
          </w:tcPr>
          <w:p>
            <w:r>
              <w:rPr>
                <w:b/>
                <w:bCs/>
                <w:color w:val="FFFFFF"/>
                <w:sz w:val="19"/>
                <w:szCs w:val="19"/>
              </w:rPr>
              <w:t xml:space="preserve">Description</w:t>
            </w:r>
          </w:p>
        </w:tc>
      </w:tr>
      <w:tr>
        <w:tc>
          <w:tcPr>
            <w:tcW w:type="dxa" w:w="3200"/>
            <w:shd w:fill="FFFFFF" w:val="clear"/>
            <w:tcMar>
              <w:top w:type="dxa" w:w="70"/>
              <w:left w:type="dxa" w:w="100"/>
              <w:bottom w:type="dxa" w:w="70"/>
              <w:right w:type="dxa" w:w="100"/>
            </w:tcMar>
            <w:vAlign w:val="center"/>
          </w:tcPr>
          <w:p>
            <w:r>
              <w:rPr>
                <w:color w:val="3A3A3A"/>
                <w:sz w:val="19"/>
                <w:szCs w:val="19"/>
              </w:rPr>
              <w:t xml:space="preserve">Rôles multi-utilisateurs internes</w:t>
            </w:r>
          </w:p>
        </w:tc>
        <w:tc>
          <w:tcPr>
            <w:tcW w:type="dxa" w:w="6300"/>
            <w:shd w:fill="FFFFFF" w:val="clear"/>
            <w:tcMar>
              <w:top w:type="dxa" w:w="70"/>
              <w:left w:type="dxa" w:w="100"/>
              <w:bottom w:type="dxa" w:w="70"/>
              <w:right w:type="dxa" w:w="100"/>
            </w:tcMar>
            <w:vAlign w:val="center"/>
          </w:tcPr>
          <w:p>
            <w:r>
              <w:rPr>
                <w:color w:val="3A3A3A"/>
                <w:sz w:val="19"/>
                <w:szCs w:val="19"/>
              </w:rPr>
              <w:t xml:space="preserve">Chef de chantier, comptable, etc. avec permissions différenciées</w:t>
            </w:r>
          </w:p>
        </w:tc>
      </w:tr>
      <w:tr>
        <w:tc>
          <w:tcPr>
            <w:tcW w:type="dxa" w:w="3200"/>
            <w:shd w:fill="EDEDED" w:val="clear"/>
            <w:tcMar>
              <w:top w:type="dxa" w:w="70"/>
              <w:left w:type="dxa" w:w="100"/>
              <w:bottom w:type="dxa" w:w="70"/>
              <w:right w:type="dxa" w:w="100"/>
            </w:tcMar>
            <w:vAlign w:val="center"/>
          </w:tcPr>
          <w:p>
            <w:r>
              <w:rPr>
                <w:color w:val="3A3A3A"/>
                <w:sz w:val="19"/>
                <w:szCs w:val="19"/>
              </w:rPr>
              <w:t xml:space="preserve">Suivi de tâches avancé</w:t>
            </w:r>
          </w:p>
        </w:tc>
        <w:tc>
          <w:tcPr>
            <w:tcW w:type="dxa" w:w="6300"/>
            <w:shd w:fill="EDEDED" w:val="clear"/>
            <w:tcMar>
              <w:top w:type="dxa" w:w="70"/>
              <w:left w:type="dxa" w:w="100"/>
              <w:bottom w:type="dxa" w:w="70"/>
              <w:right w:type="dxa" w:w="100"/>
            </w:tcMar>
            <w:vAlign w:val="center"/>
          </w:tcPr>
          <w:p>
            <w:r>
              <w:rPr>
                <w:color w:val="3A3A3A"/>
                <w:sz w:val="19"/>
                <w:szCs w:val="19"/>
              </w:rPr>
              <w:t xml:space="preserve">Version complète façon Jira : priorités, dépendances, historique détaillé</w:t>
            </w:r>
          </w:p>
        </w:tc>
      </w:tr>
      <w:tr>
        <w:tc>
          <w:tcPr>
            <w:tcW w:type="dxa" w:w="3200"/>
            <w:shd w:fill="FFFFFF" w:val="clear"/>
            <w:tcMar>
              <w:top w:type="dxa" w:w="70"/>
              <w:left w:type="dxa" w:w="100"/>
              <w:bottom w:type="dxa" w:w="70"/>
              <w:right w:type="dxa" w:w="100"/>
            </w:tcMar>
            <w:vAlign w:val="center"/>
          </w:tcPr>
          <w:p>
            <w:r>
              <w:rPr>
                <w:color w:val="3A3A3A"/>
                <w:sz w:val="19"/>
                <w:szCs w:val="19"/>
              </w:rPr>
              <w:t xml:space="preserve">Module Devis</w:t>
            </w:r>
          </w:p>
        </w:tc>
        <w:tc>
          <w:tcPr>
            <w:tcW w:type="dxa" w:w="6300"/>
            <w:shd w:fill="FFFFFF" w:val="clear"/>
            <w:tcMar>
              <w:top w:type="dxa" w:w="70"/>
              <w:left w:type="dxa" w:w="100"/>
              <w:bottom w:type="dxa" w:w="70"/>
              <w:right w:type="dxa" w:w="100"/>
            </w:tcMar>
            <w:vAlign w:val="center"/>
          </w:tcPr>
          <w:p>
            <w:r>
              <w:rPr>
                <w:color w:val="3A3A3A"/>
                <w:sz w:val="19"/>
                <w:szCs w:val="19"/>
              </w:rPr>
              <w:t xml:space="preserve">Génération automatique de devis PDF à partir des données de métrage</w:t>
            </w:r>
          </w:p>
        </w:tc>
      </w:tr>
      <w:tr>
        <w:tc>
          <w:tcPr>
            <w:tcW w:type="dxa" w:w="3200"/>
            <w:shd w:fill="EDEDED" w:val="clear"/>
            <w:tcMar>
              <w:top w:type="dxa" w:w="70"/>
              <w:left w:type="dxa" w:w="100"/>
              <w:bottom w:type="dxa" w:w="70"/>
              <w:right w:type="dxa" w:w="100"/>
            </w:tcMar>
            <w:vAlign w:val="center"/>
          </w:tcPr>
          <w:p>
            <w:r>
              <w:rPr>
                <w:color w:val="3A3A3A"/>
                <w:sz w:val="19"/>
                <w:szCs w:val="19"/>
              </w:rPr>
              <w:t xml:space="preserve">Module Planning</w:t>
            </w:r>
          </w:p>
        </w:tc>
        <w:tc>
          <w:tcPr>
            <w:tcW w:type="dxa" w:w="6300"/>
            <w:shd w:fill="EDEDED" w:val="clear"/>
            <w:tcMar>
              <w:top w:type="dxa" w:w="70"/>
              <w:left w:type="dxa" w:w="100"/>
              <w:bottom w:type="dxa" w:w="70"/>
              <w:right w:type="dxa" w:w="100"/>
            </w:tcMar>
            <w:vAlign w:val="center"/>
          </w:tcPr>
          <w:p>
            <w:r>
              <w:rPr>
                <w:color w:val="3A3A3A"/>
                <w:sz w:val="19"/>
                <w:szCs w:val="19"/>
              </w:rPr>
              <w:t xml:space="preserve">Calendrier global des chantiers en cours, alertes de retard</w:t>
            </w:r>
          </w:p>
        </w:tc>
      </w:tr>
      <w:tr>
        <w:tc>
          <w:tcPr>
            <w:tcW w:type="dxa" w:w="3200"/>
            <w:shd w:fill="FFFFFF" w:val="clear"/>
            <w:tcMar>
              <w:top w:type="dxa" w:w="70"/>
              <w:left w:type="dxa" w:w="100"/>
              <w:bottom w:type="dxa" w:w="70"/>
              <w:right w:type="dxa" w:w="100"/>
            </w:tcMar>
            <w:vAlign w:val="center"/>
          </w:tcPr>
          <w:p>
            <w:r>
              <w:rPr>
                <w:color w:val="3A3A3A"/>
                <w:sz w:val="19"/>
                <w:szCs w:val="19"/>
              </w:rPr>
              <w:t xml:space="preserve">Module Fournisseurs</w:t>
            </w:r>
          </w:p>
        </w:tc>
        <w:tc>
          <w:tcPr>
            <w:tcW w:type="dxa" w:w="6300"/>
            <w:shd w:fill="FFFFFF" w:val="clear"/>
            <w:tcMar>
              <w:top w:type="dxa" w:w="70"/>
              <w:left w:type="dxa" w:w="100"/>
              <w:bottom w:type="dxa" w:w="70"/>
              <w:right w:type="dxa" w:w="100"/>
            </w:tcMar>
            <w:vAlign w:val="center"/>
          </w:tcPr>
          <w:p>
            <w:r>
              <w:rPr>
                <w:color w:val="3A3A3A"/>
                <w:sz w:val="19"/>
                <w:szCs w:val="19"/>
              </w:rPr>
              <w:t xml:space="preserve">Suivi des commandes de matériaux, comparaison des prix par fournisseur</w:t>
            </w:r>
          </w:p>
        </w:tc>
      </w:tr>
      <w:tr>
        <w:tc>
          <w:tcPr>
            <w:tcW w:type="dxa" w:w="3200"/>
            <w:shd w:fill="EDEDED" w:val="clear"/>
            <w:tcMar>
              <w:top w:type="dxa" w:w="70"/>
              <w:left w:type="dxa" w:w="100"/>
              <w:bottom w:type="dxa" w:w="70"/>
              <w:right w:type="dxa" w:w="100"/>
            </w:tcMar>
            <w:vAlign w:val="center"/>
          </w:tcPr>
          <w:p>
            <w:r>
              <w:rPr>
                <w:color w:val="3A3A3A"/>
                <w:sz w:val="19"/>
                <w:szCs w:val="19"/>
              </w:rPr>
              <w:t xml:space="preserve">Bibliothèque photos avant/après</w:t>
            </w:r>
          </w:p>
        </w:tc>
        <w:tc>
          <w:tcPr>
            <w:tcW w:type="dxa" w:w="6300"/>
            <w:shd w:fill="EDEDED" w:val="clear"/>
            <w:tcMar>
              <w:top w:type="dxa" w:w="70"/>
              <w:left w:type="dxa" w:w="100"/>
              <w:bottom w:type="dxa" w:w="70"/>
              <w:right w:type="dxa" w:w="100"/>
            </w:tcMar>
            <w:vAlign w:val="center"/>
          </w:tcPr>
          <w:p>
            <w:r>
              <w:rPr>
                <w:color w:val="3A3A3A"/>
                <w:sz w:val="19"/>
                <w:szCs w:val="19"/>
              </w:rPr>
              <w:t xml:space="preserve">Réutilisable directement sur le site vitrine</w:t>
            </w:r>
          </w:p>
        </w:tc>
      </w:tr>
      <w:tr>
        <w:tc>
          <w:tcPr>
            <w:tcW w:type="dxa" w:w="3200"/>
            <w:shd w:fill="FFFFFF" w:val="clear"/>
            <w:tcMar>
              <w:top w:type="dxa" w:w="70"/>
              <w:left w:type="dxa" w:w="100"/>
              <w:bottom w:type="dxa" w:w="70"/>
              <w:right w:type="dxa" w:w="100"/>
            </w:tcMar>
            <w:vAlign w:val="center"/>
          </w:tcPr>
          <w:p>
            <w:r>
              <w:rPr>
                <w:color w:val="3A3A3A"/>
                <w:sz w:val="19"/>
                <w:szCs w:val="19"/>
              </w:rPr>
              <w:t xml:space="preserve">Statistiques avancées</w:t>
            </w:r>
          </w:p>
        </w:tc>
        <w:tc>
          <w:tcPr>
            <w:tcW w:type="dxa" w:w="6300"/>
            <w:shd w:fill="FFFFFF" w:val="clear"/>
            <w:tcMar>
              <w:top w:type="dxa" w:w="70"/>
              <w:left w:type="dxa" w:w="100"/>
              <w:bottom w:type="dxa" w:w="70"/>
              <w:right w:type="dxa" w:w="100"/>
            </w:tcMar>
            <w:vAlign w:val="center"/>
          </w:tcPr>
          <w:p>
            <w:r>
              <w:rPr>
                <w:color w:val="3A3A3A"/>
                <w:sz w:val="19"/>
                <w:szCs w:val="19"/>
              </w:rPr>
              <w:t xml:space="preserve">Rentabilité par type de travaux, par ville, par saison</w:t>
            </w:r>
          </w:p>
        </w:tc>
      </w:tr>
      <w:tr>
        <w:tc>
          <w:tcPr>
            <w:tcW w:type="dxa" w:w="3200"/>
            <w:shd w:fill="EDEDED" w:val="clear"/>
            <w:tcMar>
              <w:top w:type="dxa" w:w="70"/>
              <w:left w:type="dxa" w:w="100"/>
              <w:bottom w:type="dxa" w:w="70"/>
              <w:right w:type="dxa" w:w="100"/>
            </w:tcMar>
            <w:vAlign w:val="center"/>
          </w:tcPr>
          <w:p>
            <w:r>
              <w:rPr>
                <w:color w:val="3A3A3A"/>
                <w:sz w:val="19"/>
                <w:szCs w:val="19"/>
              </w:rPr>
              <w:t xml:space="preserve">Module Notation client</w:t>
            </w:r>
          </w:p>
        </w:tc>
        <w:tc>
          <w:tcPr>
            <w:tcW w:type="dxa" w:w="6300"/>
            <w:shd w:fill="EDEDED" w:val="clear"/>
            <w:tcMar>
              <w:top w:type="dxa" w:w="70"/>
              <w:left w:type="dxa" w:w="100"/>
              <w:bottom w:type="dxa" w:w="70"/>
              <w:right w:type="dxa" w:w="100"/>
            </w:tcMar>
            <w:vAlign w:val="center"/>
          </w:tcPr>
          <w:p>
            <w:r>
              <w:rPr>
                <w:color w:val="3A3A3A"/>
                <w:sz w:val="19"/>
                <w:szCs w:val="19"/>
              </w:rPr>
              <w:t xml:space="preserve">Demande d'avis automatique après chantier terminé, alimentant le site vitrine</w:t>
            </w:r>
          </w:p>
        </w:tc>
      </w:tr>
      <w:tr>
        <w:tc>
          <w:tcPr>
            <w:tcW w:type="dxa" w:w="3200"/>
            <w:shd w:fill="FFFFFF" w:val="clear"/>
            <w:tcMar>
              <w:top w:type="dxa" w:w="70"/>
              <w:left w:type="dxa" w:w="100"/>
              <w:bottom w:type="dxa" w:w="70"/>
              <w:right w:type="dxa" w:w="100"/>
            </w:tcMar>
            <w:vAlign w:val="center"/>
          </w:tcPr>
          <w:p>
            <w:r>
              <w:rPr>
                <w:color w:val="3A3A3A"/>
                <w:sz w:val="19"/>
                <w:szCs w:val="19"/>
              </w:rPr>
              <w:t xml:space="preserve">Journal d'activité</w:t>
            </w:r>
          </w:p>
        </w:tc>
        <w:tc>
          <w:tcPr>
            <w:tcW w:type="dxa" w:w="6300"/>
            <w:shd w:fill="FFFFFF" w:val="clear"/>
            <w:tcMar>
              <w:top w:type="dxa" w:w="70"/>
              <w:left w:type="dxa" w:w="100"/>
              <w:bottom w:type="dxa" w:w="70"/>
              <w:right w:type="dxa" w:w="100"/>
            </w:tcMar>
            <w:vAlign w:val="center"/>
          </w:tcPr>
          <w:p>
            <w:r>
              <w:rPr>
                <w:color w:val="3A3A3A"/>
                <w:sz w:val="19"/>
                <w:szCs w:val="19"/>
              </w:rPr>
              <w:t xml:space="preserve">Historique des actions par utilisateur interne</w:t>
            </w:r>
          </w:p>
        </w:tc>
      </w:tr>
    </w:tbl>
    <w:p>
      <w:pPr>
        <w:pStyle w:val="Heading1"/>
        <w:pBdr>
          <w:bottom w:val="single" w:color="C9A84C" w:sz="12" w:space="4"/>
        </w:pBdr>
        <w:spacing w:after="200" w:before="400"/>
      </w:pPr>
      <w:r>
        <w:rPr>
          <w:b/>
          <w:bCs/>
          <w:color w:val="1E1E1E"/>
          <w:sz w:val="30"/>
          <w:szCs w:val="30"/>
        </w:rPr>
        <w:t xml:space="preserve">9. LIVRABLES ATTENDUS</w:t>
      </w:r>
    </w:p>
    <w:p>
      <w:pPr>
        <w:pStyle w:val="ListParagraph"/>
        <w:numPr>
          <w:ilvl w:val="0"/>
          <w:numId w:val="2"/>
        </w:numPr>
        <w:spacing w:after="60"/>
      </w:pPr>
      <w:r>
        <w:rPr>
          <w:color w:val="3A3A3A"/>
          <w:sz w:val="21"/>
          <w:szCs w:val="21"/>
        </w:rPr>
        <w:t xml:space="preserve">Maquettes (wireframes) de tous les écrans principaux, y compris site vitrine et espace client</w:t>
      </w:r>
    </w:p>
    <w:p>
      <w:pPr>
        <w:pStyle w:val="ListParagraph"/>
        <w:numPr>
          <w:ilvl w:val="0"/>
          <w:numId w:val="2"/>
        </w:numPr>
        <w:spacing w:after="60"/>
      </w:pPr>
      <w:r>
        <w:rPr>
          <w:color w:val="3A3A3A"/>
          <w:sz w:val="21"/>
          <w:szCs w:val="21"/>
        </w:rPr>
        <w:t xml:space="preserve">Version bêta testable sur Android</w:t>
      </w:r>
    </w:p>
    <w:p>
      <w:pPr>
        <w:pStyle w:val="ListParagraph"/>
        <w:numPr>
          <w:ilvl w:val="0"/>
          <w:numId w:val="2"/>
        </w:numPr>
        <w:spacing w:after="60"/>
      </w:pPr>
      <w:r>
        <w:rPr>
          <w:color w:val="3A3A3A"/>
          <w:sz w:val="21"/>
          <w:szCs w:val="21"/>
        </w:rPr>
        <w:t xml:space="preserve">Version finale avec toutes les fonctionnalités du MVP opérationnelles</w:t>
      </w:r>
    </w:p>
    <w:p>
      <w:pPr>
        <w:pStyle w:val="ListParagraph"/>
        <w:numPr>
          <w:ilvl w:val="0"/>
          <w:numId w:val="2"/>
        </w:numPr>
        <w:spacing w:after="60"/>
      </w:pPr>
      <w:r>
        <w:rPr>
          <w:color w:val="3A3A3A"/>
          <w:sz w:val="21"/>
          <w:szCs w:val="21"/>
        </w:rPr>
        <w:t xml:space="preserve">Site vitrine en ligne et espace client fonctionnel</w:t>
      </w:r>
    </w:p>
    <w:p>
      <w:pPr>
        <w:pStyle w:val="ListParagraph"/>
        <w:numPr>
          <w:ilvl w:val="0"/>
          <w:numId w:val="2"/>
        </w:numPr>
        <w:spacing w:after="60"/>
      </w:pPr>
      <w:r>
        <w:rPr>
          <w:color w:val="3A3A3A"/>
          <w:sz w:val="21"/>
          <w:szCs w:val="21"/>
        </w:rPr>
        <w:t xml:space="preserve">Formation du dirigeant à l'utilisation de l'application</w:t>
      </w:r>
    </w:p>
    <w:p>
      <w:pPr>
        <w:pStyle w:val="ListParagraph"/>
        <w:numPr>
          <w:ilvl w:val="0"/>
          <w:numId w:val="2"/>
        </w:numPr>
        <w:spacing w:after="60"/>
      </w:pPr>
      <w:r>
        <w:rPr>
          <w:color w:val="3A3A3A"/>
          <w:sz w:val="21"/>
          <w:szCs w:val="21"/>
        </w:rPr>
        <w:t xml:space="preserve">Maintenance et corrections de bugs après livraison</w:t>
      </w:r>
    </w:p>
    <w:p>
      <w:r>
        <w:br w:type="page"/>
      </w:r>
    </w:p>
    <w:p>
      <w:pPr>
        <w:pStyle w:val="Heading1"/>
        <w:pBdr>
          <w:bottom w:val="single" w:color="C9A84C" w:sz="12" w:space="4"/>
        </w:pBdr>
        <w:spacing w:after="200" w:before="400"/>
      </w:pPr>
      <w:r>
        <w:rPr>
          <w:b/>
          <w:bCs/>
          <w:color w:val="1E1E1E"/>
          <w:sz w:val="30"/>
          <w:szCs w:val="30"/>
        </w:rPr>
        <w:t xml:space="preserve">10. INFORMATIONS DE L'ENTREPRISE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E1E1E" w:val="clear"/>
            <w:tcMar>
              <w:top w:type="dxa" w:w="80"/>
              <w:left w:type="dxa" w:w="100"/>
              <w:bottom w:type="dxa" w:w="80"/>
              <w:right w:type="dxa" w:w="100"/>
            </w:tcMar>
            <w:vAlign w:val="center"/>
          </w:tcPr>
          <w:p>
            <w:r>
              <w:rPr>
                <w:b/>
                <w:bCs/>
                <w:color w:val="FFFFFF"/>
                <w:sz w:val="19"/>
                <w:szCs w:val="19"/>
              </w:rPr>
              <w:t xml:space="preserve">Champ</w:t>
            </w:r>
          </w:p>
        </w:tc>
        <w:tc>
          <w:tcPr>
            <w:tcW w:type="dxa" w:w="6300"/>
            <w:shd w:fill="1E1E1E" w:val="clear"/>
            <w:tcMar>
              <w:top w:type="dxa" w:w="80"/>
              <w:left w:type="dxa" w:w="100"/>
              <w:bottom w:type="dxa" w:w="80"/>
              <w:right w:type="dxa" w:w="100"/>
            </w:tcMar>
            <w:vAlign w:val="center"/>
          </w:tcPr>
          <w:p>
            <w:r>
              <w:rPr>
                <w:b/>
                <w:bCs/>
                <w:color w:val="FFFFFF"/>
                <w:sz w:val="19"/>
                <w:szCs w:val="19"/>
              </w:rPr>
              <w:t xml:space="preserve">Détail</w:t>
            </w:r>
          </w:p>
        </w:tc>
      </w:tr>
      <w:tr>
        <w:tc>
          <w:tcPr>
            <w:tcW w:type="dxa" w:w="3200"/>
            <w:shd w:fill="FFFFFF" w:val="clear"/>
            <w:tcMar>
              <w:top w:type="dxa" w:w="70"/>
              <w:left w:type="dxa" w:w="100"/>
              <w:bottom w:type="dxa" w:w="70"/>
              <w:right w:type="dxa" w:w="100"/>
            </w:tcMar>
            <w:vAlign w:val="center"/>
          </w:tcPr>
          <w:p>
            <w:r>
              <w:rPr>
                <w:color w:val="3A3A3A"/>
                <w:sz w:val="19"/>
                <w:szCs w:val="19"/>
              </w:rPr>
              <w:t xml:space="preserve">Nom commercial</w:t>
            </w:r>
          </w:p>
        </w:tc>
        <w:tc>
          <w:tcPr>
            <w:tcW w:type="dxa" w:w="6300"/>
            <w:shd w:fill="FFFFFF" w:val="clear"/>
            <w:tcMar>
              <w:top w:type="dxa" w:w="70"/>
              <w:left w:type="dxa" w:w="100"/>
              <w:bottom w:type="dxa" w:w="70"/>
              <w:right w:type="dxa" w:w="100"/>
            </w:tcMar>
            <w:vAlign w:val="center"/>
          </w:tcPr>
          <w:p>
            <w:r>
              <w:rPr>
                <w:color w:val="3A3A3A"/>
                <w:sz w:val="19"/>
                <w:szCs w:val="19"/>
              </w:rPr>
              <w:t xml:space="preserve">Élite Placo &amp; Déco</w:t>
            </w:r>
          </w:p>
        </w:tc>
      </w:tr>
      <w:tr>
        <w:tc>
          <w:tcPr>
            <w:tcW w:type="dxa" w:w="3200"/>
            <w:shd w:fill="EDEDED" w:val="clear"/>
            <w:tcMar>
              <w:top w:type="dxa" w:w="70"/>
              <w:left w:type="dxa" w:w="100"/>
              <w:bottom w:type="dxa" w:w="70"/>
              <w:right w:type="dxa" w:w="100"/>
            </w:tcMar>
            <w:vAlign w:val="center"/>
          </w:tcPr>
          <w:p>
            <w:r>
              <w:rPr>
                <w:color w:val="3A3A3A"/>
                <w:sz w:val="19"/>
                <w:szCs w:val="19"/>
              </w:rPr>
              <w:t xml:space="preserve">Entité légale</w:t>
            </w:r>
          </w:p>
        </w:tc>
        <w:tc>
          <w:tcPr>
            <w:tcW w:type="dxa" w:w="6300"/>
            <w:shd w:fill="EDEDED" w:val="clear"/>
            <w:tcMar>
              <w:top w:type="dxa" w:w="70"/>
              <w:left w:type="dxa" w:w="100"/>
              <w:bottom w:type="dxa" w:w="70"/>
              <w:right w:type="dxa" w:w="100"/>
            </w:tcMar>
            <w:vAlign w:val="center"/>
          </w:tcPr>
          <w:p>
            <w:r>
              <w:rPr>
                <w:color w:val="3A3A3A"/>
                <w:sz w:val="19"/>
                <w:szCs w:val="19"/>
              </w:rPr>
              <w:t xml:space="preserve">PRIMA BTP</w:t>
            </w:r>
          </w:p>
        </w:tc>
      </w:tr>
      <w:tr>
        <w:tc>
          <w:tcPr>
            <w:tcW w:type="dxa" w:w="3200"/>
            <w:shd w:fill="FFFFFF" w:val="clear"/>
            <w:tcMar>
              <w:top w:type="dxa" w:w="70"/>
              <w:left w:type="dxa" w:w="100"/>
              <w:bottom w:type="dxa" w:w="70"/>
              <w:right w:type="dxa" w:w="100"/>
            </w:tcMar>
            <w:vAlign w:val="center"/>
          </w:tcPr>
          <w:p>
            <w:r>
              <w:rPr>
                <w:color w:val="3A3A3A"/>
                <w:sz w:val="19"/>
                <w:szCs w:val="19"/>
              </w:rPr>
              <w:t xml:space="preserve">Dirigeant</w:t>
            </w:r>
          </w:p>
        </w:tc>
        <w:tc>
          <w:tcPr>
            <w:tcW w:type="dxa" w:w="6300"/>
            <w:shd w:fill="FFFFFF" w:val="clear"/>
            <w:tcMar>
              <w:top w:type="dxa" w:w="70"/>
              <w:left w:type="dxa" w:w="100"/>
              <w:bottom w:type="dxa" w:w="70"/>
              <w:right w:type="dxa" w:w="100"/>
            </w:tcMar>
            <w:vAlign w:val="center"/>
          </w:tcPr>
          <w:p>
            <w:r>
              <w:rPr>
                <w:color w:val="3A3A3A"/>
                <w:sz w:val="19"/>
                <w:szCs w:val="19"/>
              </w:rPr>
              <w:t xml:space="preserve">Raoul Michel</w:t>
            </w:r>
          </w:p>
        </w:tc>
      </w:tr>
      <w:tr>
        <w:tc>
          <w:tcPr>
            <w:tcW w:type="dxa" w:w="3200"/>
            <w:shd w:fill="EDEDED" w:val="clear"/>
            <w:tcMar>
              <w:top w:type="dxa" w:w="70"/>
              <w:left w:type="dxa" w:w="100"/>
              <w:bottom w:type="dxa" w:w="70"/>
              <w:right w:type="dxa" w:w="100"/>
            </w:tcMar>
            <w:vAlign w:val="center"/>
          </w:tcPr>
          <w:p>
            <w:r>
              <w:rPr>
                <w:color w:val="3A3A3A"/>
                <w:sz w:val="19"/>
                <w:szCs w:val="19"/>
              </w:rPr>
              <w:t xml:space="preserve">Téléphone</w:t>
            </w:r>
          </w:p>
        </w:tc>
        <w:tc>
          <w:tcPr>
            <w:tcW w:type="dxa" w:w="6300"/>
            <w:shd w:fill="EDEDED" w:val="clear"/>
            <w:tcMar>
              <w:top w:type="dxa" w:w="70"/>
              <w:left w:type="dxa" w:w="100"/>
              <w:bottom w:type="dxa" w:w="70"/>
              <w:right w:type="dxa" w:w="100"/>
            </w:tcMar>
            <w:vAlign w:val="center"/>
          </w:tcPr>
          <w:p>
            <w:r>
              <w:rPr>
                <w:color w:val="3A3A3A"/>
                <w:sz w:val="19"/>
                <w:szCs w:val="19"/>
              </w:rPr>
              <w:t xml:space="preserve">+237 688 92 12 13</w:t>
            </w:r>
          </w:p>
        </w:tc>
      </w:tr>
      <w:tr>
        <w:tc>
          <w:tcPr>
            <w:tcW w:type="dxa" w:w="3200"/>
            <w:shd w:fill="FFFFFF" w:val="clear"/>
            <w:tcMar>
              <w:top w:type="dxa" w:w="70"/>
              <w:left w:type="dxa" w:w="100"/>
              <w:bottom w:type="dxa" w:w="70"/>
              <w:right w:type="dxa" w:w="100"/>
            </w:tcMar>
            <w:vAlign w:val="center"/>
          </w:tcPr>
          <w:p>
            <w:r>
              <w:rPr>
                <w:color w:val="3A3A3A"/>
                <w:sz w:val="19"/>
                <w:szCs w:val="19"/>
              </w:rPr>
              <w:t xml:space="preserve">Email</w:t>
            </w:r>
          </w:p>
        </w:tc>
        <w:tc>
          <w:tcPr>
            <w:tcW w:type="dxa" w:w="6300"/>
            <w:shd w:fill="FFFFFF" w:val="clear"/>
            <w:tcMar>
              <w:top w:type="dxa" w:w="70"/>
              <w:left w:type="dxa" w:w="100"/>
              <w:bottom w:type="dxa" w:w="70"/>
              <w:right w:type="dxa" w:w="100"/>
            </w:tcMar>
            <w:vAlign w:val="center"/>
          </w:tcPr>
          <w:p>
            <w:r>
              <w:rPr>
                <w:color w:val="3A3A3A"/>
                <w:sz w:val="19"/>
                <w:szCs w:val="19"/>
              </w:rPr>
              <w:t xml:space="preserve">raoulmichel20@gmail.com</w:t>
            </w:r>
          </w:p>
        </w:tc>
      </w:tr>
      <w:tr>
        <w:tc>
          <w:tcPr>
            <w:tcW w:type="dxa" w:w="3200"/>
            <w:shd w:fill="EDEDED" w:val="clear"/>
            <w:tcMar>
              <w:top w:type="dxa" w:w="70"/>
              <w:left w:type="dxa" w:w="100"/>
              <w:bottom w:type="dxa" w:w="70"/>
              <w:right w:type="dxa" w:w="100"/>
            </w:tcMar>
            <w:vAlign w:val="center"/>
          </w:tcPr>
          <w:p>
            <w:r>
              <w:rPr>
                <w:color w:val="3A3A3A"/>
                <w:sz w:val="19"/>
                <w:szCs w:val="19"/>
              </w:rPr>
              <w:t xml:space="preserve">Ville</w:t>
            </w:r>
          </w:p>
        </w:tc>
        <w:tc>
          <w:tcPr>
            <w:tcW w:type="dxa" w:w="6300"/>
            <w:shd w:fill="EDEDED" w:val="clear"/>
            <w:tcMar>
              <w:top w:type="dxa" w:w="70"/>
              <w:left w:type="dxa" w:w="100"/>
              <w:bottom w:type="dxa" w:w="70"/>
              <w:right w:type="dxa" w:w="100"/>
            </w:tcMar>
            <w:vAlign w:val="center"/>
          </w:tcPr>
          <w:p>
            <w:r>
              <w:rPr>
                <w:color w:val="3A3A3A"/>
                <w:sz w:val="19"/>
                <w:szCs w:val="19"/>
              </w:rPr>
              <w:t xml:space="preserve">Douala, Cameroun</w:t>
            </w:r>
          </w:p>
        </w:tc>
      </w:tr>
      <w:tr>
        <w:tc>
          <w:tcPr>
            <w:tcW w:type="dxa" w:w="3200"/>
            <w:shd w:fill="FFFFFF" w:val="clear"/>
            <w:tcMar>
              <w:top w:type="dxa" w:w="70"/>
              <w:left w:type="dxa" w:w="100"/>
              <w:bottom w:type="dxa" w:w="70"/>
              <w:right w:type="dxa" w:w="100"/>
            </w:tcMar>
            <w:vAlign w:val="center"/>
          </w:tcPr>
          <w:p>
            <w:r>
              <w:rPr>
                <w:color w:val="3A3A3A"/>
                <w:sz w:val="19"/>
                <w:szCs w:val="19"/>
              </w:rPr>
              <w:t xml:space="preserve">Zone d'activité</w:t>
            </w:r>
          </w:p>
        </w:tc>
        <w:tc>
          <w:tcPr>
            <w:tcW w:type="dxa" w:w="6300"/>
            <w:shd w:fill="FFFFFF" w:val="clear"/>
            <w:tcMar>
              <w:top w:type="dxa" w:w="70"/>
              <w:left w:type="dxa" w:w="100"/>
              <w:bottom w:type="dxa" w:w="70"/>
              <w:right w:type="dxa" w:w="100"/>
            </w:tcMar>
            <w:vAlign w:val="center"/>
          </w:tcPr>
          <w:p>
            <w:r>
              <w:rPr>
                <w:color w:val="3A3A3A"/>
                <w:sz w:val="19"/>
                <w:szCs w:val="19"/>
              </w:rPr>
              <w:t xml:space="preserve">Nationale (tout le Cameroun)</w:t>
            </w:r>
          </w:p>
        </w:tc>
      </w:tr>
    </w:tbl>
    <w:p>
      <w:pPr>
        <w:spacing w:before="500"/>
      </w:pPr>
      <w:r>
        <w:t xml:space="preserve"/>
      </w:r>
    </w:p>
    <w:p>
      <w:pPr>
        <w:shd w:fill="1E1E1E" w:val="clear"/>
        <w:spacing w:after="100" w:before="200"/>
        <w:jc w:val="center"/>
      </w:pPr>
      <w:r>
        <w:rPr>
          <w:i/>
          <w:iCs/>
          <w:color w:val="F5F5F5"/>
          <w:sz w:val="20"/>
          <w:szCs w:val="20"/>
        </w:rPr>
        <w:t xml:space="preserve">Tout développeur travaillant sur ce projet doit respecter l'ensemble des fonctionnalités décrites dans ce document.</w:t>
      </w:r>
    </w:p>
    <w:p>
      <w:pPr>
        <w:shd w:fill="1E1E1E" w:val="clear"/>
        <w:spacing w:after="200"/>
        <w:jc w:val="center"/>
      </w:pPr>
      <w:r>
        <w:rPr>
          <w:b/>
          <w:bCs/>
          <w:color w:val="C9A84C"/>
          <w:sz w:val="20"/>
          <w:szCs w:val="20"/>
        </w:rPr>
        <w:t xml:space="preserve">Élite Placo &amp; Déco — La finition qui fait la différence | Un appel suffit. Partout. Toujours.</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4"/>
      </w:pBdr>
      <w:jc w:val="right"/>
    </w:pPr>
    <w:r>
      <w:rPr>
        <w:color w:val="999999"/>
        <w:sz w:val="16"/>
        <w:szCs w:val="16"/>
      </w:rPr>
      <w:t xml:space="preserve">ÉLITE PLACO &amp; DÉCO — PRIMA BTP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2026-07-14T01:40:41.878Z</dcterms:created>
  <dcterms:modified xsi:type="dcterms:W3CDTF">2026-07-14T01:40:41.894Z</dcterms:modified>
</cp:coreProperties>
</file>

<file path=docProps/custom.xml><?xml version="1.0" encoding="utf-8"?>
<Properties xmlns="http://schemas.openxmlformats.org/officeDocument/2006/custom-properties" xmlns:vt="http://schemas.openxmlformats.org/officeDocument/2006/docPropsVTypes"/>
</file>