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7CD86" w14:textId="6F8A88CC" w:rsidR="008C2733" w:rsidRPr="008C2733" w:rsidRDefault="008C2733" w:rsidP="008C2733">
      <w:r w:rsidRPr="008C2733">
        <w:t xml:space="preserve">A historiografia da </w:t>
      </w:r>
      <w:r w:rsidRPr="008C2733">
        <w:rPr>
          <w:i/>
          <w:iCs/>
        </w:rPr>
        <w:t>hashtag</w:t>
      </w:r>
      <w:r w:rsidRPr="008C2733">
        <w:t xml:space="preserve"> </w:t>
      </w:r>
      <w:r w:rsidRPr="008C2733">
        <w:rPr>
          <w:b/>
          <w:bCs/>
        </w:rPr>
        <w:t>#sidibouzid</w:t>
      </w:r>
      <w:r w:rsidRPr="008C2733">
        <w:t xml:space="preserve"> permite, sob a lente da memória digital e das temporalidades complexas, analisar a emergência da </w:t>
      </w:r>
      <w:r w:rsidRPr="008C2733">
        <w:rPr>
          <w:b/>
          <w:bCs/>
        </w:rPr>
        <w:t>Primavera Árabe</w:t>
      </w:r>
      <w:r w:rsidRPr="008C2733">
        <w:t xml:space="preserve"> na Tunísia. Esta inscrição digital não é meramente um rótulo de categorização, mas um marcador temporal e geográfico crucial que sintetiza a transposição de um evento local para um fenômeno transnacional e global (</w:t>
      </w:r>
      <w:proofErr w:type="spellStart"/>
      <w:r w:rsidRPr="008C2733">
        <w:t>Bartkowiak</w:t>
      </w:r>
      <w:proofErr w:type="spellEnd"/>
      <w:r w:rsidRPr="008C2733">
        <w:t xml:space="preserve"> et al., 2017).</w:t>
      </w:r>
    </w:p>
    <w:p w14:paraId="4CA47348" w14:textId="77777777" w:rsidR="008C2733" w:rsidRPr="008C2733" w:rsidRDefault="008C2733" w:rsidP="008C2733">
      <w:pPr>
        <w:rPr>
          <w:b/>
          <w:bCs/>
        </w:rPr>
      </w:pPr>
      <w:r w:rsidRPr="008C2733">
        <w:rPr>
          <w:b/>
          <w:bCs/>
        </w:rPr>
        <w:t>Fontes Utilizadas</w:t>
      </w:r>
    </w:p>
    <w:p w14:paraId="5BE776AF" w14:textId="77777777" w:rsidR="008C2733" w:rsidRPr="008C2733" w:rsidRDefault="008C2733" w:rsidP="008C2733">
      <w:r w:rsidRPr="008C2733">
        <w:t>A análise historiográfica subsequente está fundamentada nas informações contidas nos documentos de pesquisa fornecidos. As referências bibliográficas são inseridas diretamente no corpo do texto para garantir a precisão e a rastreabilidade do argumento, conforme solicitado nas instruções.</w:t>
      </w:r>
    </w:p>
    <w:p w14:paraId="59C0F622" w14:textId="77777777" w:rsidR="008C2733" w:rsidRPr="008C2733" w:rsidRDefault="008C2733" w:rsidP="008C2733">
      <w:pPr>
        <w:rPr>
          <w:b/>
          <w:bCs/>
        </w:rPr>
      </w:pPr>
      <w:r w:rsidRPr="008C2733">
        <w:rPr>
          <w:b/>
          <w:bCs/>
        </w:rPr>
        <w:t>Contexto do Evento</w:t>
      </w:r>
    </w:p>
    <w:p w14:paraId="5AAF5908" w14:textId="77777777" w:rsidR="008C2733" w:rsidRPr="008C2733" w:rsidRDefault="008C2733" w:rsidP="008C2733">
      <w:r w:rsidRPr="008C2733">
        <w:t xml:space="preserve">O contexto imediato da </w:t>
      </w:r>
      <w:r w:rsidRPr="008C2733">
        <w:rPr>
          <w:i/>
          <w:iCs/>
        </w:rPr>
        <w:t>hashtag</w:t>
      </w:r>
      <w:r w:rsidRPr="008C2733">
        <w:t xml:space="preserve"> </w:t>
      </w:r>
      <w:r w:rsidRPr="008C2733">
        <w:rPr>
          <w:b/>
          <w:bCs/>
        </w:rPr>
        <w:t>#sidibouzid</w:t>
      </w:r>
      <w:r w:rsidRPr="008C2733">
        <w:t xml:space="preserve"> é a Revolução Tunisiana, considerada o catalisador da Primavera Árabe (Lecomte, 2011; </w:t>
      </w:r>
      <w:proofErr w:type="spellStart"/>
      <w:r w:rsidRPr="008C2733">
        <w:t>Bartkowiak</w:t>
      </w:r>
      <w:proofErr w:type="spellEnd"/>
      <w:r w:rsidRPr="008C2733">
        <w:t xml:space="preserve"> et al., 2017). O termo digital surge em referência aos protestos que tiveram início na cidade de </w:t>
      </w:r>
      <w:proofErr w:type="spellStart"/>
      <w:r w:rsidRPr="008C2733">
        <w:t>Sidi</w:t>
      </w:r>
      <w:proofErr w:type="spellEnd"/>
      <w:r w:rsidRPr="008C2733">
        <w:t xml:space="preserve"> </w:t>
      </w:r>
      <w:proofErr w:type="spellStart"/>
      <w:r w:rsidRPr="008C2733">
        <w:t>Bouzid</w:t>
      </w:r>
      <w:proofErr w:type="spellEnd"/>
      <w:r w:rsidRPr="008C2733">
        <w:t xml:space="preserve"> em dezembro de 2010.</w:t>
      </w:r>
    </w:p>
    <w:p w14:paraId="13F76A37" w14:textId="77777777" w:rsidR="008C2733" w:rsidRPr="008C2733" w:rsidRDefault="008C2733" w:rsidP="008C2733">
      <w:r w:rsidRPr="008C2733">
        <w:t xml:space="preserve">O evento que desencadeou o movimento foi o ato trágico de Mohammed </w:t>
      </w:r>
      <w:proofErr w:type="spellStart"/>
      <w:r w:rsidRPr="008C2733">
        <w:t>Bouazizi</w:t>
      </w:r>
      <w:proofErr w:type="spellEnd"/>
      <w:r w:rsidRPr="008C2733">
        <w:t>, um jovem vendedor de vegetais que ateou fogo ao próprio corpo em 17 de dezembro de 2010, em protesto contra a humilhação policial e a confiscação de seus bens. Tal evento, que poderia ter permanecido localizado e ignorado, circulou amplamente através das redes sociais (</w:t>
      </w:r>
      <w:proofErr w:type="spellStart"/>
      <w:r w:rsidRPr="008C2733">
        <w:t>Elhaou</w:t>
      </w:r>
      <w:proofErr w:type="spellEnd"/>
      <w:r w:rsidRPr="008C2733">
        <w:t xml:space="preserve">, 2012; </w:t>
      </w:r>
      <w:proofErr w:type="spellStart"/>
      <w:r w:rsidRPr="008C2733">
        <w:t>Dahmen-Jarrin</w:t>
      </w:r>
      <w:proofErr w:type="spellEnd"/>
      <w:r w:rsidRPr="008C2733">
        <w:t>, 2012).</w:t>
      </w:r>
    </w:p>
    <w:p w14:paraId="15B27F73" w14:textId="77777777" w:rsidR="008C2733" w:rsidRPr="008C2733" w:rsidRDefault="008C2733" w:rsidP="008C2733">
      <w:r w:rsidRPr="008C2733">
        <w:t xml:space="preserve">A </w:t>
      </w:r>
      <w:r w:rsidRPr="008C2733">
        <w:rPr>
          <w:i/>
          <w:iCs/>
        </w:rPr>
        <w:t>hashtag</w:t>
      </w:r>
      <w:r w:rsidRPr="008C2733">
        <w:t xml:space="preserve"> </w:t>
      </w:r>
      <w:r w:rsidRPr="008C2733">
        <w:rPr>
          <w:b/>
          <w:bCs/>
        </w:rPr>
        <w:t>#sidibouzid</w:t>
      </w:r>
      <w:r w:rsidRPr="008C2733">
        <w:t xml:space="preserve"> foi rapidamente adotada por ativistas, jornalistas e observadores internacionais para organizar as publicações e acompanhar o desenrolar da revolução. Conforme ilustrado por </w:t>
      </w:r>
      <w:proofErr w:type="spellStart"/>
      <w:r w:rsidRPr="008C2733">
        <w:t>Transfeld</w:t>
      </w:r>
      <w:proofErr w:type="spellEnd"/>
      <w:r w:rsidRPr="008C2733">
        <w:t xml:space="preserve"> e </w:t>
      </w:r>
      <w:proofErr w:type="spellStart"/>
      <w:r w:rsidRPr="008C2733">
        <w:t>Werenfels</w:t>
      </w:r>
      <w:proofErr w:type="spellEnd"/>
      <w:r w:rsidRPr="008C2733">
        <w:t xml:space="preserve"> (2016), a informação sobre o incidente escalou no Twitter, passando de </w:t>
      </w:r>
      <w:r w:rsidRPr="008C2733">
        <w:rPr>
          <w:b/>
          <w:bCs/>
        </w:rPr>
        <w:t>#bouazizi</w:t>
      </w:r>
      <w:r w:rsidRPr="008C2733">
        <w:t xml:space="preserve"> (a pessoa) para </w:t>
      </w:r>
      <w:r w:rsidRPr="008C2733">
        <w:rPr>
          <w:b/>
          <w:bCs/>
        </w:rPr>
        <w:t>#sidibouzid</w:t>
      </w:r>
      <w:r w:rsidRPr="008C2733">
        <w:t xml:space="preserve"> (a cidade) e, posteriormente, para </w:t>
      </w:r>
      <w:r w:rsidRPr="008C2733">
        <w:rPr>
          <w:b/>
          <w:bCs/>
        </w:rPr>
        <w:t>#tunisia</w:t>
      </w:r>
      <w:r w:rsidRPr="008C2733">
        <w:t xml:space="preserve"> (o país), marcando a progressão das notícias do nível local ao nacional e internacional, contornando o apagão midiático e a censura estatal.</w:t>
      </w:r>
    </w:p>
    <w:p w14:paraId="7BD00C7B" w14:textId="77777777" w:rsidR="008C2733" w:rsidRPr="008C2733" w:rsidRDefault="008C2733" w:rsidP="008C2733">
      <w:r w:rsidRPr="008C2733">
        <w:t xml:space="preserve">O primeiro uso documentado da </w:t>
      </w:r>
      <w:r w:rsidRPr="008C2733">
        <w:rPr>
          <w:b/>
          <w:bCs/>
        </w:rPr>
        <w:t>#sidibouzid</w:t>
      </w:r>
      <w:r w:rsidRPr="008C2733">
        <w:t xml:space="preserve"> ocorreu em 27 de dezembro de 2010, ligada a uma manifestação em Túnis (Lecomte, 2011). O seu uso aumentou drasticamente a partir de 9 de janeiro de 2011, quando as notícias e os vídeos da violência policial em cidades como </w:t>
      </w:r>
      <w:proofErr w:type="spellStart"/>
      <w:r w:rsidRPr="008C2733">
        <w:t>Kasserine</w:t>
      </w:r>
      <w:proofErr w:type="spellEnd"/>
      <w:r w:rsidRPr="008C2733">
        <w:t xml:space="preserve">, </w:t>
      </w:r>
      <w:proofErr w:type="spellStart"/>
      <w:r w:rsidRPr="008C2733">
        <w:t>Thala</w:t>
      </w:r>
      <w:proofErr w:type="spellEnd"/>
      <w:r w:rsidRPr="008C2733">
        <w:t xml:space="preserve"> e </w:t>
      </w:r>
      <w:proofErr w:type="spellStart"/>
      <w:r w:rsidRPr="008C2733">
        <w:t>Regueb</w:t>
      </w:r>
      <w:proofErr w:type="spellEnd"/>
      <w:r w:rsidRPr="008C2733">
        <w:t xml:space="preserve"> se disseminaram na rede. O pico de uso da </w:t>
      </w:r>
      <w:r w:rsidRPr="008C2733">
        <w:rPr>
          <w:i/>
          <w:iCs/>
        </w:rPr>
        <w:t>hashtag</w:t>
      </w:r>
      <w:r w:rsidRPr="008C2733">
        <w:t xml:space="preserve"> foi observado nos dias 13 e 14 de janeiro, coincidindo com o colapso do regime e a renúncia do presidente Zine El </w:t>
      </w:r>
      <w:proofErr w:type="spellStart"/>
      <w:r w:rsidRPr="008C2733">
        <w:t>Abidine</w:t>
      </w:r>
      <w:proofErr w:type="spellEnd"/>
      <w:r w:rsidRPr="008C2733">
        <w:t xml:space="preserve"> Ben Ali, em 14 de janeiro de 2011.</w:t>
      </w:r>
    </w:p>
    <w:p w14:paraId="777BC33D" w14:textId="77777777" w:rsidR="008C2733" w:rsidRPr="008C2733" w:rsidRDefault="008C2733" w:rsidP="008C2733">
      <w:pPr>
        <w:rPr>
          <w:b/>
          <w:bCs/>
        </w:rPr>
      </w:pPr>
      <w:r w:rsidRPr="008C2733">
        <w:rPr>
          <w:b/>
          <w:bCs/>
        </w:rPr>
        <w:t>Articulação com as Durações de Braudel</w:t>
      </w:r>
    </w:p>
    <w:p w14:paraId="61FE0567" w14:textId="77777777" w:rsidR="008C2733" w:rsidRPr="008C2733" w:rsidRDefault="008C2733" w:rsidP="008C2733">
      <w:r w:rsidRPr="008C2733">
        <w:lastRenderedPageBreak/>
        <w:t xml:space="preserve">Enquanto historiador da temporalidade digital, reconheço na trajetória da </w:t>
      </w:r>
      <w:r w:rsidRPr="008C2733">
        <w:rPr>
          <w:b/>
          <w:bCs/>
        </w:rPr>
        <w:t>#sidibouzid</w:t>
      </w:r>
      <w:r w:rsidRPr="008C2733">
        <w:t xml:space="preserve"> a materialização das três durações propostas por Fernand Braudel: a efêmera do evento, a conjuntural da mobilização, e a profunda da estrutura social.</w:t>
      </w:r>
    </w:p>
    <w:p w14:paraId="69221F33" w14:textId="77777777" w:rsidR="008C2733" w:rsidRPr="008C2733" w:rsidRDefault="008C2733" w:rsidP="008C2733">
      <w:pPr>
        <w:rPr>
          <w:b/>
          <w:bCs/>
        </w:rPr>
      </w:pPr>
      <w:r w:rsidRPr="008C2733">
        <w:rPr>
          <w:b/>
          <w:bCs/>
        </w:rPr>
        <w:t>Curta Duração (Evento)</w:t>
      </w:r>
    </w:p>
    <w:p w14:paraId="5D13DF1D" w14:textId="77777777" w:rsidR="008C2733" w:rsidRPr="008C2733" w:rsidRDefault="008C2733" w:rsidP="008C2733">
      <w:r w:rsidRPr="008C2733">
        <w:t xml:space="preserve">A </w:t>
      </w:r>
      <w:r w:rsidRPr="008C2733">
        <w:rPr>
          <w:b/>
          <w:bCs/>
        </w:rPr>
        <w:t>#sidibouzid</w:t>
      </w:r>
      <w:r w:rsidRPr="008C2733">
        <w:t xml:space="preserve"> funcionou como um </w:t>
      </w:r>
      <w:r w:rsidRPr="008C2733">
        <w:rPr>
          <w:b/>
          <w:bCs/>
        </w:rPr>
        <w:t>marcador puro de evento</w:t>
      </w:r>
      <w:r w:rsidRPr="008C2733">
        <w:t xml:space="preserve"> no ciberespaço, destacando-se pela </w:t>
      </w:r>
      <w:r w:rsidRPr="008C2733">
        <w:rPr>
          <w:b/>
          <w:bCs/>
        </w:rPr>
        <w:t>instantaneidade</w:t>
      </w:r>
      <w:r w:rsidRPr="008C2733">
        <w:t xml:space="preserve"> e </w:t>
      </w:r>
      <w:r w:rsidRPr="008C2733">
        <w:rPr>
          <w:b/>
          <w:bCs/>
        </w:rPr>
        <w:t>imediaticidade</w:t>
      </w:r>
      <w:r w:rsidRPr="008C2733">
        <w:t xml:space="preserve"> comunicacional (</w:t>
      </w:r>
      <w:proofErr w:type="spellStart"/>
      <w:r w:rsidRPr="008C2733">
        <w:t>Bartkowiak</w:t>
      </w:r>
      <w:proofErr w:type="spellEnd"/>
      <w:r w:rsidRPr="008C2733">
        <w:t xml:space="preserve"> et al., 2017). O Twitter, sendo um </w:t>
      </w:r>
      <w:proofErr w:type="spellStart"/>
      <w:r w:rsidRPr="008C2733">
        <w:t>microblog</w:t>
      </w:r>
      <w:proofErr w:type="spellEnd"/>
      <w:r w:rsidRPr="008C2733">
        <w:t>, permitiu que indivíduos se comunicassem de forma instantânea, constituindo uma "rede não regulada" que forneceu atualizações globais em tempo real (</w:t>
      </w:r>
      <w:proofErr w:type="spellStart"/>
      <w:r w:rsidRPr="008C2733">
        <w:t>Bartkowiak</w:t>
      </w:r>
      <w:proofErr w:type="spellEnd"/>
      <w:r w:rsidRPr="008C2733">
        <w:t xml:space="preserve"> et al., 2017). A </w:t>
      </w:r>
      <w:r w:rsidRPr="008C2733">
        <w:rPr>
          <w:i/>
          <w:iCs/>
        </w:rPr>
        <w:t>hashtag</w:t>
      </w:r>
      <w:r w:rsidRPr="008C2733">
        <w:t xml:space="preserve"> atingiu o seu clímax em 14 de janeiro, refletindo a explosão da notícia no momento da queda de Ben Ali. Esta instantaneidade era crucial para a coordenação logística e a discussão em tempo real sobre os protestos (</w:t>
      </w:r>
      <w:proofErr w:type="spellStart"/>
      <w:r w:rsidRPr="008C2733">
        <w:t>Lotan</w:t>
      </w:r>
      <w:proofErr w:type="spellEnd"/>
      <w:r w:rsidRPr="008C2733">
        <w:t xml:space="preserve"> et al., 2011). No plano do discurso, a </w:t>
      </w:r>
      <w:r w:rsidRPr="008C2733">
        <w:rPr>
          <w:i/>
          <w:iCs/>
        </w:rPr>
        <w:t>hashtag</w:t>
      </w:r>
      <w:r w:rsidRPr="008C2733">
        <w:t xml:space="preserve"> serviu como um </w:t>
      </w:r>
      <w:r w:rsidRPr="008C2733">
        <w:rPr>
          <w:b/>
          <w:bCs/>
        </w:rPr>
        <w:t>aviso</w:t>
      </w:r>
      <w:r w:rsidRPr="008C2733">
        <w:t xml:space="preserve"> à opinião pública internacional sobre os massacres e a repressão, um ato performativo de contestação.</w:t>
      </w:r>
    </w:p>
    <w:p w14:paraId="5E63317A" w14:textId="77777777" w:rsidR="008C2733" w:rsidRPr="008C2733" w:rsidRDefault="008C2733" w:rsidP="008C2733">
      <w:pPr>
        <w:rPr>
          <w:b/>
          <w:bCs/>
        </w:rPr>
      </w:pPr>
      <w:r w:rsidRPr="008C2733">
        <w:rPr>
          <w:b/>
          <w:bCs/>
        </w:rPr>
        <w:t>Média Duração (Conjuntura)</w:t>
      </w:r>
    </w:p>
    <w:p w14:paraId="1E6DFC46" w14:textId="77777777" w:rsidR="008C2733" w:rsidRPr="008C2733" w:rsidRDefault="008C2733" w:rsidP="008C2733">
      <w:r w:rsidRPr="008C2733">
        <w:t xml:space="preserve">A </w:t>
      </w:r>
      <w:r w:rsidRPr="008C2733">
        <w:rPr>
          <w:b/>
          <w:bCs/>
        </w:rPr>
        <w:t>#sidibouzid</w:t>
      </w:r>
      <w:r w:rsidRPr="008C2733">
        <w:t xml:space="preserve"> insere-se na conjuntura da </w:t>
      </w:r>
      <w:r w:rsidRPr="008C2733">
        <w:rPr>
          <w:b/>
          <w:bCs/>
        </w:rPr>
        <w:t>mobilização transnacional</w:t>
      </w:r>
      <w:r w:rsidRPr="008C2733">
        <w:t xml:space="preserve"> da Primavera Árabe (</w:t>
      </w:r>
      <w:proofErr w:type="spellStart"/>
      <w:r w:rsidRPr="008C2733">
        <w:t>Bartkowiak</w:t>
      </w:r>
      <w:proofErr w:type="spellEnd"/>
      <w:r w:rsidRPr="008C2733">
        <w:t xml:space="preserve"> et al., 2017). Ela marca o período em que as mídias sociais foram utilizadas para </w:t>
      </w:r>
      <w:r w:rsidRPr="008C2733">
        <w:rPr>
          <w:b/>
          <w:bCs/>
        </w:rPr>
        <w:t>coordenar e estruturar</w:t>
      </w:r>
      <w:r w:rsidRPr="008C2733">
        <w:t xml:space="preserve"> os movimentos contestatórios, ligando o ciberativismo às ações de rua (</w:t>
      </w:r>
      <w:proofErr w:type="spellStart"/>
      <w:r w:rsidRPr="008C2733">
        <w:t>Gerbaudo</w:t>
      </w:r>
      <w:proofErr w:type="spellEnd"/>
      <w:r w:rsidRPr="008C2733">
        <w:t xml:space="preserve">, 2012; </w:t>
      </w:r>
      <w:proofErr w:type="spellStart"/>
      <w:r w:rsidRPr="008C2733">
        <w:t>Bartkowiak</w:t>
      </w:r>
      <w:proofErr w:type="spellEnd"/>
      <w:r w:rsidRPr="008C2733">
        <w:t xml:space="preserve"> et al., 2017). Esse ciclo de protestos representou a massificação da crítica </w:t>
      </w:r>
      <w:r w:rsidRPr="008C2733">
        <w:rPr>
          <w:i/>
          <w:iCs/>
        </w:rPr>
        <w:t>online</w:t>
      </w:r>
      <w:r w:rsidRPr="008C2733">
        <w:t xml:space="preserve"> que vinha se diversificando desde meados dos anos 2000, notadamente através de </w:t>
      </w:r>
      <w:r w:rsidRPr="008C2733">
        <w:rPr>
          <w:i/>
          <w:iCs/>
        </w:rPr>
        <w:t>blogs</w:t>
      </w:r>
      <w:r w:rsidRPr="008C2733">
        <w:t xml:space="preserve"> e do Facebook (Lecomte, 2011; </w:t>
      </w:r>
      <w:proofErr w:type="spellStart"/>
      <w:r w:rsidRPr="008C2733">
        <w:t>Elhaou</w:t>
      </w:r>
      <w:proofErr w:type="spellEnd"/>
      <w:r w:rsidRPr="008C2733">
        <w:t xml:space="preserve">, 2012). A proliferação da </w:t>
      </w:r>
      <w:r w:rsidRPr="008C2733">
        <w:rPr>
          <w:i/>
          <w:iCs/>
        </w:rPr>
        <w:t>hashtag</w:t>
      </w:r>
      <w:r w:rsidRPr="008C2733">
        <w:t xml:space="preserve"> catalisou o descontentamento popular e demonstrou a relevância crescente de atores não estatais no cenário político (Howard et al., 2011).</w:t>
      </w:r>
    </w:p>
    <w:p w14:paraId="7C73D2EE" w14:textId="77777777" w:rsidR="008C2733" w:rsidRPr="008C2733" w:rsidRDefault="008C2733" w:rsidP="008C2733">
      <w:pPr>
        <w:rPr>
          <w:b/>
          <w:bCs/>
        </w:rPr>
      </w:pPr>
      <w:r w:rsidRPr="008C2733">
        <w:rPr>
          <w:b/>
          <w:bCs/>
        </w:rPr>
        <w:t>Longa Duração (Estrutura)</w:t>
      </w:r>
    </w:p>
    <w:p w14:paraId="026FFBEF" w14:textId="77777777" w:rsidR="008C2733" w:rsidRPr="008C2733" w:rsidRDefault="008C2733" w:rsidP="008C2733">
      <w:r w:rsidRPr="008C2733">
        <w:t xml:space="preserve">Na longa duração, a </w:t>
      </w:r>
      <w:r w:rsidRPr="008C2733">
        <w:rPr>
          <w:b/>
          <w:bCs/>
        </w:rPr>
        <w:t>#sidibouzid</w:t>
      </w:r>
      <w:r w:rsidRPr="008C2733">
        <w:t xml:space="preserve"> é um sintoma discursivo de um </w:t>
      </w:r>
      <w:r w:rsidRPr="008C2733">
        <w:rPr>
          <w:b/>
          <w:bCs/>
        </w:rPr>
        <w:t>anseio reprimido</w:t>
      </w:r>
      <w:r w:rsidRPr="008C2733">
        <w:t xml:space="preserve"> estruturalmente profundo da população árabe pela deposição de ditadores. A Tunísia possuía uma </w:t>
      </w:r>
      <w:r w:rsidRPr="008C2733">
        <w:rPr>
          <w:b/>
          <w:bCs/>
        </w:rPr>
        <w:t xml:space="preserve">esfera pública </w:t>
      </w:r>
      <w:r w:rsidRPr="008C2733">
        <w:rPr>
          <w:b/>
          <w:bCs/>
          <w:i/>
          <w:iCs/>
        </w:rPr>
        <w:t>online</w:t>
      </w:r>
      <w:r w:rsidRPr="008C2733">
        <w:rPr>
          <w:b/>
          <w:bCs/>
        </w:rPr>
        <w:t xml:space="preserve"> ativa</w:t>
      </w:r>
      <w:r w:rsidRPr="008C2733">
        <w:t xml:space="preserve"> e </w:t>
      </w:r>
      <w:proofErr w:type="spellStart"/>
      <w:r w:rsidRPr="008C2733">
        <w:rPr>
          <w:i/>
          <w:iCs/>
        </w:rPr>
        <w:t>cyberdissidents</w:t>
      </w:r>
      <w:proofErr w:type="spellEnd"/>
      <w:r w:rsidRPr="008C2733">
        <w:t xml:space="preserve"> engajados desde o final dos anos 1990. O regime de Ben Ali, caracterizado por um sistema autoritário, estimulava o uso de plataformas digitais como tática persistente para contornar a censura e a propaganda, o que pavimentou a capacidade de resposta na crise (Lecomte, 2011; Howard et al., 2011). O sucesso da </w:t>
      </w:r>
      <w:r w:rsidRPr="008C2733">
        <w:rPr>
          <w:i/>
          <w:iCs/>
        </w:rPr>
        <w:t>hashtag</w:t>
      </w:r>
      <w:r w:rsidRPr="008C2733">
        <w:t xml:space="preserve"> reflete, portanto, uma </w:t>
      </w:r>
      <w:r w:rsidRPr="008C2733">
        <w:rPr>
          <w:b/>
          <w:bCs/>
        </w:rPr>
        <w:t>estrutura social profundamente autoritária</w:t>
      </w:r>
      <w:r w:rsidRPr="008C2733">
        <w:t xml:space="preserve"> que, ao reprimir a comunicação tradicional, forçou a emergência de canais digitais como arquivo e plataforma de protesto (Lecomte, 2011; </w:t>
      </w:r>
      <w:proofErr w:type="spellStart"/>
      <w:r w:rsidRPr="008C2733">
        <w:t>Bartkowiak</w:t>
      </w:r>
      <w:proofErr w:type="spellEnd"/>
      <w:r w:rsidRPr="008C2733">
        <w:t xml:space="preserve"> et al., 2017).</w:t>
      </w:r>
    </w:p>
    <w:p w14:paraId="1D20C2E3" w14:textId="77777777" w:rsidR="008C2733" w:rsidRPr="008C2733" w:rsidRDefault="008C2733" w:rsidP="008C2733">
      <w:pPr>
        <w:rPr>
          <w:b/>
          <w:bCs/>
        </w:rPr>
      </w:pPr>
      <w:r w:rsidRPr="008C2733">
        <w:rPr>
          <w:b/>
          <w:bCs/>
        </w:rPr>
        <w:t>Aspectos Pouco Explorados</w:t>
      </w:r>
    </w:p>
    <w:p w14:paraId="0CE147C0" w14:textId="77777777" w:rsidR="008C2733" w:rsidRPr="008C2733" w:rsidRDefault="008C2733" w:rsidP="008C2733">
      <w:r w:rsidRPr="008C2733">
        <w:lastRenderedPageBreak/>
        <w:t xml:space="preserve">Apesar da ampla cobertura do fenômeno </w:t>
      </w:r>
      <w:r w:rsidRPr="008C2733">
        <w:rPr>
          <w:b/>
          <w:bCs/>
        </w:rPr>
        <w:t>#sidibouzid</w:t>
      </w:r>
      <w:r w:rsidRPr="008C2733">
        <w:t>, alguns aspetos da sua historiografia digital merecem uma investigação mais aprofundada, desafiando narrativas simplistas de uma "revolução Twitter" (</w:t>
      </w:r>
      <w:proofErr w:type="spellStart"/>
      <w:r w:rsidRPr="008C2733">
        <w:t>Lim</w:t>
      </w:r>
      <w:proofErr w:type="spellEnd"/>
      <w:r w:rsidRPr="008C2733">
        <w:t xml:space="preserve">, 2012; </w:t>
      </w:r>
      <w:proofErr w:type="spellStart"/>
      <w:r w:rsidRPr="008C2733">
        <w:t>Bartkowiak</w:t>
      </w:r>
      <w:proofErr w:type="spellEnd"/>
      <w:r w:rsidRPr="008C2733">
        <w:t xml:space="preserve"> et al., 2017).</w:t>
      </w:r>
    </w:p>
    <w:p w14:paraId="398A4D98" w14:textId="77777777" w:rsidR="008C2733" w:rsidRPr="008C2733" w:rsidRDefault="008C2733" w:rsidP="008C2733">
      <w:pPr>
        <w:numPr>
          <w:ilvl w:val="0"/>
          <w:numId w:val="1"/>
        </w:numPr>
      </w:pPr>
      <w:r w:rsidRPr="008C2733">
        <w:rPr>
          <w:b/>
          <w:bCs/>
        </w:rPr>
        <w:t>Atores Elitistas e Transnacionais:</w:t>
      </w:r>
      <w:r w:rsidRPr="008C2733">
        <w:t xml:space="preserve"> Estudos demonstram que o uso do Twitter para a </w:t>
      </w:r>
      <w:r w:rsidRPr="008C2733">
        <w:rPr>
          <w:b/>
          <w:bCs/>
        </w:rPr>
        <w:t>#sidibouzid</w:t>
      </w:r>
      <w:r w:rsidRPr="008C2733">
        <w:t xml:space="preserve"> era minoritário na população tunisiana (menos de 1% tinha conta no Magreb). O espaço era dominado por uma </w:t>
      </w:r>
      <w:r w:rsidRPr="008C2733">
        <w:rPr>
          <w:b/>
          <w:bCs/>
        </w:rPr>
        <w:t>elite urbana, altamente qualificada e móvel</w:t>
      </w:r>
      <w:r w:rsidRPr="008C2733">
        <w:t xml:space="preserve">. A maioria dos </w:t>
      </w:r>
      <w:r w:rsidRPr="008C2733">
        <w:rPr>
          <w:i/>
          <w:iCs/>
        </w:rPr>
        <w:t>tweets</w:t>
      </w:r>
      <w:r w:rsidRPr="008C2733">
        <w:t xml:space="preserve"> procedia de ativistas </w:t>
      </w:r>
      <w:r w:rsidRPr="008C2733">
        <w:rPr>
          <w:b/>
          <w:bCs/>
        </w:rPr>
        <w:t>transnacionais</w:t>
      </w:r>
      <w:r w:rsidRPr="008C2733">
        <w:t xml:space="preserve"> e da </w:t>
      </w:r>
      <w:r w:rsidRPr="008C2733">
        <w:rPr>
          <w:b/>
          <w:bCs/>
        </w:rPr>
        <w:t>diáspora tunisiana</w:t>
      </w:r>
      <w:r w:rsidRPr="008C2733">
        <w:t>, o que sugere que o Twitter serviu mais como plataforma de articulação da diáspora e de comunicação externa do que de mobilização interna de massas (</w:t>
      </w:r>
      <w:proofErr w:type="spellStart"/>
      <w:r w:rsidRPr="008C2733">
        <w:t>Dahmen-Jarrin</w:t>
      </w:r>
      <w:proofErr w:type="spellEnd"/>
      <w:r w:rsidRPr="008C2733">
        <w:t xml:space="preserve">, 2012; </w:t>
      </w:r>
      <w:proofErr w:type="spellStart"/>
      <w:r w:rsidRPr="008C2733">
        <w:t>Poell</w:t>
      </w:r>
      <w:proofErr w:type="spellEnd"/>
      <w:r w:rsidRPr="008C2733">
        <w:t xml:space="preserve"> &amp; </w:t>
      </w:r>
      <w:proofErr w:type="spellStart"/>
      <w:r w:rsidRPr="008C2733">
        <w:t>Darmoni</w:t>
      </w:r>
      <w:proofErr w:type="spellEnd"/>
      <w:r w:rsidRPr="008C2733">
        <w:t>, 2013).</w:t>
      </w:r>
    </w:p>
    <w:p w14:paraId="09CF8694" w14:textId="77777777" w:rsidR="008C2733" w:rsidRPr="008C2733" w:rsidRDefault="008C2733" w:rsidP="008C2733">
      <w:pPr>
        <w:numPr>
          <w:ilvl w:val="0"/>
          <w:numId w:val="1"/>
        </w:numPr>
      </w:pPr>
      <w:r w:rsidRPr="008C2733">
        <w:rPr>
          <w:b/>
          <w:bCs/>
        </w:rPr>
        <w:t>Estratégia Multilíngue:</w:t>
      </w:r>
      <w:r w:rsidRPr="008C2733">
        <w:t xml:space="preserve"> A </w:t>
      </w:r>
      <w:r w:rsidRPr="008C2733">
        <w:rPr>
          <w:b/>
          <w:bCs/>
        </w:rPr>
        <w:t>#sidibouzid</w:t>
      </w:r>
      <w:r w:rsidRPr="008C2733">
        <w:t xml:space="preserve"> não era monolíngue, mas um </w:t>
      </w:r>
      <w:r w:rsidRPr="008C2733">
        <w:rPr>
          <w:b/>
          <w:bCs/>
        </w:rPr>
        <w:t>espaço multilíngue</w:t>
      </w:r>
      <w:r w:rsidRPr="008C2733">
        <w:t xml:space="preserve"> que mobilizou pelo menos vinte e cinco idiomas (</w:t>
      </w:r>
      <w:proofErr w:type="spellStart"/>
      <w:r w:rsidRPr="008C2733">
        <w:t>Poell</w:t>
      </w:r>
      <w:proofErr w:type="spellEnd"/>
      <w:r w:rsidRPr="008C2733">
        <w:t xml:space="preserve"> &amp; </w:t>
      </w:r>
      <w:proofErr w:type="spellStart"/>
      <w:r w:rsidRPr="008C2733">
        <w:t>Darmoni</w:t>
      </w:r>
      <w:proofErr w:type="spellEnd"/>
      <w:r w:rsidRPr="008C2733">
        <w:t xml:space="preserve">, 2013). Os idiomas dominantes eram </w:t>
      </w:r>
      <w:proofErr w:type="gramStart"/>
      <w:r w:rsidRPr="008C2733">
        <w:t>Inglês</w:t>
      </w:r>
      <w:proofErr w:type="gramEnd"/>
      <w:r w:rsidRPr="008C2733">
        <w:t xml:space="preserve"> (36%), </w:t>
      </w:r>
      <w:proofErr w:type="gramStart"/>
      <w:r w:rsidRPr="008C2733">
        <w:t>Francês</w:t>
      </w:r>
      <w:proofErr w:type="gramEnd"/>
      <w:r w:rsidRPr="008C2733">
        <w:t xml:space="preserve"> (32%) </w:t>
      </w:r>
      <w:proofErr w:type="gramStart"/>
      <w:r w:rsidRPr="008C2733">
        <w:t>e Árabe</w:t>
      </w:r>
      <w:proofErr w:type="gramEnd"/>
      <w:r w:rsidRPr="008C2733">
        <w:t xml:space="preserve"> (25%) (</w:t>
      </w:r>
      <w:proofErr w:type="spellStart"/>
      <w:r w:rsidRPr="008C2733">
        <w:t>Darmoni</w:t>
      </w:r>
      <w:proofErr w:type="spellEnd"/>
      <w:r w:rsidRPr="008C2733">
        <w:t xml:space="preserve"> &amp; </w:t>
      </w:r>
      <w:proofErr w:type="spellStart"/>
      <w:r w:rsidRPr="008C2733">
        <w:t>Poell</w:t>
      </w:r>
      <w:proofErr w:type="spellEnd"/>
      <w:r w:rsidRPr="008C2733">
        <w:t>, 2011). Essa diversidade linguística era estratégica: os principais usuários ativos agiam como "elos vitais" (</w:t>
      </w:r>
      <w:proofErr w:type="spellStart"/>
      <w:r w:rsidRPr="008C2733">
        <w:t>Poell</w:t>
      </w:r>
      <w:proofErr w:type="spellEnd"/>
      <w:r w:rsidRPr="008C2733">
        <w:t xml:space="preserve"> &amp; </w:t>
      </w:r>
      <w:proofErr w:type="spellStart"/>
      <w:r w:rsidRPr="008C2733">
        <w:t>Darmoni</w:t>
      </w:r>
      <w:proofErr w:type="spellEnd"/>
      <w:r w:rsidRPr="008C2733">
        <w:t>, 2013), utilizando o Inglês para relatar factos e dados globais, e o Francês para criticar o envolvimento da França (</w:t>
      </w:r>
      <w:proofErr w:type="spellStart"/>
      <w:r w:rsidRPr="008C2733">
        <w:t>Darmoni</w:t>
      </w:r>
      <w:proofErr w:type="spellEnd"/>
      <w:r w:rsidRPr="008C2733">
        <w:t xml:space="preserve"> &amp; </w:t>
      </w:r>
      <w:proofErr w:type="spellStart"/>
      <w:r w:rsidRPr="008C2733">
        <w:t>Poell</w:t>
      </w:r>
      <w:proofErr w:type="spellEnd"/>
      <w:r w:rsidRPr="008C2733">
        <w:t>, 2011). O uso estratégico de idiomas diferentes para públicos distintos sublinha a complexidade da comunicação ativista na rede.</w:t>
      </w:r>
    </w:p>
    <w:p w14:paraId="796AA4BE" w14:textId="77777777" w:rsidR="008C2733" w:rsidRPr="008C2733" w:rsidRDefault="008C2733" w:rsidP="008C2733">
      <w:pPr>
        <w:numPr>
          <w:ilvl w:val="0"/>
          <w:numId w:val="1"/>
        </w:numPr>
      </w:pPr>
      <w:r w:rsidRPr="008C2733">
        <w:rPr>
          <w:b/>
          <w:bCs/>
        </w:rPr>
        <w:t>Amplificação e Não Iniciação:</w:t>
      </w:r>
      <w:r w:rsidRPr="008C2733">
        <w:t xml:space="preserve"> Há um forte </w:t>
      </w:r>
      <w:proofErr w:type="spellStart"/>
      <w:r w:rsidRPr="008C2733">
        <w:t>cibercepticismo</w:t>
      </w:r>
      <w:proofErr w:type="spellEnd"/>
      <w:r w:rsidRPr="008C2733">
        <w:t xml:space="preserve"> acadêmico que rejeita a ideia de que o Twitter </w:t>
      </w:r>
      <w:r w:rsidRPr="008C2733">
        <w:rPr>
          <w:i/>
          <w:iCs/>
        </w:rPr>
        <w:t>causou</w:t>
      </w:r>
      <w:r w:rsidRPr="008C2733">
        <w:t xml:space="preserve"> a revolução. A </w:t>
      </w:r>
      <w:r w:rsidRPr="008C2733">
        <w:rPr>
          <w:b/>
          <w:bCs/>
        </w:rPr>
        <w:t>#sidibouzid</w:t>
      </w:r>
      <w:r w:rsidRPr="008C2733">
        <w:t xml:space="preserve"> foi crucial para a </w:t>
      </w:r>
      <w:r w:rsidRPr="008C2733">
        <w:rPr>
          <w:b/>
          <w:bCs/>
        </w:rPr>
        <w:t>amplificação</w:t>
      </w:r>
      <w:r w:rsidRPr="008C2733">
        <w:t xml:space="preserve"> e </w:t>
      </w:r>
      <w:r w:rsidRPr="008C2733">
        <w:rPr>
          <w:b/>
          <w:bCs/>
        </w:rPr>
        <w:t>disseminação transnacional</w:t>
      </w:r>
      <w:r w:rsidRPr="008C2733">
        <w:t>, especialmente para informar a opinião pública externa e a mídia internacional, como a Al Jazeera, que usou o conteúdo gerado por usuários para cobrir os protestos. Internamente, a mobilização dependia de métodos tradicionais, como mensagens SMS, e o acesso à internet foi até bloqueado pelo governo por dias, impedindo a participação direta de grande parte da população.</w:t>
      </w:r>
    </w:p>
    <w:p w14:paraId="0B3F0A15" w14:textId="77777777" w:rsidR="008C2733" w:rsidRPr="008C2733" w:rsidRDefault="008C2733" w:rsidP="008C2733">
      <w:pPr>
        <w:numPr>
          <w:ilvl w:val="0"/>
          <w:numId w:val="1"/>
        </w:numPr>
      </w:pPr>
      <w:r w:rsidRPr="008C2733">
        <w:rPr>
          <w:b/>
          <w:bCs/>
        </w:rPr>
        <w:t>Efemeridade da Atenção Global:</w:t>
      </w:r>
      <w:r w:rsidRPr="008C2733">
        <w:t xml:space="preserve"> Embora a </w:t>
      </w:r>
      <w:r w:rsidRPr="008C2733">
        <w:rPr>
          <w:b/>
          <w:bCs/>
        </w:rPr>
        <w:t>#sidibouzid</w:t>
      </w:r>
      <w:r w:rsidRPr="008C2733">
        <w:t xml:space="preserve"> e temas relacionados (como #egypt) tenham se tornado os "tópicos quentes" (</w:t>
      </w:r>
      <w:r w:rsidRPr="008C2733">
        <w:rPr>
          <w:i/>
          <w:iCs/>
        </w:rPr>
        <w:t xml:space="preserve">hot </w:t>
      </w:r>
      <w:proofErr w:type="spellStart"/>
      <w:r w:rsidRPr="008C2733">
        <w:rPr>
          <w:i/>
          <w:iCs/>
        </w:rPr>
        <w:t>topics</w:t>
      </w:r>
      <w:proofErr w:type="spellEnd"/>
      <w:r w:rsidRPr="008C2733">
        <w:t xml:space="preserve">) globais em 2011, alcançando um enorme poder amplificador, o aspecto da </w:t>
      </w:r>
      <w:r w:rsidRPr="008C2733">
        <w:rPr>
          <w:b/>
          <w:bCs/>
        </w:rPr>
        <w:t>efemeridade</w:t>
      </w:r>
      <w:r w:rsidRPr="008C2733">
        <w:t xml:space="preserve"> da atenção gerada merece atenção. A rapidez com que um tema explode na agenda digital é igual à rapidez com que pode desaparecer da "agenda cidadã" global após o evento urgente (González </w:t>
      </w:r>
      <w:proofErr w:type="spellStart"/>
      <w:r w:rsidRPr="008C2733">
        <w:t>Aldea</w:t>
      </w:r>
      <w:proofErr w:type="spellEnd"/>
      <w:r w:rsidRPr="008C2733">
        <w:t>, 2012).</w:t>
      </w:r>
    </w:p>
    <w:p w14:paraId="0C728141" w14:textId="77777777" w:rsidR="008C2733" w:rsidRPr="008C2733" w:rsidRDefault="008C2733" w:rsidP="008C2733">
      <w:pPr>
        <w:rPr>
          <w:b/>
          <w:bCs/>
        </w:rPr>
      </w:pPr>
      <w:r w:rsidRPr="008C2733">
        <w:rPr>
          <w:b/>
          <w:bCs/>
        </w:rPr>
        <w:t>Encerramento</w:t>
      </w:r>
    </w:p>
    <w:p w14:paraId="1FD541E1" w14:textId="77777777" w:rsidR="008C2733" w:rsidRPr="008C2733" w:rsidRDefault="008C2733" w:rsidP="008C2733">
      <w:r w:rsidRPr="008C2733">
        <w:lastRenderedPageBreak/>
        <w:t xml:space="preserve">A </w:t>
      </w:r>
      <w:r w:rsidRPr="008C2733">
        <w:rPr>
          <w:i/>
          <w:iCs/>
        </w:rPr>
        <w:t>hashtag</w:t>
      </w:r>
      <w:r w:rsidRPr="008C2733">
        <w:t xml:space="preserve"> </w:t>
      </w:r>
      <w:r w:rsidRPr="008C2733">
        <w:rPr>
          <w:b/>
          <w:bCs/>
        </w:rPr>
        <w:t>#sidibouzid</w:t>
      </w:r>
      <w:r w:rsidRPr="008C2733">
        <w:t xml:space="preserve"> estabeleceu-se como uma </w:t>
      </w:r>
      <w:r w:rsidRPr="008C2733">
        <w:rPr>
          <w:b/>
          <w:bCs/>
        </w:rPr>
        <w:t>inscrição temporal de extrema relevância no ciberespaço</w:t>
      </w:r>
      <w:r w:rsidRPr="008C2733">
        <w:t xml:space="preserve"> (</w:t>
      </w:r>
      <w:proofErr w:type="spellStart"/>
      <w:r w:rsidRPr="008C2733">
        <w:t>Bartkowiak</w:t>
      </w:r>
      <w:proofErr w:type="spellEnd"/>
      <w:r w:rsidRPr="008C2733">
        <w:t xml:space="preserve"> et al., 2017). Ela transcende a sua função técnica de indexação de conteúdo (Messina, 2007), atuando como um artefato de memória que registra o colapso de um regime autoritário e a ascensão da comunicação mediada.</w:t>
      </w:r>
    </w:p>
    <w:p w14:paraId="534D0F1B" w14:textId="77777777" w:rsidR="008C2733" w:rsidRPr="008C2733" w:rsidRDefault="008C2733" w:rsidP="008C2733">
      <w:r w:rsidRPr="008C2733">
        <w:t xml:space="preserve">Apesar de o sucesso da revolução na Tunísia não poder ser simplificado como uma "revolução Twitter", a </w:t>
      </w:r>
      <w:r w:rsidRPr="008C2733">
        <w:rPr>
          <w:i/>
          <w:iCs/>
        </w:rPr>
        <w:t>hashtag</w:t>
      </w:r>
      <w:r w:rsidRPr="008C2733">
        <w:t xml:space="preserve"> demonstrou a capacidade do Twitter de funcionar como uma </w:t>
      </w:r>
      <w:r w:rsidRPr="008C2733">
        <w:rPr>
          <w:b/>
          <w:bCs/>
        </w:rPr>
        <w:t>praça pública aberta</w:t>
      </w:r>
      <w:r w:rsidRPr="008C2733">
        <w:t>, permitindo a comunicação global e imediata (</w:t>
      </w:r>
      <w:proofErr w:type="spellStart"/>
      <w:r w:rsidRPr="008C2733">
        <w:t>Bartkowiak</w:t>
      </w:r>
      <w:proofErr w:type="spellEnd"/>
      <w:r w:rsidRPr="008C2733">
        <w:t xml:space="preserve"> et al., 2017). A </w:t>
      </w:r>
      <w:r w:rsidRPr="008C2733">
        <w:rPr>
          <w:b/>
          <w:bCs/>
        </w:rPr>
        <w:t>#sidibouzid</w:t>
      </w:r>
      <w:r w:rsidRPr="008C2733">
        <w:t xml:space="preserve"> foi vital para a </w:t>
      </w:r>
      <w:r w:rsidRPr="008C2733">
        <w:rPr>
          <w:b/>
          <w:bCs/>
        </w:rPr>
        <w:t>propagação transnacional</w:t>
      </w:r>
      <w:r w:rsidRPr="008C2733">
        <w:t xml:space="preserve"> da revolta e para a conversação global sobre a busca por liberdade e dignidade, transformando um drama local em um movimento regional (</w:t>
      </w:r>
      <w:proofErr w:type="spellStart"/>
      <w:r w:rsidRPr="008C2733">
        <w:t>Transfeld</w:t>
      </w:r>
      <w:proofErr w:type="spellEnd"/>
      <w:r w:rsidRPr="008C2733">
        <w:t xml:space="preserve"> &amp; </w:t>
      </w:r>
      <w:proofErr w:type="spellStart"/>
      <w:r w:rsidRPr="008C2733">
        <w:t>Werenfels</w:t>
      </w:r>
      <w:proofErr w:type="spellEnd"/>
      <w:r w:rsidRPr="008C2733">
        <w:t>, 2016).</w:t>
      </w:r>
    </w:p>
    <w:p w14:paraId="4E496BC1" w14:textId="77777777" w:rsidR="008C2733" w:rsidRPr="008C2733" w:rsidRDefault="008C2733" w:rsidP="008C2733">
      <w:r w:rsidRPr="008C2733">
        <w:t xml:space="preserve">Em suma, a </w:t>
      </w:r>
      <w:r w:rsidRPr="008C2733">
        <w:rPr>
          <w:b/>
          <w:bCs/>
        </w:rPr>
        <w:t>#sidibouzid</w:t>
      </w:r>
      <w:r w:rsidRPr="008C2733">
        <w:t xml:space="preserve"> encapsula a complexa dinâmica na qual os </w:t>
      </w:r>
      <w:r w:rsidRPr="008C2733">
        <w:rPr>
          <w:b/>
          <w:bCs/>
        </w:rPr>
        <w:t>conflitos do "mundo real" são reproduzidos e reforçados na esfera digital</w:t>
      </w:r>
      <w:r w:rsidRPr="008C2733">
        <w:t xml:space="preserve"> (</w:t>
      </w:r>
      <w:proofErr w:type="spellStart"/>
      <w:r w:rsidRPr="008C2733">
        <w:t>Transfeld</w:t>
      </w:r>
      <w:proofErr w:type="spellEnd"/>
      <w:r w:rsidRPr="008C2733">
        <w:t xml:space="preserve"> &amp; </w:t>
      </w:r>
      <w:proofErr w:type="spellStart"/>
      <w:r w:rsidRPr="008C2733">
        <w:t>Werenfels</w:t>
      </w:r>
      <w:proofErr w:type="spellEnd"/>
      <w:r w:rsidRPr="008C2733">
        <w:t xml:space="preserve">, 2016). A análise historiográfica deste fenômeno exige que se vá além do determinismo tecnológico, reconhecendo a </w:t>
      </w:r>
      <w:r w:rsidRPr="008C2733">
        <w:rPr>
          <w:i/>
          <w:iCs/>
        </w:rPr>
        <w:t>hashtag</w:t>
      </w:r>
      <w:r w:rsidRPr="008C2733">
        <w:t xml:space="preserve"> como um ponto de convergência de redes pré-existentes, estratégias linguísticas complexas e um profundo contexto histórico de repressão e desejo de mudança.</w:t>
      </w:r>
    </w:p>
    <w:p w14:paraId="14711ECB" w14:textId="302CA1CC" w:rsidR="00A62BAC" w:rsidRPr="008C2733" w:rsidRDefault="00A62BAC" w:rsidP="008C2733"/>
    <w:sectPr w:rsidR="00A62BAC" w:rsidRPr="008C27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4F5"/>
    <w:multiLevelType w:val="multilevel"/>
    <w:tmpl w:val="FB84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4E5D81"/>
    <w:multiLevelType w:val="multilevel"/>
    <w:tmpl w:val="B066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A92568"/>
    <w:multiLevelType w:val="multilevel"/>
    <w:tmpl w:val="6D7C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04433">
    <w:abstractNumId w:val="0"/>
  </w:num>
  <w:num w:numId="2" w16cid:durableId="1048726445">
    <w:abstractNumId w:val="1"/>
  </w:num>
  <w:num w:numId="3" w16cid:durableId="1678776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BAC"/>
    <w:rsid w:val="002D4686"/>
    <w:rsid w:val="008B0ACE"/>
    <w:rsid w:val="008C2733"/>
    <w:rsid w:val="00A62BAC"/>
    <w:rsid w:val="00FB5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4CB6C"/>
  <w15:chartTrackingRefBased/>
  <w15:docId w15:val="{99D1ACFA-E8EB-4654-8A13-23EE719C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2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2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2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2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2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2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2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2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2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2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2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2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2B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2B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2B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2B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2B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2B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2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2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2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2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2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2B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2B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2B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2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2B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2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1347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Taciana Lúcio</dc:creator>
  <cp:keywords/>
  <dc:description/>
  <cp:lastModifiedBy>Taciana Lúcio</cp:lastModifiedBy>
  <cp:revision>2</cp:revision>
  <dcterms:created xsi:type="dcterms:W3CDTF">2025-09-26T15:26:00Z</dcterms:created>
  <dcterms:modified xsi:type="dcterms:W3CDTF">2025-09-26T18:38:00Z</dcterms:modified>
</cp:coreProperties>
</file>