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40"/>
          <w:szCs w:val="40"/>
        </w:rPr>
        <w:t xml:space="preserve">LLM Benchmark Evaluation Report</w:t>
      </w:r>
    </w:p>
    <w:p>
      <w:pPr>
        <w:spacing w:after="160"/>
      </w:pPr>
    </w:p>
    <w:p>
      <w:pPr>
        <w:pStyle w:val="Heading2"/>
        <w:spacing w:after="100" w:before="220"/>
      </w:pPr>
      <w:r>
        <w:rPr>
          <w:b/>
          <w:bCs/>
          <w:color w:val="1F3864"/>
        </w:rPr>
        <w:t xml:space="preserve">Report Information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vAlign w:val="center"/>
          </w:tcPr>
          <w:p>
            <w:pPr>
              <w:jc w:val="left"/>
            </w:pPr>
            <w:r>
              <w:rPr>
                <w:b/>
                <w:bCs/>
                <w:color w:val="FFFFFF"/>
                <w:sz w:val="19"/>
                <w:szCs w:val="19"/>
              </w:rPr>
              <w:t xml:space="preserve">Field</w:t>
            </w:r>
          </w:p>
        </w:tc>
        <w:tc>
          <w:tcPr>
            <w:tcW w:type="dxa" w:w="6626"/>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vAlign w:val="center"/>
          </w:tcPr>
          <w:p>
            <w:pPr>
              <w:jc w:val="left"/>
            </w:pPr>
            <w:r>
              <w:rPr>
                <w:b/>
                <w:bCs/>
                <w:color w:val="FFFFFF"/>
                <w:sz w:val="19"/>
                <w:szCs w:val="19"/>
              </w:rPr>
              <w:t xml:space="preserve">Your entry</w:t>
            </w:r>
          </w:p>
        </w:tc>
      </w:tr>
      <w:tr>
        <w:tc>
          <w:tcPr>
            <w:tcW w:type="dxa" w:w="24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i w:val="false"/>
                <w:iCs w:val="false"/>
                <w:color w:val="262626"/>
                <w:sz w:val="19"/>
                <w:szCs w:val="19"/>
              </w:rPr>
              <w:t xml:space="preserve">Student name</w:t>
            </w:r>
          </w:p>
        </w:tc>
        <w:tc>
          <w:tcPr>
            <w:tcW w:type="dxa" w:w="6626"/>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i w:val="0"/>
                <w:iCs/>
                <w:color w:val="262626"/>
                <w:sz w:val="19"/>
                <w:szCs w:val="19"/>
              </w:rPr>
              <w:t>Anna Malinovskaia</w:t>
            </w:r>
          </w:p>
        </w:tc>
      </w:tr>
      <w:tr>
        <w:tc>
          <w:tcPr>
            <w:tcW w:type="dxa" w:w="24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vAlign w:val="center"/>
          </w:tcPr>
          <w:p>
            <w:r>
              <w:rPr>
                <w:i w:val="false"/>
                <w:iCs w:val="false"/>
                <w:color w:val="262626"/>
                <w:sz w:val="19"/>
                <w:szCs w:val="19"/>
              </w:rPr>
              <w:t xml:space="preserve">Assignment</w:t>
            </w:r>
          </w:p>
        </w:tc>
        <w:tc>
          <w:tcPr>
            <w:tcW w:type="dxa" w:w="662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vAlign w:val="center"/>
          </w:tcPr>
          <w:p>
            <w:r>
              <w:rPr>
                <w:i w:val="0"/>
                <w:iCs/>
                <w:color w:val="262626"/>
                <w:sz w:val="19"/>
                <w:szCs w:val="19"/>
              </w:rPr>
              <w:t>Practice 2 - Benchmark Evaluation</w:t>
            </w:r>
          </w:p>
        </w:tc>
      </w:tr>
      <w:tr>
        <w:tc>
          <w:tcPr>
            <w:tcW w:type="dxa" w:w="24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i w:val="false"/>
                <w:iCs w:val="false"/>
                <w:color w:val="262626"/>
                <w:sz w:val="19"/>
                <w:szCs w:val="19"/>
              </w:rPr>
              <w:t xml:space="preserve">Date</w:t>
            </w:r>
          </w:p>
        </w:tc>
        <w:tc>
          <w:tcPr>
            <w:tcW w:type="dxa" w:w="6626"/>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i w:val="0"/>
                <w:iCs/>
                <w:color w:val="262626"/>
                <w:sz w:val="19"/>
                <w:szCs w:val="19"/>
              </w:rPr>
              <w:t>21 October 2026</w:t>
            </w:r>
          </w:p>
        </w:tc>
      </w:tr>
      <w:tr>
        <w:tc>
          <w:tcPr>
            <w:tcW w:type="dxa" w:w="24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vAlign w:val="center"/>
          </w:tcPr>
          <w:p>
            <w:r>
              <w:rPr>
                <w:i w:val="false"/>
                <w:iCs w:val="false"/>
                <w:color w:val="262626"/>
                <w:sz w:val="19"/>
                <w:szCs w:val="19"/>
              </w:rPr>
              <w:t xml:space="preserve">Models compared</w:t>
            </w:r>
          </w:p>
        </w:tc>
        <w:tc>
          <w:tcPr>
            <w:tcW w:type="dxa" w:w="662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vAlign w:val="center"/>
          </w:tcPr>
          <w:p>
            <w:r>
              <w:rPr>
                <w:i w:val="0"/>
                <w:iCs/>
                <w:color w:val="262626"/>
                <w:sz w:val="19"/>
                <w:szCs w:val="19"/>
              </w:rPr>
              <w:t>gpt-5.4-nano vs. gemini-3-flash-preview</w:t>
            </w:r>
          </w:p>
        </w:tc>
      </w:tr>
    </w:tbl>
    <w:p>
      <w:pPr>
        <w:spacing w:after="200"/>
      </w:pPr>
    </w:p>
    <w:p>
      <w:pPr>
        <w:pStyle w:val="Heading1"/>
        <w:pBdr>
          <w:bottom w:val="single" w:color="2E74B5" w:sz="6" w:space="4"/>
        </w:pBdr>
        <w:spacing w:after="160" w:before="360"/>
      </w:pPr>
      <w:r>
        <w:rPr>
          <w:b/>
          <w:bCs/>
          <w:color w:val="1F3864"/>
        </w:rPr>
        <w:t xml:space="preserve">1. Objective</w:t>
      </w:r>
    </w:p>
    <w:p>
      <w:pPr>
        <w:spacing w:after="200"/>
      </w:pPr>
      <w:r>
        <w:rPr>
          <w:i w:val="0"/>
          <w:iCs/>
          <w:color w:val="262626"/>
        </w:rPr>
        <w:t>I compared gpt-5.4-nano and gemini-3-flash-preview on all ten benchmarks from the lecture script, with 10 questions each. For MMLU-Pro, BIG-Bench Hard and BBQ I used the categories psychology, causal_judgement and sexual_orientation.</w:t>
      </w:r>
    </w:p>
    <w:p>
      <w:pPr>
        <w:pStyle w:val="Heading1"/>
        <w:pBdr>
          <w:bottom w:val="single" w:color="2E74B5" w:sz="6" w:space="4"/>
        </w:pBdr>
        <w:spacing w:after="160" w:before="360"/>
      </w:pPr>
      <w:r>
        <w:rPr>
          <w:b/>
          <w:bCs/>
          <w:color w:val="1F3864"/>
        </w:rPr>
        <w:t xml:space="preserve">2. Benchmarks and Setup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2126"/>
        <w:gridCol w:w="2100"/>
      </w:tblGrid>
      <w:tr>
        <w:trPr>
          <w:tblHeader/>
        </w:trPr>
        <w:tc>
          <w:tcPr>
            <w:tcW w:type="dxa" w:w="190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vAlign w:val="center"/>
          </w:tcPr>
          <w:p>
            <w:pPr>
              <w:jc w:val="left"/>
            </w:pPr>
            <w:r>
              <w:rPr>
                <w:b/>
                <w:bCs/>
                <w:color w:val="FFFFFF"/>
                <w:sz w:val="19"/>
                <w:szCs w:val="19"/>
              </w:rPr>
              <w:t xml:space="preserve">Benchmark</w:t>
            </w:r>
          </w:p>
        </w:tc>
        <w:tc>
          <w:tcPr>
            <w:tcW w:type="dxa" w:w="290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vAlign w:val="center"/>
          </w:tcPr>
          <w:p>
            <w:pPr>
              <w:jc w:val="left"/>
            </w:pPr>
            <w:r>
              <w:rPr>
                <w:b/>
                <w:bCs/>
                <w:color w:val="FFFFFF"/>
                <w:sz w:val="19"/>
                <w:szCs w:val="19"/>
              </w:rPr>
              <w:t xml:space="preserve">What it measures</w:t>
            </w:r>
          </w:p>
        </w:tc>
        <w:tc>
          <w:tcPr>
            <w:tcW w:type="dxa" w:w="2126"/>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vAlign w:val="center"/>
          </w:tcPr>
          <w:p>
            <w:pPr>
              <w:jc w:val="left"/>
            </w:pPr>
            <w:r>
              <w:rPr>
                <w:b/>
                <w:bCs/>
                <w:color w:val="FFFFFF"/>
                <w:sz w:val="19"/>
                <w:szCs w:val="19"/>
              </w:rPr>
              <w:t xml:space="preserve">Categories / subsets used</w:t>
            </w:r>
          </w:p>
        </w:tc>
        <w:tc>
          <w:tcPr>
            <w:tcW w:type="dxa" w:w="210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vAlign w:val="center"/>
          </w:tcPr>
          <w:p>
            <w:pPr>
              <w:jc w:val="left"/>
            </w:pPr>
            <w:r>
              <w:rPr>
                <w:b/>
                <w:bCs/>
                <w:color w:val="FFFFFF"/>
                <w:sz w:val="19"/>
                <w:szCs w:val="19"/>
              </w:rPr>
              <w:t xml:space="preserve">Questions per category</w:t>
            </w:r>
          </w:p>
        </w:tc>
      </w:tr>
      <w:tr>
        <w:tc>
          <w:tcPr>
            <w:tcW w:type="dxa" w:w="19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i w:val="0"/>
                <w:iCs/>
                <w:color w:val="262626"/>
                <w:sz w:val="19"/>
                <w:szCs w:val="19"/>
              </w:rPr>
              <w:t>MMLU-Pro</w:t>
            </w:r>
          </w:p>
        </w:tc>
        <w:tc>
          <w:tcPr>
            <w:tcW w:type="dxa" w:w="29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i w:val="0"/>
                <w:iCs/>
                <w:color w:val="262626"/>
                <w:sz w:val="19"/>
                <w:szCs w:val="19"/>
              </w:rPr>
              <w:t>expert multiple-choice questions, 10 options each</w:t>
            </w:r>
          </w:p>
        </w:tc>
        <w:tc>
          <w:tcPr>
            <w:tcW w:type="dxa" w:w="2126"/>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i w:val="0"/>
                <w:iCs/>
                <w:color w:val="262626"/>
                <w:sz w:val="19"/>
                <w:szCs w:val="19"/>
              </w:rPr>
              <w:t>psychology</w:t>
            </w:r>
          </w:p>
        </w:tc>
        <w:tc>
          <w:tcPr>
            <w:tcW w:type="dxa" w:w="21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i w:val="0"/>
                <w:iCs/>
                <w:color w:val="262626"/>
                <w:sz w:val="19"/>
                <w:szCs w:val="19"/>
              </w:rPr>
              <w:t>10</w:t>
            </w:r>
          </w:p>
        </w:tc>
      </w:tr>
      <w:tr>
        <w:tc>
          <w:tcPr>
            <w:tcW w:type="dxa" w:w="19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vAlign w:val="center"/>
          </w:tcPr>
          <w:p>
            <w:r>
              <w:rPr>
                <w:i w:val="0"/>
                <w:iCs/>
                <w:color w:val="262626"/>
                <w:sz w:val="19"/>
                <w:szCs w:val="19"/>
              </w:rPr>
              <w:t>TruthfulQA</w:t>
            </w:r>
          </w:p>
        </w:tc>
        <w:tc>
          <w:tcPr>
            <w:tcW w:type="dxa" w:w="29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vAlign w:val="center"/>
          </w:tcPr>
          <w:p>
            <w:r>
              <w:rPr>
                <w:i w:val="0"/>
                <w:iCs/>
                <w:color w:val="262626"/>
                <w:sz w:val="19"/>
                <w:szCs w:val="19"/>
              </w:rPr>
              <w:t>whether the model repeats common false beliefs</w:t>
            </w:r>
          </w:p>
        </w:tc>
        <w:tc>
          <w:tcPr>
            <w:tcW w:type="dxa" w:w="212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vAlign w:val="center"/>
          </w:tcPr>
          <w:p>
            <w:r>
              <w:rPr>
                <w:i w:val="0"/>
                <w:iCs/>
                <w:color w:val="262626"/>
                <w:sz w:val="19"/>
                <w:szCs w:val="19"/>
              </w:rPr>
              <w:t>multiple_choice</w:t>
            </w:r>
          </w:p>
        </w:tc>
        <w:tc>
          <w:tcPr>
            <w:tcW w:type="dxa" w:w="21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vAlign w:val="center"/>
          </w:tcPr>
          <w:p>
            <w:r>
              <w:rPr>
                <w:i w:val="0"/>
                <w:iCs/>
                <w:color w:val="262626"/>
                <w:sz w:val="19"/>
                <w:szCs w:val="19"/>
              </w:rPr>
              <w:t>10</w:t>
            </w:r>
          </w:p>
        </w:tc>
      </w:tr>
      <w:tr>
        <w:tc>
          <w:tcPr>
            <w:tcW w:type="dxa" w:w="19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i w:val="0"/>
                <w:iCs/>
                <w:color w:val="262626"/>
                <w:sz w:val="19"/>
                <w:szCs w:val="19"/>
              </w:rPr>
              <w:t>HellaSwag</w:t>
            </w:r>
          </w:p>
        </w:tc>
        <w:tc>
          <w:tcPr>
            <w:tcW w:type="dxa" w:w="29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i w:val="0"/>
                <w:iCs/>
                <w:color w:val="262626"/>
                <w:sz w:val="19"/>
                <w:szCs w:val="19"/>
              </w:rPr>
              <w:t>common sense: which ending of a story is plausible</w:t>
            </w:r>
          </w:p>
        </w:tc>
        <w:tc>
          <w:tcPr>
            <w:tcW w:type="dxa" w:w="2126"/>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i w:val="0"/>
                <w:iCs/>
                <w:color w:val="262626"/>
                <w:sz w:val="19"/>
                <w:szCs w:val="19"/>
              </w:rPr>
              <w:t>validation</w:t>
            </w:r>
          </w:p>
        </w:tc>
        <w:tc>
          <w:tcPr>
            <w:tcW w:type="dxa" w:w="21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i w:val="0"/>
                <w:iCs/>
                <w:color w:val="262626"/>
                <w:sz w:val="19"/>
                <w:szCs w:val="19"/>
              </w:rPr>
              <w:t>10</w:t>
            </w:r>
          </w:p>
        </w:tc>
      </w:tr>
      <w:tr>
        <w:tc>
          <w:tcPr>
            <w:tcW w:type="dxa" w:w="1900"/>
          </w:tcPr>
          <w:p>
            <w:r>
              <w:rPr>
                <w:i w:val="0"/>
                <w:iCs/>
                <w:color w:val="262626"/>
                <w:sz w:val="19"/>
                <w:szCs w:val="19"/>
              </w:rPr>
              <w:t>BIG-Bench Hard</w:t>
            </w:r>
          </w:p>
        </w:tc>
        <w:tc>
          <w:tcPr>
            <w:tcW w:type="dxa" w:w="2900"/>
          </w:tcPr>
          <w:p>
            <w:r>
              <w:rPr>
                <w:i w:val="0"/>
                <w:iCs/>
                <w:color w:val="262626"/>
                <w:sz w:val="19"/>
                <w:szCs w:val="19"/>
              </w:rPr>
              <w:t>tasks models usually fail; this one is about causation, answer Yes or No</w:t>
            </w:r>
          </w:p>
        </w:tc>
        <w:tc>
          <w:tcPr>
            <w:tcW w:type="dxa" w:w="2126"/>
          </w:tcPr>
          <w:p>
            <w:r>
              <w:rPr>
                <w:i w:val="0"/>
                <w:iCs/>
                <w:color w:val="262626"/>
                <w:sz w:val="19"/>
                <w:szCs w:val="19"/>
              </w:rPr>
              <w:t>causal_judgement</w:t>
            </w:r>
          </w:p>
        </w:tc>
        <w:tc>
          <w:tcPr>
            <w:tcW w:type="dxa" w:w="2100"/>
          </w:tcPr>
          <w:p>
            <w:r>
              <w:rPr>
                <w:i w:val="0"/>
                <w:iCs/>
                <w:color w:val="262626"/>
                <w:sz w:val="19"/>
                <w:szCs w:val="19"/>
              </w:rPr>
              <w:t>10</w:t>
            </w:r>
          </w:p>
        </w:tc>
      </w:tr>
      <w:tr>
        <w:tc>
          <w:tcPr>
            <w:tcW w:type="dxa" w:w="1900"/>
          </w:tcPr>
          <w:p>
            <w:r>
              <w:rPr>
                <w:i w:val="0"/>
                <w:iCs/>
                <w:color w:val="262626"/>
                <w:sz w:val="19"/>
                <w:szCs w:val="19"/>
              </w:rPr>
              <w:t>MathQA</w:t>
            </w:r>
          </w:p>
        </w:tc>
        <w:tc>
          <w:tcPr>
            <w:tcW w:type="dxa" w:w="2900"/>
          </w:tcPr>
          <w:p>
            <w:r>
              <w:rPr>
                <w:i w:val="0"/>
                <w:iCs/>
                <w:color w:val="262626"/>
                <w:sz w:val="19"/>
                <w:szCs w:val="19"/>
              </w:rPr>
              <w:t>school maths with multiple choice</w:t>
            </w:r>
          </w:p>
        </w:tc>
        <w:tc>
          <w:tcPr>
            <w:tcW w:type="dxa" w:w="2126"/>
          </w:tcPr>
          <w:p>
            <w:r>
              <w:rPr>
                <w:i w:val="0"/>
                <w:iCs/>
                <w:color w:val="262626"/>
                <w:sz w:val="19"/>
                <w:szCs w:val="19"/>
              </w:rPr>
              <w:t>train</w:t>
            </w:r>
          </w:p>
        </w:tc>
        <w:tc>
          <w:tcPr>
            <w:tcW w:type="dxa" w:w="2100"/>
          </w:tcPr>
          <w:p>
            <w:r>
              <w:rPr>
                <w:i w:val="0"/>
                <w:iCs/>
                <w:color w:val="262626"/>
                <w:sz w:val="19"/>
                <w:szCs w:val="19"/>
              </w:rPr>
              <w:t>10</w:t>
            </w:r>
          </w:p>
        </w:tc>
      </w:tr>
      <w:tr>
        <w:tc>
          <w:tcPr>
            <w:tcW w:type="dxa" w:w="1900"/>
          </w:tcPr>
          <w:p>
            <w:r>
              <w:rPr>
                <w:i w:val="0"/>
                <w:iCs/>
                <w:color w:val="262626"/>
                <w:sz w:val="19"/>
                <w:szCs w:val="19"/>
              </w:rPr>
              <w:t>BoolQ</w:t>
            </w:r>
          </w:p>
        </w:tc>
        <w:tc>
          <w:tcPr>
            <w:tcW w:type="dxa" w:w="2900"/>
          </w:tcPr>
          <w:p>
            <w:r>
              <w:rPr>
                <w:i w:val="0"/>
                <w:iCs/>
                <w:color w:val="262626"/>
                <w:sz w:val="19"/>
                <w:szCs w:val="19"/>
              </w:rPr>
              <w:t>yes or no question about a passage</w:t>
            </w:r>
          </w:p>
        </w:tc>
        <w:tc>
          <w:tcPr>
            <w:tcW w:type="dxa" w:w="2126"/>
          </w:tcPr>
          <w:p>
            <w:r>
              <w:rPr>
                <w:i w:val="0"/>
                <w:iCs/>
                <w:color w:val="262626"/>
                <w:sz w:val="19"/>
                <w:szCs w:val="19"/>
              </w:rPr>
              <w:t>validation</w:t>
            </w:r>
          </w:p>
        </w:tc>
        <w:tc>
          <w:tcPr>
            <w:tcW w:type="dxa" w:w="2100"/>
          </w:tcPr>
          <w:p>
            <w:r>
              <w:rPr>
                <w:i w:val="0"/>
                <w:iCs/>
                <w:color w:val="262626"/>
                <w:sz w:val="19"/>
                <w:szCs w:val="19"/>
              </w:rPr>
              <w:t>10</w:t>
            </w:r>
          </w:p>
        </w:tc>
      </w:tr>
      <w:tr>
        <w:tc>
          <w:tcPr>
            <w:tcW w:type="dxa" w:w="1900"/>
          </w:tcPr>
          <w:p>
            <w:r>
              <w:rPr>
                <w:i w:val="0"/>
                <w:iCs/>
                <w:color w:val="262626"/>
                <w:sz w:val="19"/>
                <w:szCs w:val="19"/>
              </w:rPr>
              <w:t>LAMBADA</w:t>
            </w:r>
          </w:p>
        </w:tc>
        <w:tc>
          <w:tcPr>
            <w:tcW w:type="dxa" w:w="2900"/>
          </w:tcPr>
          <w:p>
            <w:r>
              <w:rPr>
                <w:i w:val="0"/>
                <w:iCs/>
                <w:color w:val="262626"/>
                <w:sz w:val="19"/>
                <w:szCs w:val="19"/>
              </w:rPr>
              <w:t>guess the last word of a paragraph</w:t>
            </w:r>
          </w:p>
        </w:tc>
        <w:tc>
          <w:tcPr>
            <w:tcW w:type="dxa" w:w="2126"/>
          </w:tcPr>
          <w:p>
            <w:r>
              <w:rPr>
                <w:i w:val="0"/>
                <w:iCs/>
                <w:color w:val="262626"/>
                <w:sz w:val="19"/>
                <w:szCs w:val="19"/>
              </w:rPr>
              <w:t>validation</w:t>
            </w:r>
          </w:p>
        </w:tc>
        <w:tc>
          <w:tcPr>
            <w:tcW w:type="dxa" w:w="2100"/>
          </w:tcPr>
          <w:p>
            <w:r>
              <w:rPr>
                <w:i w:val="0"/>
                <w:iCs/>
                <w:color w:val="262626"/>
                <w:sz w:val="19"/>
                <w:szCs w:val="19"/>
              </w:rPr>
              <w:t>10</w:t>
            </w:r>
          </w:p>
        </w:tc>
      </w:tr>
      <w:tr>
        <w:tc>
          <w:tcPr>
            <w:tcW w:type="dxa" w:w="1900"/>
          </w:tcPr>
          <w:p>
            <w:r>
              <w:rPr>
                <w:i w:val="0"/>
                <w:iCs/>
                <w:color w:val="262626"/>
                <w:sz w:val="19"/>
                <w:szCs w:val="19"/>
              </w:rPr>
              <w:t>Winogrande</w:t>
            </w:r>
          </w:p>
        </w:tc>
        <w:tc>
          <w:tcPr>
            <w:tcW w:type="dxa" w:w="2900"/>
          </w:tcPr>
          <w:p>
            <w:r>
              <w:rPr>
                <w:i w:val="0"/>
                <w:iCs/>
                <w:color w:val="262626"/>
                <w:sz w:val="19"/>
                <w:szCs w:val="19"/>
              </w:rPr>
              <w:t>which noun a pronoun refers to</w:t>
            </w:r>
          </w:p>
        </w:tc>
        <w:tc>
          <w:tcPr>
            <w:tcW w:type="dxa" w:w="2126"/>
          </w:tcPr>
          <w:p>
            <w:r>
              <w:rPr>
                <w:i w:val="0"/>
                <w:iCs/>
                <w:color w:val="262626"/>
                <w:sz w:val="19"/>
                <w:szCs w:val="19"/>
              </w:rPr>
              <w:t>validation</w:t>
            </w:r>
          </w:p>
        </w:tc>
        <w:tc>
          <w:tcPr>
            <w:tcW w:type="dxa" w:w="2100"/>
          </w:tcPr>
          <w:p>
            <w:r>
              <w:rPr>
                <w:i w:val="0"/>
                <w:iCs/>
                <w:color w:val="262626"/>
                <w:sz w:val="19"/>
                <w:szCs w:val="19"/>
              </w:rPr>
              <w:t>10</w:t>
            </w:r>
          </w:p>
        </w:tc>
      </w:tr>
      <w:tr>
        <w:tc>
          <w:tcPr>
            <w:tcW w:type="dxa" w:w="1900"/>
          </w:tcPr>
          <w:p>
            <w:r>
              <w:rPr>
                <w:i w:val="0"/>
                <w:iCs/>
                <w:color w:val="262626"/>
                <w:sz w:val="19"/>
                <w:szCs w:val="19"/>
              </w:rPr>
              <w:t>IFEval</w:t>
            </w:r>
          </w:p>
        </w:tc>
        <w:tc>
          <w:tcPr>
            <w:tcW w:type="dxa" w:w="2900"/>
          </w:tcPr>
          <w:p>
            <w:r>
              <w:rPr>
                <w:i w:val="0"/>
                <w:iCs/>
                <w:color w:val="262626"/>
                <w:sz w:val="19"/>
                <w:szCs w:val="19"/>
              </w:rPr>
              <w:t>following format instructions; the script only generates text and has no metric</w:t>
            </w:r>
          </w:p>
        </w:tc>
        <w:tc>
          <w:tcPr>
            <w:tcW w:type="dxa" w:w="2126"/>
          </w:tcPr>
          <w:p>
            <w:r>
              <w:rPr>
                <w:i w:val="0"/>
                <w:iCs/>
                <w:color w:val="262626"/>
                <w:sz w:val="19"/>
                <w:szCs w:val="19"/>
              </w:rPr>
              <w:t>train</w:t>
            </w:r>
          </w:p>
        </w:tc>
        <w:tc>
          <w:tcPr>
            <w:tcW w:type="dxa" w:w="2100"/>
          </w:tcPr>
          <w:p>
            <w:r>
              <w:rPr>
                <w:i w:val="0"/>
                <w:iCs/>
                <w:color w:val="262626"/>
                <w:sz w:val="19"/>
                <w:szCs w:val="19"/>
              </w:rPr>
              <w:t>10</w:t>
            </w:r>
          </w:p>
        </w:tc>
      </w:tr>
      <w:tr>
        <w:tc>
          <w:tcPr>
            <w:tcW w:type="dxa" w:w="1900"/>
          </w:tcPr>
          <w:p>
            <w:r>
              <w:rPr>
                <w:i w:val="0"/>
                <w:iCs/>
                <w:color w:val="262626"/>
                <w:sz w:val="19"/>
                <w:szCs w:val="19"/>
              </w:rPr>
              <w:t>BBQ</w:t>
            </w:r>
          </w:p>
        </w:tc>
        <w:tc>
          <w:tcPr>
            <w:tcW w:type="dxa" w:w="2900"/>
          </w:tcPr>
          <w:p>
            <w:r>
              <w:rPr>
                <w:i w:val="0"/>
                <w:iCs/>
                <w:color w:val="262626"/>
                <w:sz w:val="19"/>
                <w:szCs w:val="19"/>
              </w:rPr>
              <w:t>bias in answers about social groups</w:t>
            </w:r>
          </w:p>
        </w:tc>
        <w:tc>
          <w:tcPr>
            <w:tcW w:type="dxa" w:w="2126"/>
          </w:tcPr>
          <w:p>
            <w:r>
              <w:rPr>
                <w:i w:val="0"/>
                <w:iCs/>
                <w:color w:val="262626"/>
                <w:sz w:val="19"/>
                <w:szCs w:val="19"/>
              </w:rPr>
              <w:t>sexual_orientation</w:t>
            </w:r>
          </w:p>
        </w:tc>
        <w:tc>
          <w:tcPr>
            <w:tcW w:type="dxa" w:w="2100"/>
          </w:tcPr>
          <w:p>
            <w:r>
              <w:rPr>
                <w:i w:val="0"/>
                <w:iCs/>
                <w:color w:val="262626"/>
                <w:sz w:val="19"/>
                <w:szCs w:val="19"/>
              </w:rPr>
              <w:t>10</w:t>
            </w:r>
          </w:p>
        </w:tc>
      </w:tr>
    </w:tbl>
    <w:p>
      <w:pPr>
        <w:spacing w:after="100"/>
      </w:pPr>
    </w:p>
    <w:p>
      <w:pPr>
        <w:pStyle w:val="Heading1"/>
        <w:pBdr>
          <w:bottom w:val="single" w:color="2E74B5" w:sz="6" w:space="4"/>
        </w:pBdr>
        <w:spacing w:after="160" w:before="360"/>
      </w:pPr>
      <w:r>
        <w:rPr>
          <w:b/>
          <w:bCs/>
          <w:color w:val="1F3864"/>
        </w:rPr>
        <w:t xml:space="preserve">3.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313"/>
        <w:gridCol w:w="2313"/>
      </w:tblGrid>
      <w:tr>
        <w:trPr>
          <w:tblHeader/>
        </w:trPr>
        <w:tc>
          <w:tcPr>
            <w:tcW w:type="dxa" w:w="220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vAlign w:val="center"/>
          </w:tcPr>
          <w:p>
            <w:pPr>
              <w:jc w:val="left"/>
            </w:pPr>
            <w:r>
              <w:rPr>
                <w:b/>
                <w:bCs/>
                <w:color w:val="FFFFFF"/>
                <w:sz w:val="19"/>
                <w:szCs w:val="19"/>
              </w:rPr>
              <w:t xml:space="preserve">Benchmark (category)</w:t>
            </w:r>
          </w:p>
        </w:tc>
        <w:tc>
          <w:tcPr>
            <w:tcW w:type="dxa" w:w="220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vAlign w:val="center"/>
          </w:tcPr>
          <w:p>
            <w:pPr>
              <w:jc w:val="left"/>
            </w:pPr>
            <w:r>
              <w:rPr>
                <w:b/>
                <w:bCs/>
                <w:color w:val="FFFFFF"/>
                <w:sz w:val="19"/>
                <w:szCs w:val="19"/>
              </w:rPr>
              <w:t xml:space="preserve">Metric</w:t>
            </w:r>
          </w:p>
        </w:tc>
        <w:tc>
          <w:tcPr>
            <w:tcW w:type="dxa" w:w="2313"/>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vAlign w:val="center"/>
          </w:tcPr>
          <w:p>
            <w:pPr>
              <w:jc w:val="left"/>
            </w:pPr>
            <w:r>
              <w:rPr>
                <w:b/>
                <w:bCs/>
                <w:color w:val="FFFFFF"/>
                <w:sz w:val="19"/>
                <w:szCs w:val="19"/>
              </w:rPr>
              <w:t>gpt-5.4-nano accuracy</w:t>
            </w:r>
          </w:p>
        </w:tc>
        <w:tc>
          <w:tcPr>
            <w:tcW w:type="dxa" w:w="2313"/>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vAlign w:val="center"/>
          </w:tcPr>
          <w:p>
            <w:pPr>
              <w:jc w:val="left"/>
            </w:pPr>
            <w:r>
              <w:rPr>
                <w:b/>
                <w:bCs/>
                <w:color w:val="FFFFFF"/>
                <w:sz w:val="19"/>
                <w:szCs w:val="19"/>
              </w:rPr>
              <w:t>gemini-3-flash-preview accuracy</w:t>
            </w:r>
          </w:p>
        </w:tc>
      </w:tr>
      <w:tr>
        <w:tc>
          <w:tcPr>
            <w:tcW w:type="dxa" w:w="22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i w:val="0"/>
                <w:iCs/>
                <w:color w:val="262626"/>
                <w:sz w:val="19"/>
                <w:szCs w:val="19"/>
              </w:rPr>
              <w:t>MMLU-Pro (psychology)</w:t>
            </w:r>
          </w:p>
        </w:tc>
        <w:tc>
          <w:tcPr>
            <w:tcW w:type="dxa" w:w="22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i w:val="false"/>
                <w:iCs w:val="false"/>
                <w:color w:val="262626"/>
                <w:sz w:val="19"/>
                <w:szCs w:val="19"/>
              </w:rPr>
              <w:t>Accuracy</w:t>
            </w:r>
          </w:p>
        </w:tc>
        <w:tc>
          <w:tcPr>
            <w:tcW w:type="dxa" w:w="2313"/>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i w:val="0"/>
                <w:iCs/>
                <w:color w:val="262626"/>
                <w:sz w:val="19"/>
                <w:szCs w:val="19"/>
              </w:rPr>
              <w:t>0.40</w:t>
            </w:r>
          </w:p>
        </w:tc>
        <w:tc>
          <w:tcPr>
            <w:tcW w:type="dxa" w:w="2313"/>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i w:val="0"/>
                <w:iCs/>
                <w:color w:val="262626"/>
                <w:sz w:val="19"/>
                <w:szCs w:val="19"/>
              </w:rPr>
              <w:t>0.80</w:t>
            </w:r>
          </w:p>
        </w:tc>
      </w:tr>
      <w:tr>
        <w:tc>
          <w:tcPr>
            <w:tcW w:type="dxa" w:w="22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vAlign w:val="center"/>
          </w:tcPr>
          <w:p>
            <w:r>
              <w:rPr>
                <w:i w:val="0"/>
                <w:iCs/>
                <w:color w:val="262626"/>
                <w:sz w:val="19"/>
                <w:szCs w:val="19"/>
              </w:rPr>
              <w:t>TruthfulQA</w:t>
            </w:r>
          </w:p>
        </w:tc>
        <w:tc>
          <w:tcPr>
            <w:tcW w:type="dxa" w:w="22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vAlign w:val="center"/>
          </w:tcPr>
          <w:p>
            <w:r>
              <w:rPr>
                <w:i w:val="false"/>
                <w:iCs w:val="false"/>
                <w:color w:val="262626"/>
                <w:sz w:val="19"/>
                <w:szCs w:val="19"/>
              </w:rPr>
              <w:t>Accuracy</w:t>
            </w:r>
          </w:p>
        </w:tc>
        <w:tc>
          <w:tcPr>
            <w:tcW w:type="dxa" w:w="23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vAlign w:val="center"/>
          </w:tcPr>
          <w:p>
            <w:r>
              <w:rPr>
                <w:i w:val="0"/>
                <w:iCs/>
                <w:color w:val="262626"/>
                <w:sz w:val="19"/>
                <w:szCs w:val="19"/>
              </w:rPr>
              <w:t>0.70</w:t>
            </w:r>
          </w:p>
        </w:tc>
        <w:tc>
          <w:tcPr>
            <w:tcW w:type="dxa" w:w="23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vAlign w:val="center"/>
          </w:tcPr>
          <w:p>
            <w:r>
              <w:rPr>
                <w:i w:val="0"/>
                <w:iCs/>
                <w:color w:val="262626"/>
                <w:sz w:val="19"/>
                <w:szCs w:val="19"/>
              </w:rPr>
              <w:t>0.90</w:t>
            </w:r>
          </w:p>
        </w:tc>
      </w:tr>
      <w:tr>
        <w:tc>
          <w:tcPr>
            <w:tcW w:type="dxa" w:w="22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i w:val="0"/>
                <w:iCs/>
                <w:color w:val="262626"/>
                <w:sz w:val="19"/>
                <w:szCs w:val="19"/>
              </w:rPr>
              <w:t>HellaSwag</w:t>
            </w:r>
          </w:p>
        </w:tc>
        <w:tc>
          <w:tcPr>
            <w:tcW w:type="dxa" w:w="22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i w:val="false"/>
                <w:iCs w:val="false"/>
                <w:color w:val="262626"/>
                <w:sz w:val="19"/>
                <w:szCs w:val="19"/>
              </w:rPr>
              <w:t>Accuracy</w:t>
            </w:r>
          </w:p>
        </w:tc>
        <w:tc>
          <w:tcPr>
            <w:tcW w:type="dxa" w:w="2313"/>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i w:val="0"/>
                <w:iCs/>
                <w:color w:val="262626"/>
                <w:sz w:val="19"/>
                <w:szCs w:val="19"/>
              </w:rPr>
              <w:t>0.50</w:t>
            </w:r>
          </w:p>
        </w:tc>
        <w:tc>
          <w:tcPr>
            <w:tcW w:type="dxa" w:w="2313"/>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i w:val="0"/>
                <w:iCs/>
                <w:color w:val="262626"/>
                <w:sz w:val="19"/>
                <w:szCs w:val="19"/>
              </w:rPr>
              <w:t>0.80</w:t>
            </w:r>
          </w:p>
        </w:tc>
      </w:tr>
      <w:tr>
        <w:tc>
          <w:tcPr>
            <w:tcW w:type="dxa" w:w="2200"/>
          </w:tcPr>
          <w:p>
            <w:r>
              <w:rPr>
                <w:i w:val="0"/>
                <w:iCs/>
                <w:color w:val="262626"/>
                <w:sz w:val="19"/>
                <w:szCs w:val="19"/>
              </w:rPr>
              <w:t>BIG-Bench Hard (causal_judgement)</w:t>
            </w:r>
          </w:p>
        </w:tc>
        <w:tc>
          <w:tcPr>
            <w:tcW w:type="dxa" w:w="2200"/>
          </w:tcPr>
          <w:p>
            <w:r>
              <w:rPr>
                <w:i w:val="0"/>
                <w:iCs/>
                <w:color w:val="262626"/>
                <w:sz w:val="19"/>
                <w:szCs w:val="19"/>
              </w:rPr>
              <w:t>Accuracy</w:t>
            </w:r>
          </w:p>
        </w:tc>
        <w:tc>
          <w:tcPr>
            <w:tcW w:type="dxa" w:w="2313"/>
          </w:tcPr>
          <w:p>
            <w:r>
              <w:rPr>
                <w:i w:val="0"/>
                <w:iCs/>
                <w:color w:val="262626"/>
                <w:sz w:val="19"/>
                <w:szCs w:val="19"/>
              </w:rPr>
              <w:t>0.70</w:t>
            </w:r>
          </w:p>
        </w:tc>
        <w:tc>
          <w:tcPr>
            <w:tcW w:type="dxa" w:w="2313"/>
          </w:tcPr>
          <w:p>
            <w:r>
              <w:rPr>
                <w:i w:val="0"/>
                <w:iCs/>
                <w:color w:val="262626"/>
                <w:sz w:val="19"/>
                <w:szCs w:val="19"/>
              </w:rPr>
              <w:t>0.90</w:t>
            </w:r>
          </w:p>
        </w:tc>
      </w:tr>
      <w:tr>
        <w:tc>
          <w:tcPr>
            <w:tcW w:type="dxa" w:w="2200"/>
          </w:tcPr>
          <w:p>
            <w:r>
              <w:rPr>
                <w:i w:val="0"/>
                <w:iCs/>
                <w:color w:val="262626"/>
                <w:sz w:val="19"/>
                <w:szCs w:val="19"/>
              </w:rPr>
              <w:t>MathQA</w:t>
            </w:r>
          </w:p>
        </w:tc>
        <w:tc>
          <w:tcPr>
            <w:tcW w:type="dxa" w:w="2200"/>
          </w:tcPr>
          <w:p>
            <w:r>
              <w:rPr>
                <w:i w:val="0"/>
                <w:iCs/>
                <w:color w:val="262626"/>
                <w:sz w:val="19"/>
                <w:szCs w:val="19"/>
              </w:rPr>
              <w:t>Accuracy</w:t>
            </w:r>
          </w:p>
        </w:tc>
        <w:tc>
          <w:tcPr>
            <w:tcW w:type="dxa" w:w="2313"/>
          </w:tcPr>
          <w:p>
            <w:r>
              <w:rPr>
                <w:i w:val="0"/>
                <w:iCs/>
                <w:color w:val="262626"/>
                <w:sz w:val="19"/>
                <w:szCs w:val="19"/>
              </w:rPr>
              <w:t>0.80</w:t>
            </w:r>
          </w:p>
        </w:tc>
        <w:tc>
          <w:tcPr>
            <w:tcW w:type="dxa" w:w="2313"/>
          </w:tcPr>
          <w:p>
            <w:r>
              <w:rPr>
                <w:i w:val="0"/>
                <w:iCs/>
                <w:color w:val="262626"/>
                <w:sz w:val="19"/>
                <w:szCs w:val="19"/>
              </w:rPr>
              <w:t>1.00</w:t>
            </w:r>
          </w:p>
        </w:tc>
      </w:tr>
      <w:tr>
        <w:tc>
          <w:tcPr>
            <w:tcW w:type="dxa" w:w="2200"/>
          </w:tcPr>
          <w:p>
            <w:r>
              <w:rPr>
                <w:i w:val="0"/>
                <w:iCs/>
                <w:color w:val="262626"/>
                <w:sz w:val="19"/>
                <w:szCs w:val="19"/>
              </w:rPr>
              <w:t>BoolQ</w:t>
            </w:r>
          </w:p>
        </w:tc>
        <w:tc>
          <w:tcPr>
            <w:tcW w:type="dxa" w:w="2200"/>
          </w:tcPr>
          <w:p>
            <w:r>
              <w:rPr>
                <w:i w:val="0"/>
                <w:iCs/>
                <w:color w:val="262626"/>
                <w:sz w:val="19"/>
                <w:szCs w:val="19"/>
              </w:rPr>
              <w:t>Accuracy</w:t>
            </w:r>
          </w:p>
        </w:tc>
        <w:tc>
          <w:tcPr>
            <w:tcW w:type="dxa" w:w="2313"/>
          </w:tcPr>
          <w:p>
            <w:r>
              <w:rPr>
                <w:i w:val="0"/>
                <w:iCs/>
                <w:color w:val="262626"/>
                <w:sz w:val="19"/>
                <w:szCs w:val="19"/>
              </w:rPr>
              <w:t>1.00</w:t>
            </w:r>
          </w:p>
        </w:tc>
        <w:tc>
          <w:tcPr>
            <w:tcW w:type="dxa" w:w="2313"/>
          </w:tcPr>
          <w:p>
            <w:r>
              <w:rPr>
                <w:i w:val="0"/>
                <w:iCs/>
                <w:color w:val="262626"/>
                <w:sz w:val="19"/>
                <w:szCs w:val="19"/>
              </w:rPr>
              <w:t>0.90</w:t>
            </w:r>
          </w:p>
        </w:tc>
      </w:tr>
      <w:tr>
        <w:tc>
          <w:tcPr>
            <w:tcW w:type="dxa" w:w="2200"/>
          </w:tcPr>
          <w:p>
            <w:r>
              <w:rPr>
                <w:i w:val="0"/>
                <w:iCs/>
                <w:color w:val="262626"/>
                <w:sz w:val="19"/>
                <w:szCs w:val="19"/>
              </w:rPr>
              <w:t>LAMBADA</w:t>
            </w:r>
          </w:p>
        </w:tc>
        <w:tc>
          <w:tcPr>
            <w:tcW w:type="dxa" w:w="2200"/>
          </w:tcPr>
          <w:p>
            <w:r>
              <w:rPr>
                <w:i w:val="0"/>
                <w:iCs/>
                <w:color w:val="262626"/>
                <w:sz w:val="19"/>
                <w:szCs w:val="19"/>
              </w:rPr>
              <w:t>Accuracy</w:t>
            </w:r>
          </w:p>
        </w:tc>
        <w:tc>
          <w:tcPr>
            <w:tcW w:type="dxa" w:w="2313"/>
          </w:tcPr>
          <w:p>
            <w:r>
              <w:rPr>
                <w:i w:val="0"/>
                <w:iCs/>
                <w:color w:val="262626"/>
                <w:sz w:val="19"/>
                <w:szCs w:val="19"/>
              </w:rPr>
              <w:t>0.20</w:t>
            </w:r>
          </w:p>
        </w:tc>
        <w:tc>
          <w:tcPr>
            <w:tcW w:type="dxa" w:w="2313"/>
          </w:tcPr>
          <w:p>
            <w:r>
              <w:rPr>
                <w:i w:val="0"/>
                <w:iCs/>
                <w:color w:val="262626"/>
                <w:sz w:val="19"/>
                <w:szCs w:val="19"/>
              </w:rPr>
              <w:t>0.50</w:t>
            </w:r>
          </w:p>
        </w:tc>
      </w:tr>
      <w:tr>
        <w:tc>
          <w:tcPr>
            <w:tcW w:type="dxa" w:w="2200"/>
          </w:tcPr>
          <w:p>
            <w:r>
              <w:rPr>
                <w:i w:val="0"/>
                <w:iCs/>
                <w:color w:val="262626"/>
                <w:sz w:val="19"/>
                <w:szCs w:val="19"/>
              </w:rPr>
              <w:t>Winogrande</w:t>
            </w:r>
          </w:p>
        </w:tc>
        <w:tc>
          <w:tcPr>
            <w:tcW w:type="dxa" w:w="2200"/>
          </w:tcPr>
          <w:p>
            <w:r>
              <w:rPr>
                <w:i w:val="0"/>
                <w:iCs/>
                <w:color w:val="262626"/>
                <w:sz w:val="19"/>
                <w:szCs w:val="19"/>
              </w:rPr>
              <w:t>Accuracy</w:t>
            </w:r>
          </w:p>
        </w:tc>
        <w:tc>
          <w:tcPr>
            <w:tcW w:type="dxa" w:w="2313"/>
          </w:tcPr>
          <w:p>
            <w:r>
              <w:rPr>
                <w:i w:val="0"/>
                <w:iCs/>
                <w:color w:val="262626"/>
                <w:sz w:val="19"/>
                <w:szCs w:val="19"/>
              </w:rPr>
              <w:t>0.70</w:t>
            </w:r>
          </w:p>
        </w:tc>
        <w:tc>
          <w:tcPr>
            <w:tcW w:type="dxa" w:w="2313"/>
          </w:tcPr>
          <w:p>
            <w:r>
              <w:rPr>
                <w:i w:val="0"/>
                <w:iCs/>
                <w:color w:val="262626"/>
                <w:sz w:val="19"/>
                <w:szCs w:val="19"/>
              </w:rPr>
              <w:t>0.90</w:t>
            </w:r>
          </w:p>
        </w:tc>
      </w:tr>
      <w:tr>
        <w:tc>
          <w:tcPr>
            <w:tcW w:type="dxa" w:w="2200"/>
          </w:tcPr>
          <w:p>
            <w:r>
              <w:rPr>
                <w:i w:val="0"/>
                <w:iCs/>
                <w:color w:val="262626"/>
                <w:sz w:val="19"/>
                <w:szCs w:val="19"/>
              </w:rPr>
              <w:t>IFEval</w:t>
            </w:r>
          </w:p>
        </w:tc>
        <w:tc>
          <w:tcPr>
            <w:tcW w:type="dxa" w:w="2200"/>
          </w:tcPr>
          <w:p>
            <w:r>
              <w:rPr>
                <w:i w:val="0"/>
                <w:iCs/>
                <w:color w:val="262626"/>
                <w:sz w:val="19"/>
                <w:szCs w:val="19"/>
              </w:rPr>
              <w:t>no metric</w:t>
            </w:r>
          </w:p>
        </w:tc>
        <w:tc>
          <w:tcPr>
            <w:tcW w:type="dxa" w:w="2313"/>
          </w:tcPr>
          <w:p>
            <w:r>
              <w:rPr>
                <w:i w:val="0"/>
                <w:iCs/>
                <w:color w:val="262626"/>
                <w:sz w:val="19"/>
                <w:szCs w:val="19"/>
              </w:rPr>
              <w:t>n/a</w:t>
            </w:r>
          </w:p>
        </w:tc>
        <w:tc>
          <w:tcPr>
            <w:tcW w:type="dxa" w:w="2313"/>
          </w:tcPr>
          <w:p>
            <w:r>
              <w:rPr>
                <w:i w:val="0"/>
                <w:iCs/>
                <w:color w:val="262626"/>
                <w:sz w:val="19"/>
                <w:szCs w:val="19"/>
              </w:rPr>
              <w:t>n/a</w:t>
            </w:r>
          </w:p>
        </w:tc>
      </w:tr>
      <w:tr>
        <w:tc>
          <w:tcPr>
            <w:tcW w:type="dxa" w:w="2200"/>
          </w:tcPr>
          <w:p>
            <w:r>
              <w:rPr>
                <w:i w:val="0"/>
                <w:iCs/>
                <w:color w:val="262626"/>
                <w:sz w:val="19"/>
                <w:szCs w:val="19"/>
              </w:rPr>
              <w:t>BBQ (sexual_orientation)</w:t>
            </w:r>
          </w:p>
        </w:tc>
        <w:tc>
          <w:tcPr>
            <w:tcW w:type="dxa" w:w="2200"/>
          </w:tcPr>
          <w:p>
            <w:r>
              <w:rPr>
                <w:i w:val="0"/>
                <w:iCs/>
                <w:color w:val="262626"/>
                <w:sz w:val="19"/>
                <w:szCs w:val="19"/>
              </w:rPr>
              <w:t>Accuracy</w:t>
            </w:r>
          </w:p>
        </w:tc>
        <w:tc>
          <w:tcPr>
            <w:tcW w:type="dxa" w:w="2313"/>
          </w:tcPr>
          <w:p>
            <w:r>
              <w:rPr>
                <w:i w:val="0"/>
                <w:iCs/>
                <w:color w:val="262626"/>
                <w:sz w:val="19"/>
                <w:szCs w:val="19"/>
              </w:rPr>
              <w:t>0.60</w:t>
            </w:r>
          </w:p>
        </w:tc>
        <w:tc>
          <w:tcPr>
            <w:tcW w:type="dxa" w:w="2313"/>
          </w:tcPr>
          <w:p>
            <w:r>
              <w:rPr>
                <w:i w:val="0"/>
                <w:iCs/>
                <w:color w:val="262626"/>
                <w:sz w:val="19"/>
                <w:szCs w:val="19"/>
              </w:rPr>
              <w:t>0.50</w:t>
            </w:r>
          </w:p>
        </w:tc>
      </w:tr>
    </w:tbl>
    <w:p>
      <w:pPr>
        <w:spacing w:after="140"/>
      </w:pPr>
    </w:p>
    <w:p>
      <w:pPr>
        <w:spacing w:after="200"/>
      </w:pPr>
      <w:r>
        <w:rPr>
          <w:i w:val="0"/>
          <w:iCs/>
          <w:color w:val="262626"/>
        </w:rPr>
        <w:t>gemini-3-flash-preview is better on 7 of the 9 benchmarks that have a metric. gpt-5.4-nano wins on BoolQ (1.00 against 0.90) and on BBQ (0.60 against 0.50). The biggest gaps are MMLU-Pro (0.40 against 0.80) and LAMBADA (0.20 against 0.50). IFEval has no accuracy: the script only prints the generated text.</w:t>
      </w:r>
    </w:p>
    <w:p>
      <w:pPr>
        <w:pStyle w:val="Heading1"/>
        <w:pBdr>
          <w:bottom w:val="single" w:color="2E74B5" w:sz="6" w:space="4"/>
        </w:pBdr>
        <w:spacing w:after="160" w:before="360"/>
      </w:pPr>
      <w:r>
        <w:rPr>
          <w:b/>
          <w:bCs/>
          <w:color w:val="1F3864"/>
        </w:rPr>
        <w:t xml:space="preserve">4. Analysis</w:t>
      </w:r>
    </w:p>
    <w:p>
      <w:pPr>
        <w:spacing w:after="200"/>
      </w:pPr>
      <w:r>
        <w:rPr>
          <w:i w:val="0"/>
          <w:iCs/>
          <w:color w:val="262626"/>
        </w:rPr>
        <w:t>Both models do well when the answer is in the text: BoolQ 1.00 and 0.90, causal judgement 0.70 and 0.90, Winogrande 0.70 and 0.90.</w:t>
      </w:r>
    </w:p>
    <w:p>
      <w:pPr>
        <w:spacing w:after="200"/>
      </w:pPr>
      <w:r>
        <w:rPr>
          <w:color w:val="262626"/>
        </w:rPr>
        <w:t>The gap grows where the model has to know something: psychology 0.40 and 0.80, MathQA 0.80 and 1.00. Gemini answered all ten maths questions correctly.</w:t>
      </w:r>
    </w:p>
    <w:p>
      <w:pPr>
        <w:spacing w:after="200"/>
      </w:pPr>
      <w:r>
        <w:rPr>
          <w:color w:val="262626"/>
        </w:rPr>
        <w:t>LAMBADA is the weakest for both, 0.20 and 0.50. There you have to guess the exact last word of a paragraph, and only an exact match counts.</w:t>
      </w:r>
    </w:p>
    <w:p>
      <w:pPr>
        <w:spacing w:after="200"/>
      </w:pPr>
      <w:r>
        <w:rPr>
          <w:color w:val="262626"/>
        </w:rPr>
        <w:t>MMLU-Pro and MathQA first showed 0.10 for both models because of the parsing. The script looked for the phrase "answer is (X)" and took the first character of the answer. After I made it accept other formats, MMLU-Pro for gpt-5.4-nano went from 0.10 to 0.40 and MathQA from 0.10 to 0.80 and 1.00. The answers of the models did not change.</w:t>
      </w:r>
    </w:p>
    <w:p>
      <w:pPr>
        <w:pStyle w:val="Heading1"/>
        <w:pBdr>
          <w:bottom w:val="single" w:color="2E74B5" w:sz="6" w:space="4"/>
        </w:pBdr>
        <w:spacing w:after="160" w:before="360"/>
      </w:pPr>
      <w:r>
        <w:rPr>
          <w:b/>
          <w:bCs/>
          <w:color w:val="1F3864"/>
        </w:rPr>
        <w:t xml:space="preserve">5. Conclusions</w:t>
      </w:r>
    </w:p>
    <w:p>
      <w:pPr>
        <w:pStyle w:val="ListParagraph"/>
        <w:numPr>
          <w:ilvl w:val="0"/>
          <w:numId w:val="3"/>
        </w:numPr>
        <w:spacing w:after="60"/>
      </w:pPr>
      <w:r>
        <w:rPr>
          <w:color w:val="262626"/>
        </w:rPr>
        <w:t>gemini-3-flash-preview is better on 7 of 9 benchmarks. The clearest gaps are MMLU-Pro (0.40 against 0.80), LAMBADA (0.20 against 0.50) and HellaSwag (0.50 against 0.80).</w:t>
      </w:r>
    </w:p>
    <w:p>
      <w:pPr>
        <w:pStyle w:val="ListParagraph"/>
        <w:numPr>
          <w:ilvl w:val="0"/>
          <w:numId w:val="3"/>
        </w:numPr>
        <w:spacing w:after="60"/>
      </w:pPr>
      <w:r>
        <w:rPr>
          <w:color w:val="262626"/>
        </w:rPr>
        <w:t>The models are close when the answer is in the text and far apart when the model has to know something. On BoolQ, causal judgement and Winogrande the difference is 0.10 to 0.20. On psychology it is 0.40.</w:t>
      </w:r>
    </w:p>
    <w:p>
      <w:pPr>
        <w:pStyle w:val="ListParagraph"/>
        <w:numPr>
          <w:ilvl w:val="0"/>
          <w:numId w:val="3"/>
        </w:numPr>
        <w:spacing w:after="60"/>
      </w:pPr>
      <w:r>
        <w:rPr>
          <w:color w:val="262626"/>
        </w:rPr>
        <w:t>Two of ten benchmarks measured answer format instead of model quality. Both showed 0.10 until I fixed the parsing; after the fix MathQA for gemini-3-flash-preview turned out to be 1.00.</w:t>
      </w:r>
    </w:p>
    <w:p>
      <w:pPr>
        <w:pStyle w:val="ListParagraph"/>
        <w:numPr>
          <w:ilvl w:val="0"/>
          <w:numId w:val="3"/>
        </w:numPr>
        <w:spacing w:after="60"/>
      </w:pPr>
      <w:r>
        <w:rPr>
          <w:color w:val="262626"/>
        </w:rPr>
        <w:t>gpt-5.4-nano wins on BBQ, 0.60 against 0.50. BBQ measures bias, so a higher score means the model picks the neutral answer more often.</w:t>
      </w:r>
    </w:p>
    <w:p>
      <w:pPr>
        <w:pStyle w:val="ListParagraph"/>
        <w:numPr>
          <w:ilvl w:val="0"/>
          <w:numId w:val="3"/>
        </w:numPr>
        <w:spacing w:after="60"/>
      </w:pPr>
      <w:r>
        <w:rPr>
          <w:color w:val="262626"/>
        </w:rPr>
        <w:t>Ten questions is too few: one question is worth 0.10, and most of the gaps are one or two questions wide. IFEval has no metric in the script at all. Next time I would take more questions and check the parsing before trusting any number.</w:t>
      </w:r>
    </w:p>
    <w:p>
      <w:pPr>
        <w:spacing w:after="12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2026-08-04T06:54:50.233Z</dcterms:created>
  <dcterms:modified xsi:type="dcterms:W3CDTF">2026-08-04T06:54:50.245Z</dcterms:modified>
</cp:coreProperties>
</file>

<file path=docProps/custom.xml><?xml version="1.0" encoding="utf-8"?>
<Properties xmlns="http://schemas.openxmlformats.org/officeDocument/2006/custom-properties" xmlns:vt="http://schemas.openxmlformats.org/officeDocument/2006/docPropsVTypes"/>
</file>