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F39" w:rsidRDefault="00E146C1" w:rsidP="00A75F0B">
      <w:pPr>
        <w:pStyle w:val="NoSpacing"/>
      </w:pPr>
      <w:r>
        <w:t>Grafton Cook</w:t>
      </w:r>
    </w:p>
    <w:p w:rsidR="00E146C1" w:rsidRDefault="00E146C1" w:rsidP="00A75F0B">
      <w:pPr>
        <w:pStyle w:val="NoSpacing"/>
      </w:pPr>
      <w:r>
        <w:t>Joe Tobbe</w:t>
      </w:r>
    </w:p>
    <w:p w:rsidR="00A75F0B" w:rsidRDefault="00A75F0B" w:rsidP="00A75F0B">
      <w:pPr>
        <w:pStyle w:val="NoSpacing"/>
      </w:pPr>
    </w:p>
    <w:p w:rsidR="00E146C1" w:rsidRDefault="00E146C1" w:rsidP="00A75F0B">
      <w:pPr>
        <w:pStyle w:val="Title"/>
        <w:jc w:val="center"/>
      </w:pPr>
      <w:r>
        <w:t>Project 2</w:t>
      </w:r>
      <w:r w:rsidR="004D6185">
        <w:t>: Ready, Get Set, Go!</w:t>
      </w:r>
    </w:p>
    <w:p w:rsidR="00A75F0B" w:rsidRDefault="00A75F0B" w:rsidP="00A75F0B">
      <w:pPr>
        <w:pStyle w:val="NoSpacing"/>
      </w:pPr>
    </w:p>
    <w:p w:rsidR="00E146C1" w:rsidRDefault="00E146C1" w:rsidP="00E146C1">
      <w:pPr>
        <w:pStyle w:val="Heading2"/>
      </w:pPr>
      <w:r>
        <w:t>Introduction</w:t>
      </w:r>
    </w:p>
    <w:p w:rsidR="003B2B28" w:rsidRDefault="00314B86" w:rsidP="003B2B28">
      <w:r>
        <w:t>The purpose of the second project is to create a robot which drives 10 feet in a straight line. The Parallax BOE Bot chassis fitted with servo motor wheels, optical encoders, and an Arduino was used to meet the requirements. To meet the distance and straightness criteria, the hardware required careful calibration, proper system testing, and a robust control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B2B28" w:rsidTr="003B2B28">
        <w:tc>
          <w:tcPr>
            <w:tcW w:w="9350" w:type="dxa"/>
          </w:tcPr>
          <w:p w:rsidR="003B2B28" w:rsidRDefault="003B2B28" w:rsidP="003B2B28">
            <w:r>
              <w:rPr>
                <w:noProof/>
              </w:rPr>
              <w:drawing>
                <wp:inline distT="0" distB="0" distL="0" distR="0">
                  <wp:extent cx="5943600" cy="4052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ebot-chas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inline>
              </w:drawing>
            </w:r>
          </w:p>
        </w:tc>
      </w:tr>
      <w:tr w:rsidR="003B2B28" w:rsidTr="003B2B28">
        <w:tc>
          <w:tcPr>
            <w:tcW w:w="9350" w:type="dxa"/>
          </w:tcPr>
          <w:p w:rsidR="003B2B28" w:rsidRDefault="003B2B28" w:rsidP="003B2B28">
            <w:r w:rsidRPr="003B2B28">
              <w:rPr>
                <w:b/>
              </w:rPr>
              <w:t>Figure 1.</w:t>
            </w:r>
            <w:r>
              <w:t xml:space="preserve"> BOE Bot chassis and Arduino</w:t>
            </w:r>
            <w:r w:rsidR="00314B86">
              <w:t xml:space="preserve"> used in project two.</w:t>
            </w:r>
          </w:p>
        </w:tc>
      </w:tr>
    </w:tbl>
    <w:p w:rsidR="003B2B28" w:rsidRDefault="003B2B28" w:rsidP="003B2B28"/>
    <w:p w:rsidR="003B2B28" w:rsidRPr="003B2B28" w:rsidRDefault="00314B86" w:rsidP="003B2B28">
      <w:r>
        <w:t>First, the physical system was modeled and analyzed. Next, a proportional-plus-integral-plus-derivative (PID) controller was designed to control the speed of the right servo motor with respect to the left servo motor speed. Finally, the control was implemented and fine-tuned to ensure no tracking error along the path of travel.</w:t>
      </w:r>
    </w:p>
    <w:p w:rsidR="00E146C1" w:rsidRDefault="00E146C1" w:rsidP="00E146C1">
      <w:pPr>
        <w:pStyle w:val="Heading2"/>
      </w:pPr>
      <w:r>
        <w:lastRenderedPageBreak/>
        <w:t>Physical System and Model</w:t>
      </w:r>
    </w:p>
    <w:p w:rsidR="00E146C1" w:rsidRDefault="00FF7929" w:rsidP="00E146C1">
      <w:pPr>
        <w:pStyle w:val="Heading3"/>
      </w:pPr>
      <w:r>
        <w:t>Servo</w:t>
      </w:r>
      <w:r w:rsidR="00E146C1">
        <w:t xml:space="preserve"> motor</w:t>
      </w:r>
      <w:r w:rsidR="003B2B28">
        <w:t xml:space="preserve"> and optical encoder</w:t>
      </w:r>
    </w:p>
    <w:p w:rsidR="00314B86" w:rsidRPr="00314B86" w:rsidRDefault="00314B86" w:rsidP="00314B86">
      <w:r>
        <w:t xml:space="preserve">The chassis was primarily driven by two Parallax </w:t>
      </w:r>
      <w:r w:rsidR="00FF7929">
        <w:t>#900-00008 continuous-rotation servo</w:t>
      </w:r>
      <w:r>
        <w:t xml:space="preserve"> motors. The motor speed was monitored </w:t>
      </w:r>
      <w:r w:rsidR="00FF7929">
        <w:t xml:space="preserve">by Parallax #28107 Rev. B optical encoders. </w:t>
      </w:r>
    </w:p>
    <w:p w:rsidR="00E146C1" w:rsidRDefault="003B2B28" w:rsidP="00E146C1">
      <w:pPr>
        <w:pStyle w:val="Heading3"/>
      </w:pPr>
      <w:r>
        <w:t>System analysis</w:t>
      </w:r>
    </w:p>
    <w:p w:rsidR="00E947D9" w:rsidRDefault="00FF7929" w:rsidP="003B2B28">
      <w:r>
        <w:t>The movement of the system is dependent on the properties of the of the servo motor. The servo motor is a first-order system and can be modeled by Equation 1</w:t>
      </w:r>
      <w:r w:rsidR="00E947D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63"/>
      </w:tblGrid>
      <w:tr w:rsidR="00FF7929" w:rsidTr="00FF7929">
        <w:tc>
          <w:tcPr>
            <w:tcW w:w="9085" w:type="dxa"/>
          </w:tcPr>
          <w:p w:rsidR="00FF7929" w:rsidRDefault="00FF7929" w:rsidP="003B2B28">
            <m:oMathPara>
              <m:oMath>
                <m:r>
                  <w:rPr>
                    <w:rFonts w:ascii="Cambria Math" w:hAnsi="Cambria Math"/>
                  </w:rPr>
                  <m:t>Y=</m:t>
                </m:r>
                <m:f>
                  <m:fPr>
                    <m:ctrlPr>
                      <w:rPr>
                        <w:rFonts w:ascii="Cambria Math" w:hAnsi="Cambria Math"/>
                        <w:i/>
                      </w:rPr>
                    </m:ctrlPr>
                  </m:fPr>
                  <m:num>
                    <m:r>
                      <w:rPr>
                        <w:rFonts w:ascii="Cambria Math" w:hAnsi="Cambria Math"/>
                      </w:rPr>
                      <m:t>A</m:t>
                    </m:r>
                  </m:num>
                  <m:den>
                    <m:r>
                      <w:rPr>
                        <w:rFonts w:ascii="Cambria Math" w:hAnsi="Cambria Math"/>
                      </w:rPr>
                      <m:t>τs+1</m:t>
                    </m:r>
                  </m:den>
                </m:f>
              </m:oMath>
            </m:oMathPara>
          </w:p>
        </w:tc>
        <w:tc>
          <w:tcPr>
            <w:tcW w:w="265" w:type="dxa"/>
          </w:tcPr>
          <w:p w:rsidR="00FF7929" w:rsidRDefault="00FF7929" w:rsidP="003B2B28">
            <w:r>
              <w:t>[1]</w:t>
            </w:r>
          </w:p>
        </w:tc>
      </w:tr>
    </w:tbl>
    <w:p w:rsidR="00FF7929" w:rsidRDefault="00FF7929" w:rsidP="003B2B28"/>
    <w:p w:rsidR="003B2B28" w:rsidRDefault="00FF7929" w:rsidP="003B2B28">
      <w:r>
        <w:t xml:space="preserve">The first step in modeling the system was to find the value of the </w:t>
      </w:r>
      <m:oMath>
        <m:r>
          <w:rPr>
            <w:rFonts w:ascii="Cambria Math" w:hAnsi="Cambria Math"/>
          </w:rPr>
          <m:t>A</m:t>
        </m:r>
      </m:oMath>
      <w:r>
        <w:t xml:space="preserve"> coefficient. First, the time for one window to pass the optical encoder was determined by stepping through inputs to the </w:t>
      </w:r>
      <w:proofErr w:type="spellStart"/>
      <w:proofErr w:type="gramStart"/>
      <w:r w:rsidRPr="00EB47C9">
        <w:rPr>
          <w:rFonts w:ascii="Monospac821 BT" w:hAnsi="Monospac821 BT"/>
          <w:sz w:val="20"/>
        </w:rPr>
        <w:t>writeMicroseconds</w:t>
      </w:r>
      <w:proofErr w:type="spellEnd"/>
      <w:r w:rsidRPr="00EB47C9">
        <w:rPr>
          <w:rFonts w:ascii="Monospac821 BT" w:hAnsi="Monospac821 BT"/>
          <w:sz w:val="20"/>
        </w:rPr>
        <w:t>(</w:t>
      </w:r>
      <w:proofErr w:type="gramEnd"/>
      <w:r w:rsidRPr="00EB47C9">
        <w:rPr>
          <w:rFonts w:ascii="Monospac821 BT" w:hAnsi="Monospac821 BT"/>
          <w:sz w:val="20"/>
        </w:rPr>
        <w:t>)</w:t>
      </w:r>
      <w:r>
        <w:t xml:space="preserve"> Arduino function</w:t>
      </w:r>
      <w:r w:rsidR="00EB47C9">
        <w:t xml:space="preserve">. As illustrated in Figure 2, this quickly showed the speed of the encoder wheel relative to </w:t>
      </w:r>
      <w:proofErr w:type="spellStart"/>
      <w:proofErr w:type="gramStart"/>
      <w:r w:rsidR="00EB47C9" w:rsidRPr="00EB47C9">
        <w:rPr>
          <w:rFonts w:ascii="Monospac821 BT" w:hAnsi="Monospac821 BT"/>
          <w:sz w:val="20"/>
        </w:rPr>
        <w:t>writeMicroseconds</w:t>
      </w:r>
      <w:proofErr w:type="spellEnd"/>
      <w:r w:rsidR="00EB47C9" w:rsidRPr="00EB47C9">
        <w:rPr>
          <w:rFonts w:ascii="Monospac821 BT" w:hAnsi="Monospac821 BT"/>
          <w:sz w:val="20"/>
        </w:rPr>
        <w:t>(</w:t>
      </w:r>
      <w:proofErr w:type="gramEnd"/>
      <w:r w:rsidR="00EB47C9" w:rsidRPr="00EB47C9">
        <w:rPr>
          <w:rFonts w:ascii="Monospac821 BT" w:hAnsi="Monospac821 BT"/>
          <w:sz w:val="20"/>
        </w:rPr>
        <w:t>)</w:t>
      </w:r>
      <w:r w:rsidR="00EB47C9">
        <w:t xml:space="preserve"> input.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B2B28" w:rsidTr="003B2B28">
        <w:tc>
          <w:tcPr>
            <w:tcW w:w="9350" w:type="dxa"/>
          </w:tcPr>
          <w:p w:rsidR="003B2B28" w:rsidRDefault="00E947D9" w:rsidP="003B2B28">
            <w:r w:rsidRPr="00E947D9">
              <w:rPr>
                <w:noProof/>
              </w:rPr>
              <w:drawing>
                <wp:inline distT="0" distB="0" distL="0" distR="0">
                  <wp:extent cx="5934075" cy="3352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tc>
      </w:tr>
      <w:tr w:rsidR="003B2B28" w:rsidTr="003B2B28">
        <w:tc>
          <w:tcPr>
            <w:tcW w:w="9350" w:type="dxa"/>
          </w:tcPr>
          <w:p w:rsidR="003B2B28" w:rsidRPr="003B2B28" w:rsidRDefault="003B2B28" w:rsidP="003B2B28">
            <w:r>
              <w:rPr>
                <w:b/>
              </w:rPr>
              <w:t xml:space="preserve">Figure 2. </w:t>
            </w:r>
            <w:r>
              <w:t xml:space="preserve">Window-passing </w:t>
            </w:r>
            <w:r w:rsidR="00E947D9">
              <w:t>times</w:t>
            </w:r>
            <w:r>
              <w:t xml:space="preserve"> as a function of </w:t>
            </w:r>
            <w:proofErr w:type="spellStart"/>
            <w:proofErr w:type="gramStart"/>
            <w:r>
              <w:t>writeMicroseconds</w:t>
            </w:r>
            <w:proofErr w:type="spellEnd"/>
            <w:r>
              <w:t>(</w:t>
            </w:r>
            <w:proofErr w:type="gramEnd"/>
            <w:r>
              <w:t>) input</w:t>
            </w:r>
          </w:p>
        </w:tc>
      </w:tr>
    </w:tbl>
    <w:p w:rsidR="003B2B28" w:rsidRDefault="003B2B28" w:rsidP="003B2B28">
      <w:r>
        <w:t xml:space="preserve"> </w:t>
      </w:r>
    </w:p>
    <w:p w:rsidR="003B2B28" w:rsidRPr="006C01AF" w:rsidRDefault="006C01AF" w:rsidP="003B2B28">
      <w:r>
        <w:t>The</w:t>
      </w:r>
      <w:r w:rsidR="003B2B28">
        <w:t xml:space="preserve"> </w:t>
      </w:r>
      <w:r w:rsidR="00E947D9">
        <w:rPr>
          <w:rFonts w:eastAsiaTheme="minorEastAsia"/>
        </w:rPr>
        <w:t xml:space="preserve">coefficient </w:t>
      </w:r>
      <m:oMath>
        <m:r>
          <w:rPr>
            <w:rFonts w:ascii="Cambria Math" w:hAnsi="Cambria Math"/>
          </w:rPr>
          <m:t>A</m:t>
        </m:r>
      </m:oMath>
      <w:r>
        <w:t xml:space="preserve"> is the slope of the plot of speed with respect to </w:t>
      </w:r>
      <w:proofErr w:type="spellStart"/>
      <w:proofErr w:type="gramStart"/>
      <w:r w:rsidRPr="00EB47C9">
        <w:rPr>
          <w:rFonts w:ascii="Monospac821 BT" w:hAnsi="Monospac821 BT"/>
          <w:sz w:val="20"/>
        </w:rPr>
        <w:t>writeMicroseconds</w:t>
      </w:r>
      <w:proofErr w:type="spellEnd"/>
      <w:r w:rsidRPr="00EB47C9">
        <w:rPr>
          <w:rFonts w:ascii="Monospac821 BT" w:hAnsi="Monospac821 BT"/>
          <w:sz w:val="20"/>
        </w:rPr>
        <w:t>(</w:t>
      </w:r>
      <w:proofErr w:type="gramEnd"/>
      <w:r w:rsidRPr="00EB47C9">
        <w:rPr>
          <w:rFonts w:ascii="Monospac821 BT" w:hAnsi="Monospac821 BT"/>
          <w:sz w:val="20"/>
        </w:rPr>
        <w:t>)</w:t>
      </w:r>
      <w:r>
        <w:t xml:space="preserve"> input and therefore the inverse of the slope of time as a function of </w:t>
      </w:r>
      <w:proofErr w:type="spellStart"/>
      <w:r w:rsidRPr="00EB47C9">
        <w:rPr>
          <w:rFonts w:ascii="Monospac821 BT" w:hAnsi="Monospac821 BT"/>
          <w:sz w:val="20"/>
        </w:rPr>
        <w:t>writeMicroseconds</w:t>
      </w:r>
      <w:proofErr w:type="spellEnd"/>
      <w:r w:rsidRPr="00EB47C9">
        <w:rPr>
          <w:rFonts w:ascii="Monospac821 BT" w:hAnsi="Monospac821 BT"/>
          <w:sz w:val="20"/>
        </w:rPr>
        <w:t>()</w:t>
      </w:r>
      <w:r>
        <w:rPr>
          <w:rFonts w:ascii="Monospac821 BT" w:hAnsi="Monospac821 BT"/>
          <w:sz w:val="20"/>
        </w:rPr>
        <w:t xml:space="preserve"> </w:t>
      </w:r>
      <w:r w:rsidRPr="006C01AF">
        <w:t xml:space="preserve">input. </w:t>
      </w:r>
      <w:r>
        <w:t>Therefore, finding the average curve fit of the linear regions around the center value was found.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B2B28" w:rsidTr="00E947D9">
        <w:tc>
          <w:tcPr>
            <w:tcW w:w="9350" w:type="dxa"/>
          </w:tcPr>
          <w:p w:rsidR="003B2B28" w:rsidRDefault="003B2B28" w:rsidP="003B2B28">
            <w:r w:rsidRPr="003B2B28">
              <w:rPr>
                <w:noProof/>
              </w:rPr>
              <w:lastRenderedPageBreak/>
              <w:drawing>
                <wp:inline distT="0" distB="0" distL="0" distR="0">
                  <wp:extent cx="5314950" cy="404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4048125"/>
                          </a:xfrm>
                          <a:prstGeom prst="rect">
                            <a:avLst/>
                          </a:prstGeom>
                          <a:noFill/>
                          <a:ln>
                            <a:noFill/>
                          </a:ln>
                        </pic:spPr>
                      </pic:pic>
                    </a:graphicData>
                  </a:graphic>
                </wp:inline>
              </w:drawing>
            </w:r>
          </w:p>
        </w:tc>
      </w:tr>
      <w:tr w:rsidR="003B2B28" w:rsidTr="00E947D9">
        <w:tc>
          <w:tcPr>
            <w:tcW w:w="9350" w:type="dxa"/>
          </w:tcPr>
          <w:p w:rsidR="003B2B28" w:rsidRPr="003B2B28" w:rsidRDefault="003B2B28" w:rsidP="003B2B28">
            <w:r>
              <w:rPr>
                <w:b/>
              </w:rPr>
              <w:t xml:space="preserve">Figure 3. </w:t>
            </w:r>
            <w:r>
              <w:t>Linear Region of window-passing-</w:t>
            </w:r>
            <w:r w:rsidR="00E947D9">
              <w:t>time</w:t>
            </w:r>
            <w:r>
              <w:t xml:space="preserve"> plot with linear curve fit.</w:t>
            </w:r>
          </w:p>
        </w:tc>
      </w:tr>
    </w:tbl>
    <w:p w:rsidR="00E947D9" w:rsidRDefault="003B2B28" w:rsidP="003B2B28">
      <w:r>
        <w:t xml:space="preserve"> </w:t>
      </w:r>
    </w:p>
    <w:p w:rsidR="003B2B28" w:rsidRDefault="00E947D9" w:rsidP="003B2B28">
      <w:r>
        <w:t xml:space="preserve">Both linear regions were plotted, fitted, and averaged. </w:t>
      </w:r>
      <w:r w:rsidR="003B2B28">
        <w:t xml:space="preserve">Because speed and time are inversely proportional, </w:t>
      </w:r>
      <w:r>
        <w:t xml:space="preserve">the coefficient </w:t>
      </w:r>
      <m:oMath>
        <m:r>
          <w:rPr>
            <w:rFonts w:ascii="Cambria Math" w:hAnsi="Cambria Math"/>
          </w:rPr>
          <m:t>A</m:t>
        </m:r>
      </m:oMath>
      <w:r>
        <w:t xml:space="preserve"> was determined by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63"/>
      </w:tblGrid>
      <w:tr w:rsidR="00E947D9" w:rsidTr="00E947D9">
        <w:tc>
          <w:tcPr>
            <w:tcW w:w="8905" w:type="dxa"/>
          </w:tcPr>
          <w:p w:rsidR="00E947D9" w:rsidRDefault="00E947D9" w:rsidP="003B2B28">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encoder pass time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4.139</m:t>
                    </m:r>
                  </m:den>
                </m:f>
                <m:r>
                  <w:rPr>
                    <w:rFonts w:ascii="Cambria Math" w:hAnsi="Cambria Math"/>
                  </w:rPr>
                  <m:t>=0.2416</m:t>
                </m:r>
              </m:oMath>
            </m:oMathPara>
          </w:p>
        </w:tc>
        <w:tc>
          <w:tcPr>
            <w:tcW w:w="445" w:type="dxa"/>
          </w:tcPr>
          <w:p w:rsidR="00E947D9" w:rsidRDefault="00E947D9" w:rsidP="00E947D9">
            <w:pPr>
              <w:jc w:val="center"/>
            </w:pPr>
            <w:r>
              <w:t>[2]</w:t>
            </w:r>
          </w:p>
        </w:tc>
      </w:tr>
    </w:tbl>
    <w:p w:rsidR="0087446C" w:rsidRDefault="0087446C" w:rsidP="003B2B28"/>
    <w:p w:rsidR="00E947D9" w:rsidRDefault="00E947D9" w:rsidP="003B2B28">
      <w:r>
        <w:t xml:space="preserve">To identify </w:t>
      </w:r>
      <w:r>
        <w:rPr>
          <w:rFonts w:cstheme="minorHAnsi"/>
        </w:rPr>
        <w:t>τ</w:t>
      </w:r>
      <w:r>
        <w:t xml:space="preserve">, a program was written to cumulate the time the system took to reach steady state, and fitted to an equation modeling exponential decay. </w:t>
      </w:r>
      <w:r w:rsidR="0087446C">
        <w:t>(Equation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63"/>
      </w:tblGrid>
      <w:tr w:rsidR="0087446C" w:rsidTr="0087446C">
        <w:tc>
          <w:tcPr>
            <w:tcW w:w="8905" w:type="dxa"/>
          </w:tcPr>
          <w:p w:rsidR="0087446C" w:rsidRDefault="0087446C" w:rsidP="003B2B28">
            <m:oMathPara>
              <m:oMath>
                <m:r>
                  <w:rPr>
                    <w:rFonts w:ascii="Cambria Math" w:hAnsi="Cambria Math"/>
                  </w:rPr>
                  <m:t>0.63=1-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τ</m:t>
                        </m:r>
                      </m:den>
                    </m:f>
                  </m:sup>
                </m:sSup>
                <m:r>
                  <w:rPr>
                    <w:rFonts w:ascii="Cambria Math" w:hAnsi="Cambria Math"/>
                  </w:rPr>
                  <m:t>=4.284 ms=0.004284 s</m:t>
                </m:r>
              </m:oMath>
            </m:oMathPara>
          </w:p>
        </w:tc>
        <w:tc>
          <w:tcPr>
            <w:tcW w:w="445" w:type="dxa"/>
          </w:tcPr>
          <w:p w:rsidR="0087446C" w:rsidRDefault="0087446C" w:rsidP="003B2B28">
            <w:r>
              <w:t>[3]</w:t>
            </w:r>
          </w:p>
        </w:tc>
      </w:tr>
    </w:tbl>
    <w:p w:rsidR="0087446C" w:rsidRDefault="0087446C" w:rsidP="003B2B28"/>
    <w:p w:rsidR="0087446C" w:rsidRDefault="006C01AF" w:rsidP="003B2B28">
      <w:r>
        <w:t>Thus, t</w:t>
      </w:r>
      <w:r w:rsidR="0087446C">
        <w:t>he right-hand servo motor transfer function is shown in Equation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63"/>
      </w:tblGrid>
      <w:tr w:rsidR="0087446C" w:rsidTr="0087446C">
        <w:tc>
          <w:tcPr>
            <w:tcW w:w="8905" w:type="dxa"/>
          </w:tcPr>
          <w:p w:rsidR="0087446C" w:rsidRDefault="0087446C" w:rsidP="00F72C2E">
            <m:oMathPara>
              <m:oMath>
                <m:r>
                  <w:rPr>
                    <w:rFonts w:ascii="Cambria Math" w:hAnsi="Cambria Math"/>
                  </w:rPr>
                  <m:t>G=</m:t>
                </m:r>
                <m:f>
                  <m:fPr>
                    <m:ctrlPr>
                      <w:rPr>
                        <w:rFonts w:ascii="Cambria Math" w:hAnsi="Cambria Math"/>
                        <w:i/>
                      </w:rPr>
                    </m:ctrlPr>
                  </m:fPr>
                  <m:num>
                    <m:r>
                      <w:rPr>
                        <w:rFonts w:ascii="Cambria Math" w:hAnsi="Cambria Math"/>
                      </w:rPr>
                      <m:t>0.2416</m:t>
                    </m:r>
                  </m:num>
                  <m:den>
                    <m:r>
                      <w:rPr>
                        <w:rFonts w:ascii="Cambria Math" w:hAnsi="Cambria Math"/>
                      </w:rPr>
                      <m:t xml:space="preserve">0.004284s+1 </m:t>
                    </m:r>
                  </m:den>
                </m:f>
              </m:oMath>
            </m:oMathPara>
          </w:p>
        </w:tc>
        <w:tc>
          <w:tcPr>
            <w:tcW w:w="445" w:type="dxa"/>
          </w:tcPr>
          <w:p w:rsidR="0087446C" w:rsidRDefault="0087446C" w:rsidP="00F72C2E">
            <w:r>
              <w:t>[4]</w:t>
            </w:r>
          </w:p>
        </w:tc>
      </w:tr>
    </w:tbl>
    <w:p w:rsidR="0087446C" w:rsidRPr="003B2B28" w:rsidRDefault="0087446C" w:rsidP="003B2B28"/>
    <w:p w:rsidR="00E146C1" w:rsidRDefault="00E146C1" w:rsidP="00E146C1">
      <w:pPr>
        <w:pStyle w:val="Heading2"/>
      </w:pPr>
      <w:r>
        <w:lastRenderedPageBreak/>
        <w:t>PID Controller</w:t>
      </w:r>
    </w:p>
    <w:p w:rsidR="00B6060A" w:rsidRDefault="00B6060A" w:rsidP="00B6060A">
      <w:pPr>
        <w:pStyle w:val="Heading3"/>
      </w:pPr>
      <w:r>
        <w:t>Original System</w:t>
      </w:r>
    </w:p>
    <w:p w:rsidR="00B6060A" w:rsidRDefault="006C01AF" w:rsidP="00B6060A">
      <w:r>
        <w:t xml:space="preserve">To create an effective control scheme, the step response of the original system </w:t>
      </w:r>
      <m:oMath>
        <m:r>
          <w:rPr>
            <w:rFonts w:ascii="Cambria Math" w:hAnsi="Cambria Math"/>
          </w:rPr>
          <m:t>G</m:t>
        </m:r>
      </m:oMath>
      <w:r>
        <w:rPr>
          <w:rFonts w:eastAsiaTheme="minorEastAsia"/>
        </w:rPr>
        <w:t xml:space="preserve"> was analyzed in </w:t>
      </w:r>
      <w:proofErr w:type="spellStart"/>
      <w:r>
        <w:rPr>
          <w:rFonts w:eastAsiaTheme="minorEastAsia"/>
        </w:rPr>
        <w:t>SISOtool</w:t>
      </w:r>
      <w:proofErr w:type="spellEnd"/>
      <w:r>
        <w:rPr>
          <w:rFonts w:eastAsiaTheme="minorEastAsia"/>
        </w:rPr>
        <w:t xml:space="preserve">, a feature of the Control System Toolbox found in </w:t>
      </w:r>
      <w:proofErr w:type="spellStart"/>
      <w:r>
        <w:rPr>
          <w:rFonts w:eastAsiaTheme="minorEastAsia"/>
        </w:rPr>
        <w:t>Mathworks</w:t>
      </w:r>
      <w:proofErr w:type="spellEnd"/>
      <w:r>
        <w:rPr>
          <w:rFonts w:eastAsiaTheme="minorEastAsia"/>
        </w:rPr>
        <w:t xml:space="preserve">’ MATLAB. The step response of system </w:t>
      </w:r>
      <m:oMath>
        <m:r>
          <w:rPr>
            <w:rFonts w:ascii="Cambria Math" w:hAnsi="Cambria Math"/>
          </w:rPr>
          <m:t>G</m:t>
        </m:r>
      </m:oMath>
      <w:r w:rsidR="00EB115C">
        <w:rPr>
          <w:rFonts w:eastAsiaTheme="minorEastAsia"/>
        </w:rPr>
        <w:t xml:space="preserve"> is shown in Figure 4. </w:t>
      </w:r>
      <w:r>
        <w:rPr>
          <w:rFonts w:eastAsiaTheme="minorEastAsia"/>
        </w:rPr>
        <w:t xml:space="preserve">While the response time of </w:t>
      </w:r>
      <m:oMath>
        <m:r>
          <w:rPr>
            <w:rFonts w:ascii="Cambria Math" w:hAnsi="Cambria Math"/>
          </w:rPr>
          <m:t>G</m:t>
        </m:r>
      </m:oMath>
      <w:r w:rsidR="00EB115C">
        <w:rPr>
          <w:rFonts w:eastAsiaTheme="minorEastAsia"/>
        </w:rPr>
        <w:t xml:space="preserve"> is adequate, its peak amplitude of 0.195</w:t>
      </w:r>
      <w:r w:rsidR="00EB115C">
        <w:rPr>
          <w:rFonts w:eastAsiaTheme="minorEastAsia"/>
        </w:rPr>
        <w:softHyphen/>
      </w:r>
      <w:r>
        <w:rPr>
          <w:rFonts w:eastAsiaTheme="minorEastAsia"/>
        </w:rPr>
        <w:t xml:space="preserve"> </w:t>
      </w:r>
      <w:r w:rsidR="00EB115C">
        <w:rPr>
          <w:rFonts w:eastAsiaTheme="minorEastAsia"/>
        </w:rPr>
        <w:t xml:space="preserve">shows an </w:t>
      </w:r>
      <m:oMath>
        <m:sSub>
          <m:sSubPr>
            <m:ctrlPr>
              <w:rPr>
                <w:rFonts w:ascii="Cambria Math" w:hAnsi="Cambria Math"/>
                <w:i/>
              </w:rPr>
            </m:ctrlPr>
          </m:sSubPr>
          <m:e>
            <m:r>
              <w:rPr>
                <w:rFonts w:ascii="Cambria Math" w:hAnsi="Cambria Math"/>
              </w:rPr>
              <m:t>e</m:t>
            </m:r>
          </m:e>
          <m:sub>
            <m:r>
              <w:rPr>
                <w:rFonts w:ascii="Cambria Math" w:hAnsi="Cambria Math"/>
              </w:rPr>
              <m:t>ss</m:t>
            </m:r>
          </m:sub>
        </m:sSub>
      </m:oMath>
      <w:r w:rsidR="00EB115C">
        <w:rPr>
          <w:rFonts w:eastAsiaTheme="minorEastAsia"/>
        </w:rPr>
        <w:t xml:space="preserve"> </w:t>
      </w:r>
      <w:r w:rsidR="00EB115C">
        <w:rPr>
          <w:rFonts w:eastAsiaTheme="minorEastAsia"/>
        </w:rPr>
        <w:t xml:space="preserve">error greater than 80%.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6060A" w:rsidTr="00EB115C">
        <w:tc>
          <w:tcPr>
            <w:tcW w:w="9350" w:type="dxa"/>
          </w:tcPr>
          <w:p w:rsidR="00B6060A" w:rsidRDefault="00B6060A" w:rsidP="00EB115C">
            <w:pPr>
              <w:jc w:val="center"/>
            </w:pPr>
            <w:r>
              <w:rPr>
                <w:noProof/>
              </w:rPr>
              <w:drawing>
                <wp:inline distT="0" distB="0" distL="0" distR="0">
                  <wp:extent cx="3943350" cy="47248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_r2y.JPG"/>
                          <pic:cNvPicPr/>
                        </pic:nvPicPr>
                        <pic:blipFill>
                          <a:blip r:embed="rId8">
                            <a:extLst>
                              <a:ext uri="{28A0092B-C50C-407E-A947-70E740481C1C}">
                                <a14:useLocalDpi xmlns:a14="http://schemas.microsoft.com/office/drawing/2010/main" val="0"/>
                              </a:ext>
                            </a:extLst>
                          </a:blip>
                          <a:stretch>
                            <a:fillRect/>
                          </a:stretch>
                        </pic:blipFill>
                        <pic:spPr>
                          <a:xfrm>
                            <a:off x="0" y="0"/>
                            <a:ext cx="3953373" cy="4736867"/>
                          </a:xfrm>
                          <a:prstGeom prst="rect">
                            <a:avLst/>
                          </a:prstGeom>
                        </pic:spPr>
                      </pic:pic>
                    </a:graphicData>
                  </a:graphic>
                </wp:inline>
              </w:drawing>
            </w:r>
          </w:p>
        </w:tc>
      </w:tr>
      <w:tr w:rsidR="00B6060A" w:rsidTr="00EB115C">
        <w:tc>
          <w:tcPr>
            <w:tcW w:w="9350" w:type="dxa"/>
          </w:tcPr>
          <w:p w:rsidR="00B6060A" w:rsidRPr="00B6060A" w:rsidRDefault="00B6060A" w:rsidP="00B6060A">
            <w:r>
              <w:rPr>
                <w:b/>
              </w:rPr>
              <w:t xml:space="preserve">Figure 4. </w:t>
            </w:r>
            <w:r>
              <w:t>r</w:t>
            </w:r>
            <w:r>
              <w:rPr>
                <w:rFonts w:cstheme="minorHAnsi"/>
              </w:rPr>
              <w:t xml:space="preserve"> to </w:t>
            </w:r>
            <w:r>
              <w:t>y plot of untuned system</w:t>
            </w:r>
            <w:r w:rsidR="00EB115C">
              <w:t xml:space="preserve"> </w:t>
            </w:r>
            <m:oMath>
              <m:r>
                <w:rPr>
                  <w:rFonts w:ascii="Cambria Math" w:hAnsi="Cambria Math"/>
                </w:rPr>
                <m:t>G</m:t>
              </m:r>
            </m:oMath>
            <w:r>
              <w:t xml:space="preserve">. </w:t>
            </w:r>
          </w:p>
        </w:tc>
      </w:tr>
    </w:tbl>
    <w:p w:rsidR="00EB115C" w:rsidRDefault="00EB115C" w:rsidP="00E146C1">
      <w:pPr>
        <w:pStyle w:val="Heading3"/>
      </w:pPr>
    </w:p>
    <w:p w:rsidR="00E146C1" w:rsidRDefault="00E146C1" w:rsidP="00E146C1">
      <w:pPr>
        <w:pStyle w:val="Heading3"/>
      </w:pPr>
      <w:r>
        <w:t>PID coefficient selection</w:t>
      </w:r>
    </w:p>
    <w:p w:rsidR="00104902" w:rsidRDefault="00EB115C" w:rsidP="00F02EE5">
      <w:pPr>
        <w:rPr>
          <w:rFonts w:eastAsiaTheme="minorEastAsia"/>
        </w:rPr>
      </w:pPr>
      <w:r>
        <w:t xml:space="preserve">To reduce iteration and simplify the control scheme, </w:t>
      </w:r>
      <w:r w:rsidR="00F02EE5">
        <w:t>MATLAB</w:t>
      </w:r>
      <w:r>
        <w:t>’s</w:t>
      </w:r>
      <w:r w:rsidR="00F02EE5">
        <w:t xml:space="preserve"> </w:t>
      </w:r>
      <w:r>
        <w:t>PID Auto Tune tool was used to create PD</w:t>
      </w:r>
      <w:r w:rsidR="00F02EE5">
        <w:t>,</w:t>
      </w:r>
      <w:r>
        <w:t xml:space="preserve"> then PI controllers. These controllers were not able to correct serious steady-state errors manifesting as a long leftward arc of travel which was especially pronounced between eight- and 10 feet in the robot’s path. To correct for long-term tracking error, a PD system was automatically created, then augmented with </w:t>
      </w:r>
      <w:r w:rsidR="00F02EE5">
        <w:t xml:space="preserve">a derivative term. </w:t>
      </w:r>
      <w:r>
        <w:t xml:space="preserve">This control scheme resulted in a steady-state error of less than three inches of lateral travel over 10 feet of distance. </w:t>
      </w:r>
      <w:r w:rsidR="00F02EE5">
        <w:t xml:space="preserve">The final </w:t>
      </w:r>
      <w:r>
        <w:t xml:space="preserve">controller </w:t>
      </w:r>
      <w:r w:rsidR="00F02EE5">
        <w:rPr>
          <w:rFonts w:eastAsiaTheme="minorEastAsia"/>
        </w:rPr>
        <w:t>equation is shown in Equation 5.</w:t>
      </w:r>
    </w:p>
    <w:p w:rsidR="00104902" w:rsidRDefault="00104902">
      <w:pPr>
        <w:rPr>
          <w:rFonts w:eastAsiaTheme="minorEastAsia"/>
        </w:rPr>
      </w:pPr>
      <w:r>
        <w:rPr>
          <w:rFonts w:eastAsiaTheme="minorEastAsia"/>
        </w:rPr>
        <w:br w:type="page"/>
      </w:r>
    </w:p>
    <w:p w:rsidR="00104902" w:rsidRDefault="00104902" w:rsidP="00F02EE5">
      <w:pPr>
        <w:rPr>
          <w:rFonts w:eastAsiaTheme="minorEastAsia"/>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63"/>
      </w:tblGrid>
      <w:tr w:rsidR="00F02EE5" w:rsidTr="004D08F2">
        <w:tc>
          <w:tcPr>
            <w:tcW w:w="8995" w:type="dxa"/>
          </w:tcPr>
          <w:p w:rsidR="00F02EE5" w:rsidRDefault="00F02EE5" w:rsidP="00F02EE5">
            <m:oMathPara>
              <m:oMath>
                <m:r>
                  <w:rPr>
                    <w:rFonts w:ascii="Cambria Math" w:hAnsi="Cambria Math"/>
                  </w:rPr>
                  <m:t>C=</m:t>
                </m:r>
                <m:f>
                  <m:fPr>
                    <m:ctrlPr>
                      <w:rPr>
                        <w:rFonts w:ascii="Cambria Math" w:hAnsi="Cambria Math"/>
                        <w:i/>
                      </w:rPr>
                    </m:ctrlPr>
                  </m:fPr>
                  <m:num>
                    <m:r>
                      <w:rPr>
                        <w:rFonts w:ascii="Cambria Math" w:hAnsi="Cambria Math"/>
                      </w:rPr>
                      <m:t>0.014842</m:t>
                    </m:r>
                    <m:d>
                      <m:dPr>
                        <m:ctrlPr>
                          <w:rPr>
                            <w:rFonts w:ascii="Cambria Math" w:hAnsi="Cambria Math"/>
                            <w:i/>
                          </w:rPr>
                        </m:ctrlPr>
                      </m:dPr>
                      <m:e>
                        <m:r>
                          <w:rPr>
                            <w:rFonts w:ascii="Cambria Math" w:hAnsi="Cambria Math"/>
                          </w:rPr>
                          <m:t>s+233.4</m:t>
                        </m:r>
                      </m:e>
                    </m:d>
                    <m:d>
                      <m:dPr>
                        <m:ctrlPr>
                          <w:rPr>
                            <w:rFonts w:ascii="Cambria Math" w:hAnsi="Cambria Math"/>
                            <w:i/>
                          </w:rPr>
                        </m:ctrlPr>
                      </m:dPr>
                      <m:e>
                        <m:r>
                          <w:rPr>
                            <w:rFonts w:ascii="Cambria Math" w:hAnsi="Cambria Math"/>
                          </w:rPr>
                          <m:t>s+150</m:t>
                        </m:r>
                      </m:e>
                    </m:d>
                  </m:num>
                  <m:den>
                    <m:r>
                      <w:rPr>
                        <w:rFonts w:ascii="Cambria Math" w:hAnsi="Cambria Math"/>
                      </w:rPr>
                      <m:t>s</m:t>
                    </m:r>
                  </m:den>
                </m:f>
              </m:oMath>
            </m:oMathPara>
          </w:p>
        </w:tc>
        <w:tc>
          <w:tcPr>
            <w:tcW w:w="355" w:type="dxa"/>
          </w:tcPr>
          <w:p w:rsidR="00F02EE5" w:rsidRDefault="00F02EE5" w:rsidP="00F02EE5">
            <w:r>
              <w:t>[5]</w:t>
            </w:r>
          </w:p>
        </w:tc>
      </w:tr>
    </w:tbl>
    <w:p w:rsidR="00F02EE5" w:rsidRPr="00F02EE5" w:rsidRDefault="00F02EE5" w:rsidP="00F02EE5"/>
    <w:p w:rsidR="00E146C1" w:rsidRDefault="00E146C1" w:rsidP="00E146C1">
      <w:pPr>
        <w:pStyle w:val="Heading3"/>
      </w:pPr>
      <w:r>
        <w:t>Final system</w:t>
      </w:r>
    </w:p>
    <w:p w:rsidR="00F02EE5" w:rsidRDefault="00B6060A" w:rsidP="00F02EE5">
      <w:r>
        <w:t>The tuned response is shown in Figure 5.</w:t>
      </w:r>
      <w:r w:rsidR="00EB115C">
        <w:t xml:space="preserve"> The 2% settling time is just over 57 milliseconds </w:t>
      </w:r>
      <w:r w:rsidR="003E6373">
        <w:t>with no</w:t>
      </w:r>
      <w:r w:rsidR="00EB115C">
        <w:t xml:space="preserve"> steady-state </w:t>
      </w:r>
      <w:r w:rsidR="003E6373">
        <w:t>error</w:t>
      </w:r>
      <w:r w:rsidR="00EB115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6060A" w:rsidTr="00A40D6E">
        <w:tc>
          <w:tcPr>
            <w:tcW w:w="9350" w:type="dxa"/>
          </w:tcPr>
          <w:p w:rsidR="00B6060A" w:rsidRDefault="00B6060A" w:rsidP="00EB115C">
            <w:pPr>
              <w:jc w:val="center"/>
            </w:pPr>
            <w:r>
              <w:rPr>
                <w:noProof/>
              </w:rPr>
              <w:drawing>
                <wp:inline distT="0" distB="0" distL="0" distR="0">
                  <wp:extent cx="4333875" cy="555569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2y.JPG"/>
                          <pic:cNvPicPr/>
                        </pic:nvPicPr>
                        <pic:blipFill>
                          <a:blip r:embed="rId9">
                            <a:extLst>
                              <a:ext uri="{28A0092B-C50C-407E-A947-70E740481C1C}">
                                <a14:useLocalDpi xmlns:a14="http://schemas.microsoft.com/office/drawing/2010/main" val="0"/>
                              </a:ext>
                            </a:extLst>
                          </a:blip>
                          <a:stretch>
                            <a:fillRect/>
                          </a:stretch>
                        </pic:blipFill>
                        <pic:spPr>
                          <a:xfrm>
                            <a:off x="0" y="0"/>
                            <a:ext cx="4338965" cy="5562222"/>
                          </a:xfrm>
                          <a:prstGeom prst="rect">
                            <a:avLst/>
                          </a:prstGeom>
                        </pic:spPr>
                      </pic:pic>
                    </a:graphicData>
                  </a:graphic>
                </wp:inline>
              </w:drawing>
            </w:r>
          </w:p>
        </w:tc>
      </w:tr>
      <w:tr w:rsidR="00B6060A" w:rsidTr="00A40D6E">
        <w:tc>
          <w:tcPr>
            <w:tcW w:w="9350" w:type="dxa"/>
          </w:tcPr>
          <w:p w:rsidR="00B6060A" w:rsidRPr="00B6060A" w:rsidRDefault="00B6060A" w:rsidP="00F02EE5">
            <w:r>
              <w:rPr>
                <w:b/>
              </w:rPr>
              <w:t xml:space="preserve">Figure 5. </w:t>
            </w:r>
            <w:r>
              <w:t>Tuned transient and steady-state response of the system.</w:t>
            </w:r>
          </w:p>
        </w:tc>
      </w:tr>
    </w:tbl>
    <w:p w:rsidR="003E6373" w:rsidRDefault="003E6373" w:rsidP="00F02EE5"/>
    <w:p w:rsidR="003E6373" w:rsidRDefault="003E6373">
      <w:r>
        <w:br w:type="page"/>
      </w:r>
    </w:p>
    <w:p w:rsidR="00B6060A" w:rsidRDefault="00B6060A" w:rsidP="00F02EE5"/>
    <w:p w:rsidR="00B6060A" w:rsidRDefault="00B6060A" w:rsidP="00F02EE5">
      <w:r>
        <w:t xml:space="preserve">Additionally, the </w:t>
      </w:r>
      <w:r w:rsidR="003E6373">
        <w:t>disturbance plot reaches a maximum amplitude of 0.8 before trending to</w:t>
      </w:r>
      <w:r>
        <w:t xml:space="preserve"> zero, as illustrated in Figure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6060A" w:rsidTr="00A40D6E">
        <w:tc>
          <w:tcPr>
            <w:tcW w:w="9350" w:type="dxa"/>
          </w:tcPr>
          <w:p w:rsidR="00B6060A" w:rsidRDefault="00B6060A" w:rsidP="00EB115C">
            <w:pPr>
              <w:jc w:val="center"/>
            </w:pPr>
            <w:r>
              <w:rPr>
                <w:noProof/>
              </w:rPr>
              <w:drawing>
                <wp:inline distT="0" distB="0" distL="0" distR="0">
                  <wp:extent cx="4348609" cy="2752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u2y.JPG"/>
                          <pic:cNvPicPr/>
                        </pic:nvPicPr>
                        <pic:blipFill>
                          <a:blip r:embed="rId10">
                            <a:extLst>
                              <a:ext uri="{28A0092B-C50C-407E-A947-70E740481C1C}">
                                <a14:useLocalDpi xmlns:a14="http://schemas.microsoft.com/office/drawing/2010/main" val="0"/>
                              </a:ext>
                            </a:extLst>
                          </a:blip>
                          <a:stretch>
                            <a:fillRect/>
                          </a:stretch>
                        </pic:blipFill>
                        <pic:spPr>
                          <a:xfrm>
                            <a:off x="0" y="0"/>
                            <a:ext cx="4379706" cy="2772410"/>
                          </a:xfrm>
                          <a:prstGeom prst="rect">
                            <a:avLst/>
                          </a:prstGeom>
                        </pic:spPr>
                      </pic:pic>
                    </a:graphicData>
                  </a:graphic>
                </wp:inline>
              </w:drawing>
            </w:r>
          </w:p>
        </w:tc>
      </w:tr>
      <w:tr w:rsidR="00B6060A" w:rsidTr="00A40D6E">
        <w:tc>
          <w:tcPr>
            <w:tcW w:w="9350" w:type="dxa"/>
          </w:tcPr>
          <w:p w:rsidR="00B6060A" w:rsidRPr="00B6060A" w:rsidRDefault="00B6060A" w:rsidP="00F02EE5">
            <w:r>
              <w:rPr>
                <w:b/>
              </w:rPr>
              <w:t xml:space="preserve">Figure 6. </w:t>
            </w:r>
            <w:r>
              <w:t>Tuned du-to-y response of the system.</w:t>
            </w:r>
          </w:p>
        </w:tc>
      </w:tr>
    </w:tbl>
    <w:p w:rsidR="00E55255" w:rsidRPr="00F02EE5" w:rsidRDefault="00E55255" w:rsidP="00F02EE5"/>
    <w:p w:rsidR="00E146C1" w:rsidRDefault="00E146C1" w:rsidP="00E146C1">
      <w:pPr>
        <w:pStyle w:val="Heading2"/>
      </w:pPr>
      <w:r>
        <w:t>Conclusion</w:t>
      </w:r>
    </w:p>
    <w:p w:rsidR="00B6060A" w:rsidRPr="00B6060A" w:rsidRDefault="003E6373" w:rsidP="00B6060A">
      <w:r>
        <w:t>The objective of the project was to create a robot that traveled 10 feet in a straight line. After modeling and analysis of the reactive servo motor, a proportional-plus-integral-plus-derivative (PID) contr</w:t>
      </w:r>
      <w:r w:rsidR="00C525EF">
        <w:t>oller was designed and tuned to control the servo motor. This controller drastically reduced the steady-state error of the system, allowing the robot to meet performance requirements with a high degree of accuracy.</w:t>
      </w:r>
    </w:p>
    <w:sectPr w:rsidR="00B6060A" w:rsidRPr="00B60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1NjAzNzAxMTM0MjFQ0lEKTi0uzszPAykwrgUAc+a8oiwAAAA="/>
  </w:docVars>
  <w:rsids>
    <w:rsidRoot w:val="00E146C1"/>
    <w:rsid w:val="00104902"/>
    <w:rsid w:val="00314B86"/>
    <w:rsid w:val="00372F39"/>
    <w:rsid w:val="003B2B28"/>
    <w:rsid w:val="003E6373"/>
    <w:rsid w:val="004D08F2"/>
    <w:rsid w:val="004D6185"/>
    <w:rsid w:val="00592071"/>
    <w:rsid w:val="006C01AF"/>
    <w:rsid w:val="0087446C"/>
    <w:rsid w:val="00A40D6E"/>
    <w:rsid w:val="00A75F0B"/>
    <w:rsid w:val="00B6060A"/>
    <w:rsid w:val="00C525EF"/>
    <w:rsid w:val="00E146C1"/>
    <w:rsid w:val="00E55255"/>
    <w:rsid w:val="00E947D9"/>
    <w:rsid w:val="00EB115C"/>
    <w:rsid w:val="00EB47C9"/>
    <w:rsid w:val="00F02EE5"/>
    <w:rsid w:val="00FF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6C2E"/>
  <w15:chartTrackingRefBased/>
  <w15:docId w15:val="{A3903946-CB49-49C8-BAD0-C615F17C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46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4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46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46C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75F0B"/>
    <w:pPr>
      <w:spacing w:after="0" w:line="240" w:lineRule="auto"/>
    </w:pPr>
  </w:style>
  <w:style w:type="paragraph" w:styleId="Title">
    <w:name w:val="Title"/>
    <w:basedOn w:val="Normal"/>
    <w:next w:val="Normal"/>
    <w:link w:val="TitleChar"/>
    <w:uiPriority w:val="10"/>
    <w:qFormat/>
    <w:rsid w:val="00A75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F0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B2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47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15AF3-858C-49E3-98C0-D5225522B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Grafton (GE Appliances, Haier)</dc:creator>
  <cp:keywords/>
  <dc:description/>
  <cp:lastModifiedBy>Cook, Grafton (GE Appliances, Haier)</cp:lastModifiedBy>
  <cp:revision>13</cp:revision>
  <dcterms:created xsi:type="dcterms:W3CDTF">2018-07-08T13:37:00Z</dcterms:created>
  <dcterms:modified xsi:type="dcterms:W3CDTF">2018-07-08T19:48:00Z</dcterms:modified>
</cp:coreProperties>
</file>