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DOSSIER DE ARQUITECTURA UNIFICADA V8 - TACTICAL MARKETING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documento contiene la consolidación de la arquitectura de la interfaz, bases de datos y módulos operativos para el ERP de Cotizaciones, actualizado con las reglas de troquelado, interfaz móvil y control de reprocesos.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MODELO DE INTERFAZ GENERAL (UI/UX)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Toda la interfaz del vendedor (especialmente móvil) operará bajo el </w:t>
      </w:r>
      <w:r w:rsidDel="00000000" w:rsidR="00000000" w:rsidRPr="00000000">
        <w:rPr>
          <w:b w:val="1"/>
          <w:bCs w:val="1"/>
          <w:rtl w:val="0"/>
        </w:rPr>
        <w:t xml:space="preserve">Modelo de Secciones Desplegables (Acordeón)</w:t>
      </w:r>
      <w:r w:rsidDel="00000000" w:rsidR="00000000" w:rsidRPr="00000000">
        <w:rPr>
          <w:rtl w:val="0"/>
        </w:rPr>
        <w:t xml:space="preserve">. Esto mantiene la pantalla limpia y divide la carga cognitiva en bloques lógicos (Ej: </w:t>
      </w:r>
      <w:r w:rsidDel="00000000" w:rsidR="00000000" w:rsidRPr="00000000">
        <w:rPr>
          <w:i w:val="1"/>
          <w:iCs w:val="1"/>
          <w:rtl w:val="0"/>
        </w:rPr>
        <w:t xml:space="preserve">Especificaciones Generales, Carátula, Taco, Insertos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Escalas de Cantidad (Quantity Breaks):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 elimina la necesidad de cotizar el mismo producto varias veces. El usuario podrá añadir escalas paralelas (Ej: 100, 200, 500) pulsando un botón [ ➕ Añadir Escala ]. El sistema renderizará una tabla comparativa en el PDF con ahorros porcentuales.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ESTRUCTURA DE LA LÍNEA EDITORIAL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Reglas estrictas guardadas para el comportamiento de productos editoriales: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Insertos:</w:t>
      </w:r>
      <w:r w:rsidDel="00000000" w:rsidR="00000000" w:rsidRPr="00000000">
        <w:rPr>
          <w:rtl w:val="0"/>
        </w:rPr>
        <w:t xml:space="preserve"> Condicional (Sí/No). Si es Sí, solicita cantidad numérica y tipo de papel.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Guardas Impresas:</w:t>
      </w:r>
      <w:r w:rsidDel="00000000" w:rsidR="00000000" w:rsidRPr="00000000">
        <w:rPr>
          <w:rtl w:val="0"/>
        </w:rPr>
        <w:t xml:space="preserve"> Selector de 0, 1 o 2.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Variables Adicionales:</w:t>
      </w:r>
      <w:r w:rsidDel="00000000" w:rsidR="00000000" w:rsidRPr="00000000">
        <w:rPr>
          <w:rtl w:val="0"/>
        </w:rPr>
        <w:t xml:space="preserve"> Casilla "Otros" para agregar descripciones (Ej. Caucho bolígrafo) y un valor manual que suma directamente al costo de insumos.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Regla de Taco en Blanco (0x0):</w:t>
      </w:r>
      <w:r w:rsidDel="00000000" w:rsidR="00000000" w:rsidRPr="00000000">
        <w:rPr>
          <w:rtl w:val="0"/>
        </w:rPr>
        <w:t xml:space="preserve"> Si el interior no lleva impresión, el sistema reduce la merma de papel a la mitad y omite el 100% de los costos de planchas CtP y millar de impresión.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SISTEMA MAESTRO DE TROQUELADO (Físico y Digital)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separa el costo operativo de la máquina del costo de desgaste de la matriz física. El ID digital será el mismo rotulado en la madera del taller.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Servicio de Troquelado (Máquina):</w:t>
      </w:r>
      <w:r w:rsidDel="00000000" w:rsidR="00000000" w:rsidRPr="00000000">
        <w:rPr>
          <w:rtl w:val="0"/>
        </w:rPr>
        <w:t xml:space="preserve"> Tarifa fija de $35.000 por millar o fracción.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Matriz Nueva:</w:t>
      </w:r>
      <w:r w:rsidDel="00000000" w:rsidR="00000000" w:rsidRPr="00000000">
        <w:rPr>
          <w:rtl w:val="0"/>
        </w:rPr>
        <w:t xml:space="preserve"> Cobra el 100% del costo del troquel nuevo.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Troquel Fabricado (Desgaste de Cuchilla):</w:t>
      </w:r>
      <w:r w:rsidDel="00000000" w:rsidR="00000000" w:rsidRPr="00000000">
        <w:rPr>
          <w:rtl w:val="0"/>
        </w:rPr>
        <w:t xml:space="preserve"> Al usar un troquel del inventario, se cobra un préstamo/desgaste según complejidad: $30.000 (Baja), $60.000 (Media), $120.000 (Alta), $200.000 (Especial/Complejo).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Nomenclatura Oficial de Maderas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Categoría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Prefijo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Ejemplo Físico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Cajas Blandas (1 Pieza)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CJB1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CJB1-001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Cajas Blandas (2 Piezas)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CJB2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CJB2-001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Cajas Duras (1 Pieza)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CJD1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CJD1-001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Cajas Duras (2 Piezas)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CJD2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CJD2-001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Rompecabezas Básicos (&lt; 70 Fichas)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ROMB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ROMB-001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Rompecabezas Complejos (≥ 70 Fichas)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ROMC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ROMC-001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Bolsas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BOLS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BOLS-001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Bolsillos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BLSL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BLSL-001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Sobres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SOBR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SOBR-001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Carpetas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CARP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CARP-001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Grafas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GRAF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GRAF-001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Stickers Figuras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STCK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STCK-001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Varios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VARI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VARI-001</w:t>
            </w:r>
          </w:p>
        </w:tc>
      </w:tr>
    </w:tbl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REGLAS CORE PARA ROMPECABEZAS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Condición de Venta:</w:t>
      </w:r>
      <w:r w:rsidDel="00000000" w:rsidR="00000000" w:rsidRPr="00000000">
        <w:rPr>
          <w:rtl w:val="0"/>
        </w:rPr>
        <w:t xml:space="preserve"> Cantidad mínima bloqueada en 50 unidades.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Protección del Insumo:</w:t>
      </w:r>
      <w:r w:rsidDel="00000000" w:rsidR="00000000" w:rsidRPr="00000000">
        <w:rPr>
          <w:rtl w:val="0"/>
        </w:rPr>
        <w:t xml:space="preserve"> Acabado Plastificado agregado como obligatorio.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Agrupación Dinámica:</w:t>
      </w:r>
      <w:r w:rsidDel="00000000" w:rsidR="00000000" w:rsidRPr="00000000">
        <w:rPr>
          <w:rtl w:val="0"/>
        </w:rPr>
        <w:t xml:space="preserve"> Grupo 1 (Cartón 1.5mm) para ROMB de 6 a 48 fichas (Desgaste $30k-$60k). Grupo 2 (Cartón 1.0mm) para ROMC de 70 a 200 fichas (Desgaste $120k-$200k).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ARQUITECTURA DE MÓDULOS DE LA BARRA LATERAL (ERP)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Módulo 1: Solicitador de Cotizaciones:</w:t>
      </w:r>
      <w:r w:rsidDel="00000000" w:rsidR="00000000" w:rsidRPr="00000000">
        <w:rPr>
          <w:rtl w:val="0"/>
        </w:rPr>
        <w:t xml:space="preserve"> Interfaz diaria de ventas, diseño acordeón.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Módulo 2: Banco de Datos Maestros e Insumos: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Catálogo de maderas/troqueles.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Calculadora de Peso: Gramaje x Tamaño x Cantidad = Regla Logística (≤ 20 Kg = Moto $15k / &gt; 20 Kg = Vehículo $45k).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Panel de actualización de precio del papel en vivo. Sincronización mediante Google Sheets (</w:t>
      </w:r>
      <w:r w:rsidDel="00000000" w:rsidR="00000000" w:rsidRPr="00000000">
        <w:rPr>
          <w:i w:val="1"/>
          <w:iCs w:val="1"/>
          <w:rtl w:val="0"/>
        </w:rPr>
        <w:t xml:space="preserve">Base_Master_Troqueles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Módulo 3: Control de Reprocesos:</w:t>
      </w:r>
      <w:r w:rsidDel="00000000" w:rsidR="00000000" w:rsidRPr="00000000">
        <w:rPr>
          <w:rtl w:val="0"/>
        </w:rPr>
        <w:t xml:space="preserve"> Tabla de registro de errores ligada al ID Master de la OT. Contrasta las pérdidas de taller contra el Fondo de Seguridad de Producción (3% - 9%). Dispara alertas si el error supera el fondo inyectado a la orden.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Módulo 4: Tablero de Ventas e Informes:</w:t>
      </w:r>
      <w:r w:rsidDel="00000000" w:rsidR="00000000" w:rsidRPr="00000000">
        <w:rPr>
          <w:rtl w:val="0"/>
        </w:rPr>
        <w:t xml:space="preserve"> Embudo de cotizaciones, Escudo VIP (alerta a los 30 días de inactividad de clientes Top 20%) y análisis de pérdida (precio, tiempos, competencia).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