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DISEÑO ARQUITECTÓNICO MÁSTER Y PLAN DE INYECCIÓN DE DATOS: ERP TACTICAL MARKETING (V7)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constituye el Plano Funcional de Especificaciones Técnicas y la Memoria Metódica Integral para el desarrollo del software de Cotizaciones, CRM y ERP de </w:t>
      </w:r>
      <w:r w:rsidDel="00000000" w:rsidR="00000000" w:rsidRPr="00000000">
        <w:rPr>
          <w:b w:val="1"/>
          <w:bCs w:val="1"/>
          <w:rtl w:val="0"/>
        </w:rPr>
        <w:t xml:space="preserve">Tactical Marketing</w:t>
      </w:r>
      <w:r w:rsidDel="00000000" w:rsidR="00000000" w:rsidRPr="00000000">
        <w:rPr>
          <w:rtl w:val="0"/>
        </w:rPr>
        <w:t xml:space="preserve">. Su objetivo principal es actuar como un contenedor de contexto absoluto de alta fidelidad, diseñado para ser leído por cualquier entorno de desarrollo o inteligencia artificial en futuras sesiones de programación, permitiendo el ensamble inmediato y optimizado de las matrices de precios, tamaños y costos reales sin pérdida de información.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FILOSOFÍA DE DESARROLLO Y METODOLOGÍA OPERATIVA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sistema está concebido bajo una arquitectura de </w:t>
      </w:r>
      <w:r w:rsidDel="00000000" w:rsidR="00000000" w:rsidRPr="00000000">
        <w:rPr>
          <w:b w:val="1"/>
          <w:bCs w:val="1"/>
          <w:rtl w:val="0"/>
        </w:rPr>
        <w:t xml:space="preserve">Desarrollo Modular Basado en Componentes Autónomos</w:t>
      </w:r>
      <w:r w:rsidDel="00000000" w:rsidR="00000000" w:rsidRPr="00000000">
        <w:rPr>
          <w:rtl w:val="0"/>
        </w:rPr>
        <w:t xml:space="preserve">. Para maximizar la usabilidad del equipo comercial y la precisión del taller de producción, el software opera bajo dos principios fundamentales de ingeniería: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Enrutamiento Dinámico de Entrada:</w:t>
      </w:r>
      <w:r w:rsidDel="00000000" w:rsidR="00000000" w:rsidRPr="00000000">
        <w:rPr>
          <w:sz w:val="18"/>
          <w:szCs w:val="18"/>
          <w:rtl w:val="0"/>
        </w:rPr>
        <w:t xml:space="preserve"> La interfaz inicial no impone un formulario único. El sistema realiza una pregunta macro al usuario ("¿Qué categoría vas a cotizar hoy?") y, según la respuesta, reconfigura dinámicamente las casillas, variables de sustrato y validaciones en pantalla.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Arquitectura Multi-Ítem (Estructura de Carrito para Licitaciones):</w:t>
      </w:r>
      <w:r w:rsidDel="00000000" w:rsidR="00000000" w:rsidRPr="00000000">
        <w:rPr>
          <w:sz w:val="18"/>
          <w:szCs w:val="18"/>
          <w:rtl w:val="0"/>
        </w:rPr>
        <w:t xml:space="preserve"> El sistema agrupa múltiples productos de distinta naturaleza bajo un mismo identificador maestro de cotización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COT-AÑO-MES-CONSECUTIVO</w:t>
      </w:r>
      <w:r w:rsidDel="00000000" w:rsidR="00000000" w:rsidRPr="00000000">
        <w:rPr>
          <w:sz w:val="18"/>
          <w:szCs w:val="18"/>
          <w:rtl w:val="0"/>
        </w:rPr>
        <w:t xml:space="preserve">). Esto permite resolver licitaciones complejas consolidando las utilidades individuales en una única propuesta comercial y un único registro en el embudo del CRM.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ORDEN ESTRICTO DE ENRUTAMIENTO MAESTRO DE CATEGORÍAS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Al iniciar una cotización, el sistema despliega e indexa los módulos en el siguiente orden secuencial obligatorio, adaptando los motores de cálculo según el subproducto: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Macro-Categoría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Sub-Productos Integrados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Comportamiento y Disparadores del Backend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Editorial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Cuadernos, agendas, libretas, cuaderno escolar, catálogos, revistas, libros.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Habilita cálculo multipágina (redondeo forzado a múltiplos de 4), selección de cubiertas independientes (Tapa Dura/Semidura/Blanda) y sistemas de encuadernación industrial (Wire-O, Hotmelt, Grapado).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Publicomerciales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Volantes, afiches, plegables, carpetas.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Desactiva lomos y paginación compleja. Activa selectores de tamaño de pliego (1/4, 1/2, carta), esquemas de tiro/respaldo (4x4, 4x1, 4x0) y tipos de doblez o solapas.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Rompecabezas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Líder de Mercado.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el uso de cartón industrial pesado de alto calibre, laminado BOPP térmico obligatorio y activa el menú desplegable estricto de Número de Piezas conectado directamente al molde de troquelado.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Promocionales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Merchandising general.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Apaga motores de papel y mermas gráficas. Abre campos para costo base del proveedor, margen de comercialización y la matriz de técnicas de marcación (Screen, Tampografía, Láser, DTF) según tintas y posiciones.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Empaques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Cajas blandas, cajas duras, bolsas.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Desbloquea obligatoriamente el eje tridimensional (Alto x Ancho x Profundidad en cm), el cálculo del desarrollo del plano del troquel y el cubicaje automatizado para cajas de despacho.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 Formato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Pendones, señalización, murales.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Enruta el cálculo de costo directo por metro cuadrado (m2). Activa selectores de sustratos flexibles/rígidos (Lona banner, vinilo, microperforado) y acabados físicos (Ojaletes, tubos, reatas).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Especiales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Proyectos a medida / Alta costura.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Casilla de escape operativa. Abre un editor de texto completamente libre y un campo de costo directo manual que hereda las reglas financieras de la compañía.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NÚCLEO FINANCIERO Y ESTRUCTURA FISCAL DE TACTICAL MARKETING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motor de cálculo financiero está blindado contra la pérdida de márgenes y refleja con total fidelidad el comportamiento contable real de la empresa: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Algoritmo Comercial Inverso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proteger la rentabilidad, el sistema toma el costo total acumulado de fábrica (materiales + procesos + diseño manual si aplica) y emplea la fórmula del divisor inverso: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Precio de Venta Neto = Costo Total de Producción / 0.56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Este coeficiente asegura matemáticamente la retención de un </w:t>
      </w:r>
      <w:r w:rsidDel="00000000" w:rsidR="00000000" w:rsidRPr="00000000">
        <w:rPr>
          <w:b w:val="1"/>
          <w:bCs w:val="1"/>
          <w:rtl w:val="0"/>
        </w:rPr>
        <w:t xml:space="preserve">41% de utilidad neta base</w:t>
      </w:r>
      <w:r w:rsidDel="00000000" w:rsidR="00000000" w:rsidRPr="00000000">
        <w:rPr>
          <w:rtl w:val="0"/>
        </w:rPr>
        <w:t xml:space="preserve"> para la compañía y reserva de forma automática un </w:t>
      </w:r>
      <w:r w:rsidDel="00000000" w:rsidR="00000000" w:rsidRPr="00000000">
        <w:rPr>
          <w:b w:val="1"/>
          <w:bCs w:val="1"/>
          <w:rtl w:val="0"/>
        </w:rPr>
        <w:t xml:space="preserve">3% para la comisión del asesor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Modulador de Costos con Cálculo de Ganancia Líquida ($)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 vista de administración/editor permite modificar en tiempo real el costo de fabricación. El sistema calcula y expone de forma prominente la utilidad real en pesos colombianos mediante la ecuación: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afc" w:val="clear"/>
          <w:rtl w:val="0"/>
        </w:rPr>
        <w:t xml:space="preserve">Ganancia Líquida ($) = Precio de Venta Neto Total - Costo Total de Fábrica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Estructura Impositiva Estricta del PDF Comercial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 propuesta final del cliente desglosa los impuestos siguiendo de forma exacta el esquema corporativo validado de Tactical Marketing: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18"/>
          <w:szCs w:val="18"/>
          <w:rtl w:val="0"/>
        </w:rPr>
        <w:t xml:space="preserve">Subtotal Neto (Calculado con el algoritmo inverso).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18"/>
          <w:szCs w:val="18"/>
          <w:rtl w:val="0"/>
        </w:rPr>
        <w:t xml:space="preserve">IVA: Equivalente al 19% del Subtotal Neto.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sz w:val="18"/>
          <w:szCs w:val="18"/>
          <w:rtl w:val="0"/>
        </w:rPr>
        <w:t xml:space="preserve">Menos Rete IVA 15%: Deducción explícita del 15% calculada sobre el valor del IVA.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sz w:val="18"/>
          <w:szCs w:val="18"/>
          <w:rtl w:val="0"/>
        </w:rPr>
        <w:t xml:space="preserve">TOTAL PROPUESTA: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Subtotal Neto + IVA - Menos Rete IVA 15%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Lógica Adaptativa de Crédito y Cartera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Sin Crédito (Anticipo):</w:t>
      </w:r>
      <w:r w:rsidDel="00000000" w:rsidR="00000000" w:rsidRPr="00000000">
        <w:rPr>
          <w:sz w:val="18"/>
          <w:szCs w:val="18"/>
          <w:rtl w:val="0"/>
        </w:rPr>
        <w:t xml:space="preserve"> El sistema divide el TOTAL PROPUESTA e imprime de forma estricta las casillas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Anticipo 50%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Saldo 50%</w:t>
      </w:r>
      <w:r w:rsidDel="00000000" w:rsidR="00000000" w:rsidRPr="00000000">
        <w:rPr>
          <w:sz w:val="18"/>
          <w:szCs w:val="18"/>
          <w:rtl w:val="0"/>
        </w:rPr>
        <w:t xml:space="preserve">, adjuntando la cláusula de pago de alistamiento y el plazo de compra de 30 días con penalización del 15%.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 Crédito Directo:</w:t>
      </w:r>
      <w:r w:rsidDel="00000000" w:rsidR="00000000" w:rsidRPr="00000000">
        <w:rPr>
          <w:sz w:val="18"/>
          <w:szCs w:val="18"/>
          <w:rtl w:val="0"/>
        </w:rPr>
        <w:t xml:space="preserve"> El sistema oculta las casillas de anticipo/saldo del resumen de pago y reescribe de forma automática la condición comercial autorizando la cartera a 30 días fecha factura.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ARQUITECTURA LOGÍSTICA Y CONTROL DE CALIDAD EN TALLER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Orden de Trabajo (OT) técnica procesa los datos de entrada de forma segregada para guiar la producción en el taller: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Segregación de Componentes Editoriales:</w:t>
      </w:r>
      <w:r w:rsidDel="00000000" w:rsidR="00000000" w:rsidRPr="00000000">
        <w:rPr>
          <w:sz w:val="18"/>
          <w:szCs w:val="18"/>
          <w:rtl w:val="0"/>
        </w:rPr>
        <w:t xml:space="preserve"> Divide los requerimientos estrictamente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[A. Carátula / Cubiertas]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[B. Taco / Interiores]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[C. Tripa / Insertos]</w:t>
      </w:r>
      <w:r w:rsidDel="00000000" w:rsidR="00000000" w:rsidRPr="00000000">
        <w:rPr>
          <w:sz w:val="18"/>
          <w:szCs w:val="18"/>
          <w:rtl w:val="0"/>
        </w:rPr>
        <w:t xml:space="preserve">, calculando las hojas físicas netas de forma independiente para cada sección.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Algoritmo de Mermas Dinámicas:</w:t>
      </w:r>
      <w:r w:rsidDel="00000000" w:rsidR="00000000" w:rsidRPr="00000000">
        <w:rPr>
          <w:sz w:val="18"/>
          <w:szCs w:val="18"/>
          <w:rtl w:val="0"/>
        </w:rPr>
        <w:t xml:space="preserve"> El sistema evalúa el volumen solicitado. Si el tiraje es inferior a 200 unidades, fuerza la ruta técnica hacia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Prensa Digital Láser</w:t>
      </w:r>
      <w:r w:rsidDel="00000000" w:rsidR="00000000" w:rsidRPr="00000000">
        <w:rPr>
          <w:sz w:val="18"/>
          <w:szCs w:val="18"/>
          <w:rtl w:val="0"/>
        </w:rPr>
        <w:t xml:space="preserve"> e inyecta una merma de alistamiento fija de +25 hojas. Si es superior, enruta 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Litografía / Offset Mecánico</w:t>
      </w:r>
      <w:r w:rsidDel="00000000" w:rsidR="00000000" w:rsidRPr="00000000">
        <w:rPr>
          <w:sz w:val="18"/>
          <w:szCs w:val="18"/>
          <w:rtl w:val="0"/>
        </w:rPr>
        <w:t xml:space="preserve"> e inyecta +130 hojas de desperdicio operativo en bodega.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Alertas de Componentes Automáticas:</w:t>
      </w:r>
      <w:r w:rsidDel="00000000" w:rsidR="00000000" w:rsidRPr="00000000">
        <w:rPr>
          <w:sz w:val="18"/>
          <w:szCs w:val="18"/>
          <w:rtl w:val="0"/>
        </w:rPr>
        <w:t xml:space="preserve"> Si se selecciona Tapa Semidura en Propalcote 300g, el sistema dispara un mensaje crítico en rojo: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"Forzar plastificado BOPP térmico mate obligatorio en laminación para evitar fractura de fibra en el doblez"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Motor de Imposición Geométrica:</w:t>
      </w:r>
      <w:r w:rsidDel="00000000" w:rsidR="00000000" w:rsidRPr="00000000">
        <w:rPr>
          <w:sz w:val="18"/>
          <w:szCs w:val="18"/>
          <w:rtl w:val="0"/>
        </w:rPr>
        <w:t xml:space="preserve"> Calcula automáticamente el óptimo aprovechamiento físico de piezas basándose en las dimensiones de Alto y Ancho ingresadas sobre un pliego estándar de 70x100 cm, dibujando en pantalla la retícula de corte y bloqueando una pinza de entrada de 12 mm y guías laterales de 5 mm.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PROTOCOLO DEL CRM Y ESCUDO DE RETENCIÓN VIP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módulo de seguimiento comercial opera bajo cinco estados estrictos de control de ventas (Borrador, Enviada, Seguimiento, Aprobada, Perdida) y clasifica a los clientes según su volumen de compra mensual: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Cliente Nuevo:</w:t>
      </w:r>
      <w:r w:rsidDel="00000000" w:rsidR="00000000" w:rsidRPr="00000000">
        <w:rPr>
          <w:sz w:val="18"/>
          <w:szCs w:val="18"/>
          <w:rtl w:val="0"/>
        </w:rPr>
        <w:t xml:space="preserve"> Tarea automática de llamada a las 48 horas de la emisión.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Cliente Ocasional:</w:t>
      </w:r>
      <w:r w:rsidDel="00000000" w:rsidR="00000000" w:rsidRPr="00000000">
        <w:rPr>
          <w:sz w:val="18"/>
          <w:szCs w:val="18"/>
          <w:rtl w:val="0"/>
        </w:rPr>
        <w:t xml:space="preserve"> Compra de 4 a 10 veces al año (Alertas pasivas).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Cliente Recurrente:</w:t>
      </w:r>
      <w:r w:rsidDel="00000000" w:rsidR="00000000" w:rsidRPr="00000000">
        <w:rPr>
          <w:sz w:val="18"/>
          <w:szCs w:val="18"/>
          <w:rtl w:val="0"/>
        </w:rPr>
        <w:t xml:space="preserve"> Compra al menos 2 veces al mes (Prioridad media en taller).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Cliente VIP:</w:t>
      </w:r>
      <w:r w:rsidDel="00000000" w:rsidR="00000000" w:rsidRPr="00000000">
        <w:rPr>
          <w:sz w:val="18"/>
          <w:szCs w:val="18"/>
          <w:rtl w:val="0"/>
        </w:rPr>
        <w:t xml:space="preserve"> Compra más de 3 veces al mes. Protegido por 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Escudo de Fugas</w:t>
      </w:r>
      <w:r w:rsidDel="00000000" w:rsidR="00000000" w:rsidRPr="00000000">
        <w:rPr>
          <w:sz w:val="18"/>
          <w:szCs w:val="18"/>
          <w:rtl w:val="0"/>
        </w:rPr>
        <w:t xml:space="preserve">: si el cliente VIP supera los 30 días calendario sin registrar una orden en estado "Aprobada", el CRM dispara una alerta crítica en el panel del Gerente Helver Conde y asigna una tarea obligatoria de contacto inmediato al asesor.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DIRECTRICES PARA LA PRÓXIMA FASE DE PROGRAMACIÓN (ERP REAL)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Al iniciar la siguiente fase del proyecto, el desarrollador deberá tomar este documento y ejecutar las siguientes acciones de ensamble de datos: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Cargar Tablas Base CSV:</w:t>
      </w:r>
      <w:r w:rsidDel="00000000" w:rsidR="00000000" w:rsidRPr="00000000">
        <w:rPr>
          <w:sz w:val="18"/>
          <w:szCs w:val="18"/>
          <w:rtl w:val="0"/>
        </w:rPr>
        <w:t xml:space="preserve"> Vincular las listas de precios reales de materiales (Bond, Propalcote, Cartón Industrial, Teslin) y las tarifas por centímetro o millar de los acabados (BOPP, UV Parcial, Foil, Troquelado).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Estructurar el Formulario de la Fase 1A (Línea Editorial):</w:t>
      </w:r>
      <w:r w:rsidDel="00000000" w:rsidR="00000000" w:rsidRPr="00000000">
        <w:rPr>
          <w:sz w:val="18"/>
          <w:szCs w:val="18"/>
          <w:rtl w:val="0"/>
        </w:rPr>
        <w:t xml:space="preserve"> Implementar los campos reales de captura validados en la sección 7 de esta arquitectura.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Conectar las Pestañas de Interfaz:</w:t>
      </w:r>
      <w:r w:rsidDel="00000000" w:rsidR="00000000" w:rsidRPr="00000000">
        <w:rPr>
          <w:sz w:val="18"/>
          <w:szCs w:val="18"/>
          <w:rtl w:val="0"/>
        </w:rPr>
        <w:t xml:space="preserve"> Enlazar las salidas dinámicas creadas en el prototipo funcional de alta fidelidad con los datos del servidor de Google BigQuery o Google Sheets corporativo.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450" w:lineRule="auto"/>
        <w:ind w:left="0" w:right="0" w:firstLine="0"/>
        <w:jc w:val="center"/>
        <w:rPr>
          <w:b w:val="1"/>
          <w:bCs w:val="1"/>
          <w:color w:val="64748b"/>
        </w:rPr>
      </w:pPr>
      <w:r w:rsidDel="00000000" w:rsidR="00000000" w:rsidRPr="00000000">
        <w:rPr>
          <w:b w:val="1"/>
          <w:bCs w:val="1"/>
          <w:color w:val="64748b"/>
          <w:rtl w:val="0"/>
        </w:rPr>
        <w:t xml:space="preserve">--- FIN DE LA ESPECIFICACIÓN TÉCNICA E INSTRUCCIONES DE ENSAMBLE V7 ---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0" w:lineRule="auto"/>
      <w:ind w:left="0" w:right="0" w:firstLine="0"/>
    </w:pPr>
    <w:rPr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75" w:lineRule="auto"/>
      <w:ind w:left="0" w:right="0" w:firstLine="0"/>
    </w:pPr>
    <w:rPr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  <w:ind w:left="0" w:right="0" w:firstLine="0"/>
    </w:pPr>
    <w:rPr>
      <w:b w:val="1"/>
      <w:bCs w:val="1"/>
      <w:i w:val="0"/>
      <w:iCs w:val="0"/>
      <w:color w:val="1d4ed8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