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DOCUMENTO DE ARQUITECTURA FINANCIERA Y CONSOLIDACIÓN (ERP - FASE 1)</w:t>
      </w:r>
    </w:p>
    <w:p w:rsidR="00000000" w:rsidDel="00000000" w:rsidP="00000000" w:rsidRDefault="00000000" w:rsidRPr="00000000" w14:paraId="00000002">
      <w:pPr>
        <w:rPr/>
      </w:pPr>
      <w:r w:rsidDel="00000000" w:rsidR="00000000" w:rsidRPr="00000000">
        <w:rPr>
          <w:rtl w:val="0"/>
        </w:rPr>
        <w:t xml:space="preserve">**Proyecto:** ERP Tactical Marketing (2026)</w:t>
      </w:r>
    </w:p>
    <w:p w:rsidR="00000000" w:rsidDel="00000000" w:rsidP="00000000" w:rsidRDefault="00000000" w:rsidRPr="00000000" w14:paraId="00000003">
      <w:pPr>
        <w:rPr/>
      </w:pPr>
      <w:r w:rsidDel="00000000" w:rsidR="00000000" w:rsidRPr="00000000">
        <w:rPr>
          <w:rtl w:val="0"/>
        </w:rPr>
        <w:t xml:space="preserve">**Objetivo:** Memoria técnica para la continuidad del desarrollo e inyección de contexto.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1. DECLARACIÓN DE ALCANCE CONGELADO (MVP - FASE 1)</w:t>
      </w:r>
    </w:p>
    <w:p w:rsidR="00000000" w:rsidDel="00000000" w:rsidP="00000000" w:rsidRDefault="00000000" w:rsidRPr="00000000" w14:paraId="00000008">
      <w:pPr>
        <w:rPr/>
      </w:pPr>
      <w:r w:rsidDel="00000000" w:rsidR="00000000" w:rsidRPr="00000000">
        <w:rPr>
          <w:rtl w:val="0"/>
        </w:rPr>
        <w:t xml:space="preserve">El desarrollo se concentrará exclusivamente en cerrar estos tres componentes antes de liberar cualquier otra función (como CRM o Trello integrado):</w:t>
      </w:r>
    </w:p>
    <w:p w:rsidR="00000000" w:rsidDel="00000000" w:rsidP="00000000" w:rsidRDefault="00000000" w:rsidRPr="00000000" w14:paraId="00000009">
      <w:pPr>
        <w:rPr/>
      </w:pPr>
      <w:r w:rsidDel="00000000" w:rsidR="00000000" w:rsidRPr="00000000">
        <w:rPr>
          <w:rtl w:val="0"/>
        </w:rPr>
        <w:t xml:space="preserve">1. **El Cotizador:** Motor de cálculo basado en costos directos de insumos (papel, maderas, anillos, clics de impresión) e ítems operativos de taller.</w:t>
      </w:r>
    </w:p>
    <w:p w:rsidR="00000000" w:rsidDel="00000000" w:rsidP="00000000" w:rsidRDefault="00000000" w:rsidRPr="00000000" w14:paraId="0000000A">
      <w:pPr>
        <w:rPr/>
      </w:pPr>
      <w:r w:rsidDel="00000000" w:rsidR="00000000" w:rsidRPr="00000000">
        <w:rPr>
          <w:rtl w:val="0"/>
        </w:rPr>
        <w:t xml:space="preserve">2. **Generador de PDF Comercial:** Renderización automática de propuestas con escalas de cantidad dinámicas (Quantity Breaks).</w:t>
      </w:r>
    </w:p>
    <w:p w:rsidR="00000000" w:rsidDel="00000000" w:rsidP="00000000" w:rsidRDefault="00000000" w:rsidRPr="00000000" w14:paraId="0000000B">
      <w:pPr>
        <w:rPr/>
      </w:pPr>
      <w:r w:rsidDel="00000000" w:rsidR="00000000" w:rsidRPr="00000000">
        <w:rPr>
          <w:rtl w:val="0"/>
        </w:rPr>
        <w:t xml:space="preserve">3. **Grilla Contable Centralizada (CXP/CXC):** Interfaz ágil tipo matriz (editable data table) para sustituir las hojas de Excel. Centraliza ingresos reales, compras y gastos estructurales.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2. ESTRUCTURA DE GASTOS FIJOS CONSOLIDADOS</w:t>
      </w:r>
    </w:p>
    <w:p w:rsidR="00000000" w:rsidDel="00000000" w:rsidP="00000000" w:rsidRDefault="00000000" w:rsidRPr="00000000" w14:paraId="00000010">
      <w:pPr>
        <w:rPr/>
      </w:pPr>
      <w:r w:rsidDel="00000000" w:rsidR="00000000" w:rsidRPr="00000000">
        <w:rPr>
          <w:rtl w:val="0"/>
        </w:rPr>
        <w:t xml:space="preserve">La base de datos administrativa opera con una carga fija mensual real de **$17.070.000 COP**, desglosada bajo las normativas legales de Colombia para régimen común: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**Arriendo Bodega/Planta:** $2.350.000 COP</w:t>
      </w:r>
    </w:p>
    <w:p w:rsidR="00000000" w:rsidDel="00000000" w:rsidP="00000000" w:rsidRDefault="00000000" w:rsidRPr="00000000" w14:paraId="00000013">
      <w:pPr>
        <w:rPr/>
      </w:pPr>
      <w:r w:rsidDel="00000000" w:rsidR="00000000" w:rsidRPr="00000000">
        <w:rPr>
          <w:rtl w:val="0"/>
        </w:rPr>
        <w:t xml:space="preserve">* **Servicios Públicos:** Luz ($300.000 COP) + Agua ($80.000 COP).</w:t>
      </w:r>
    </w:p>
    <w:p w:rsidR="00000000" w:rsidDel="00000000" w:rsidP="00000000" w:rsidRDefault="00000000" w:rsidRPr="00000000" w14:paraId="00000014">
      <w:pPr>
        <w:rPr/>
      </w:pPr>
      <w:r w:rsidDel="00000000" w:rsidR="00000000" w:rsidRPr="00000000">
        <w:rPr>
          <w:rtl w:val="0"/>
        </w:rPr>
        <w:t xml:space="preserve">* **Conectividad y Herramientas:** Celulares ($100.000 COP) + Internet ($90.000 COP) + Google Workspace/Licencias ($250.000 COP).</w:t>
      </w:r>
    </w:p>
    <w:p w:rsidR="00000000" w:rsidDel="00000000" w:rsidP="00000000" w:rsidRDefault="00000000" w:rsidRPr="00000000" w14:paraId="00000015">
      <w:pPr>
        <w:rPr/>
      </w:pPr>
      <w:r w:rsidDel="00000000" w:rsidR="00000000" w:rsidRPr="00000000">
        <w:rPr>
          <w:rtl w:val="0"/>
        </w:rPr>
        <w:t xml:space="preserve">* **Servicios Externos y Seguros:** Contadora ($400.000 COP) + Seguridad del Taller ($380.000 COP) + Seguro de Camioneta ($270.000 COP).</w:t>
      </w:r>
    </w:p>
    <w:p w:rsidR="00000000" w:rsidDel="00000000" w:rsidP="00000000" w:rsidRDefault="00000000" w:rsidRPr="00000000" w14:paraId="00000016">
      <w:pPr>
        <w:rPr/>
      </w:pPr>
      <w:r w:rsidDel="00000000" w:rsidR="00000000" w:rsidRPr="00000000">
        <w:rPr>
          <w:rtl w:val="0"/>
        </w:rPr>
        <w:t xml:space="preserve">* **Nómina Administrativa y Comercial:** Gerencia ($4.000.000 COP) + Área Comercial/Ventas ($3.000.000 COP).</w:t>
      </w:r>
    </w:p>
    <w:p w:rsidR="00000000" w:rsidDel="00000000" w:rsidP="00000000" w:rsidRDefault="00000000" w:rsidRPr="00000000" w14:paraId="00000017">
      <w:pPr>
        <w:rPr/>
      </w:pPr>
      <w:r w:rsidDel="00000000" w:rsidR="00000000" w:rsidRPr="00000000">
        <w:rPr>
          <w:rtl w:val="0"/>
        </w:rPr>
        <w:t xml:space="preserve">* **Mano de Obra Directa (MOD):** 3 Operarios de planta con carga prestacional y parafiscal completa de ley ($1.950.000 COP c/u) = $5.850.000 COP.</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3. MODELO DE COSTEO POR ABSORCIÓN (MOTOR OCULO)</w:t>
      </w:r>
    </w:p>
    <w:p w:rsidR="00000000" w:rsidDel="00000000" w:rsidP="00000000" w:rsidRDefault="00000000" w:rsidRPr="00000000" w14:paraId="0000001C">
      <w:pPr>
        <w:rPr/>
      </w:pPr>
      <w:r w:rsidDel="00000000" w:rsidR="00000000" w:rsidRPr="00000000">
        <w:rPr>
          <w:rtl w:val="0"/>
        </w:rPr>
        <w:t xml:space="preserve">Para no encarecer el producto en el mercado, el ERP no añade sobrecostos al precio final, sino que desglosa la utilidad bruta mediante una Tarifa Estructural por Minuto.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**Capacidad Operativa del Taller:** 3 operarios trabajando la jornada legal de 42 horas semanales equivalen a **30.240 minutos útiles de planta al mes**.</w:t>
      </w:r>
    </w:p>
    <w:p w:rsidR="00000000" w:rsidDel="00000000" w:rsidP="00000000" w:rsidRDefault="00000000" w:rsidRPr="00000000" w14:paraId="0000001F">
      <w:pPr>
        <w:rPr/>
      </w:pPr>
      <w:r w:rsidDel="00000000" w:rsidR="00000000" w:rsidRPr="00000000">
        <w:rPr>
          <w:rtl w:val="0"/>
        </w:rPr>
        <w:t xml:space="preserve">* **Fórmula de Absorción Estructural:**</w:t>
      </w:r>
    </w:p>
    <w:p w:rsidR="00000000" w:rsidDel="00000000" w:rsidP="00000000" w:rsidRDefault="00000000" w:rsidRPr="00000000" w14:paraId="00000020">
      <w:pPr>
        <w:rPr/>
      </w:pPr>
      <w:r w:rsidDel="00000000" w:rsidR="00000000" w:rsidRPr="00000000">
        <w:rPr>
          <w:rtl w:val="0"/>
        </w:rPr>
        <w:t xml:space="preserve">  Tarifa Estructural por Minuto = Gastos Fijos Mensuales ($17.070.000) / Minutos Útiles (30.240) = **$564.48 COP/min**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**Ecuación de Costeo Real en Backend:**</w:t>
      </w:r>
    </w:p>
    <w:p w:rsidR="00000000" w:rsidDel="00000000" w:rsidP="00000000" w:rsidRDefault="00000000" w:rsidRPr="00000000" w14:paraId="00000023">
      <w:pPr>
        <w:rPr/>
      </w:pPr>
      <w:r w:rsidDel="00000000" w:rsidR="00000000" w:rsidRPr="00000000">
        <w:rPr>
          <w:rtl w:val="0"/>
        </w:rPr>
        <w:t xml:space="preserve">  Costo Real Total = Insumos Directos + (Tiempo Taller x $125 MOD) + (Tiempo Taller x $564.48 Estructural)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**Regla de Impuestos y Comisiones:** De la utilidad bruta calculada se provisionan automáticamente el **4x1000 (GMF)** por transacción bancaria y el 2% de comisión comercial.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4. INDICADORES DE RENDIMIENTO AUTOMÁTICOS (KPIS)</w:t>
      </w:r>
    </w:p>
    <w:p w:rsidR="00000000" w:rsidDel="00000000" w:rsidP="00000000" w:rsidRDefault="00000000" w:rsidRPr="00000000" w14:paraId="0000002A">
      <w:pPr>
        <w:rPr/>
      </w:pPr>
      <w:r w:rsidDel="00000000" w:rsidR="00000000" w:rsidRPr="00000000">
        <w:rPr>
          <w:rtl w:val="0"/>
        </w:rPr>
        <w:t xml:space="preserve">Una vez cruzados los datos de la grilla de transacciones con el Módulo de Reprocesos (Maestro-Detalle), el sistema genera el cuadro de mando: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**Punto de Equilibrio General:** Fijado matemáticamente en **$74.737.302 COP** de facturación mensual (basado en un margen neto promedio del 22.84%).</w:t>
      </w:r>
    </w:p>
    <w:p w:rsidR="00000000" w:rsidDel="00000000" w:rsidP="00000000" w:rsidRDefault="00000000" w:rsidRPr="00000000" w14:paraId="0000002D">
      <w:pPr>
        <w:rPr/>
      </w:pPr>
      <w:r w:rsidDel="00000000" w:rsidR="00000000" w:rsidRPr="00000000">
        <w:rPr>
          <w:rtl w:val="0"/>
        </w:rPr>
        <w:t xml:space="preserve">* **Semáforo de Cotizaciones:** Alerta visual dinámica. En pedidos masivos, calcula la dilución del costo estructural recomendando márgenes competitivos. En pedidos micro, advierte si el tiempo de alistamiento absorbe la utilidad, sugiriendo un ajuste de precio base o restricción de escala mínima.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6"/>
          <w:szCs w:val="26"/>
          <w:highlight w:val="white"/>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