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analyse par lots, statistiques, export CSV, API JSON,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Nom de domaine (email)</w:t>
            </w:r>
          </w:p>
        </w:tc>
        <w:tc>
          <w:tcPr>
            <w:tcW w:type="dxa" w:w="3213"/>
          </w:tcPr>
          <w:p>
            <w:r>
              <w:t>dns.google (DNS-over-HTTPS)</w:t>
            </w:r>
          </w:p>
        </w:tc>
        <w:tc>
          <w:tcPr>
            <w:tcW w:type="dxa" w:w="3213"/>
          </w:tcPr>
          <w:p>
            <w:r>
              <w:t>SPF, DMARC et serveurs MX — un domaine sans DMARC est facilement usurpable en phishing</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2"/>
      </w:pPr>
      <w:r>
        <w:t>5.5 Cas particulier : une adresse qui n'est pas sur Internet</w:t>
      </w:r>
    </w:p>
    <w:p>
      <w:r>
        <w:t>Toutes les bases publiques refusent les adresses privées : ip-api.com répond « private range ». Un outil naïf transforme ce refus en erreur — et donne alors l'impression d'être cassé, précisément sur la saisie la plus courante d'un testeur : 192.168.1.1, l'adresse d'une box, ou 127.0.0.1.</w:t>
      </w:r>
    </w:p>
    <w:p>
      <w:r>
        <w:t>L'application teste donc la portée de l'adresse AVANT tout appel réseau, avec le module standard ipaddress : publique, privée (RFC 1918), locale (127.0.0.0/8, ::1), lien-local (169.254.0.0/16, fe80::/10), multicast ou réservée. Si l'adresse n'est pas routable, aucune requête n'est envoyée : l'outil rend un verdict « HORS PÉRIMÈTRE » expliqué en trois points, et rappelle que la vérification d'une adresse interne se fait dans l'inventaire du parc et les journaux, pas dans une API publique.</w:t>
      </w:r>
    </w:p>
    <w:p>
      <w:pPr>
        <w:pStyle w:val="ListBullet"/>
      </w:pPr>
      <w:r>
        <w:t>Aucun appel réseau inutile : ni quota consommé, ni attente.</w:t>
      </w:r>
    </w:p>
    <w:p>
      <w:pPr>
        <w:pStyle w:val="ListBullet"/>
      </w:pPr>
      <w:r>
        <w:t>Aucune erreur affichée pour une saisie parfaitement légitime : 192.168.1.1 produit un rapport, pas un échec.</w:t>
      </w:r>
    </w:p>
    <w:p>
      <w:pPr>
        <w:pStyle w:val="ListBullet"/>
      </w:pPr>
      <w:r>
        <w:t>Un raisonnement explicable en soutenance : is_private, is_loopback, is_link_local, is_global du module ipaddress.</w:t>
      </w:r>
    </w:p>
    <w:p>
      <w:r>
        <w:drawing>
          <wp:inline xmlns:a="http://schemas.openxmlformats.org/drawingml/2006/main" xmlns:pic="http://schemas.openxmlformats.org/drawingml/2006/picture">
            <wp:extent cx="5940000" cy="5845125"/>
            <wp:docPr id="1" name="Picture 1"/>
            <wp:cNvGraphicFramePr>
              <a:graphicFrameLocks noChangeAspect="1"/>
            </wp:cNvGraphicFramePr>
            <a:graphic>
              <a:graphicData uri="http://schemas.openxmlformats.org/drawingml/2006/picture">
                <pic:pic>
                  <pic:nvPicPr>
                    <pic:cNvPr id="0" name="capture-interne.png"/>
                    <pic:cNvPicPr/>
                  </pic:nvPicPr>
                  <pic:blipFill>
                    <a:blip r:embed="rId10"/>
                    <a:stretch>
                      <a:fillRect/>
                    </a:stretch>
                  </pic:blipFill>
                  <pic:spPr>
                    <a:xfrm>
                      <a:off x="0" y="0"/>
                      <a:ext cx="5940000" cy="5845125"/>
                    </a:xfrm>
                    <a:prstGeom prst="rect"/>
                  </pic:spPr>
                </pic:pic>
              </a:graphicData>
            </a:graphic>
          </wp:inline>
        </w:drawing>
      </w:r>
    </w:p>
    <w:p>
      <w:pPr>
        <w:pStyle w:val="Legende"/>
      </w:pPr>
      <w:r>
        <w:t>Figure 9 — Saisie d'une adresse privée (192.168.1.1) : l'outil rend un verdict argumenté au lieu d'une erreur.</w:t>
      </w:r>
    </w:p>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t>Elle est découpée en quatre pages distinctes — « Analyser », « Tableau de bord », « Historique » et « API JSON » — reliées par un menu permanent. Les éléments communs (en-tête, menu, pied de page, feuille de style) sont définis une seule fois dans un gabarit de base (base.html) dont héritent les quatre pages : c'est l'héritage de gabarits de Jinja2. Ajouter une page revient donc à écrire uniquement son contenu, et modifier le menu ne se fait qu'à un seul endroit.</w:t>
      </w:r>
    </w:p>
    <w:p>
      <w:r>
        <w:drawing>
          <wp:inline xmlns:a="http://schemas.openxmlformats.org/drawingml/2006/main" xmlns:pic="http://schemas.openxmlformats.org/drawingml/2006/picture">
            <wp:extent cx="5940000" cy="8687250"/>
            <wp:docPr id="2" name="Picture 2"/>
            <wp:cNvGraphicFramePr>
              <a:graphicFrameLocks noChangeAspect="1"/>
            </wp:cNvGraphicFramePr>
            <a:graphic>
              <a:graphicData uri="http://schemas.openxmlformats.org/drawingml/2006/picture">
                <pic:pic>
                  <pic:nvPicPr>
                    <pic:cNvPr id="0" name="capture-analyse.png"/>
                    <pic:cNvPicPr/>
                  </pic:nvPicPr>
                  <pic:blipFill>
                    <a:blip r:embed="rId11"/>
                    <a:stretch>
                      <a:fillRect/>
                    </a:stretch>
                  </pic:blipFill>
                  <pic:spPr>
                    <a:xfrm>
                      <a:off x="0" y="0"/>
                      <a:ext cx="5940000" cy="8687250"/>
                    </a:xfrm>
                    <a:prstGeom prst="rect"/>
                  </pic:spPr>
                </pic:pic>
              </a:graphicData>
            </a:graphic>
          </wp:inline>
        </w:drawing>
      </w:r>
    </w:p>
    <w:p>
      <w:pPr>
        <w:pStyle w:val="Legende"/>
      </w:pPr>
      <w:r>
        <w:t>Figure 1 — Page « Analyser » : formulaire de saisie, formats acceptés et mode par lots.</w:t>
      </w:r>
    </w:p>
    <w:p>
      <w:r>
        <w:drawing>
          <wp:inline xmlns:a="http://schemas.openxmlformats.org/drawingml/2006/main" xmlns:pic="http://schemas.openxmlformats.org/drawingml/2006/picture">
            <wp:extent cx="5940000" cy="6546375"/>
            <wp:docPr id="3" name="Picture 3"/>
            <wp:cNvGraphicFramePr>
              <a:graphicFrameLocks noChangeAspect="1"/>
            </wp:cNvGraphicFramePr>
            <a:graphic>
              <a:graphicData uri="http://schemas.openxmlformats.org/drawingml/2006/picture">
                <pic:pic>
                  <pic:nvPicPr>
                    <pic:cNvPr id="0" name="capture-rapport.png"/>
                    <pic:cNvPicPr/>
                  </pic:nvPicPr>
                  <pic:blipFill>
                    <a:blip r:embed="rId12"/>
                    <a:stretch>
                      <a:fillRect/>
                    </a:stretch>
                  </pic:blipFill>
                  <pic:spPr>
                    <a:xfrm>
                      <a:off x="0" y="0"/>
                      <a:ext cx="5940000" cy="6546375"/>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8217000"/>
            <wp:docPr id="4" name="Picture 4"/>
            <wp:cNvGraphicFramePr>
              <a:graphicFrameLocks noChangeAspect="1"/>
            </wp:cNvGraphicFramePr>
            <a:graphic>
              <a:graphicData uri="http://schemas.openxmlformats.org/drawingml/2006/picture">
                <pic:pic>
                  <pic:nvPicPr>
                    <pic:cNvPr id="0" name="capture-json.png"/>
                    <pic:cNvPicPr/>
                  </pic:nvPicPr>
                  <pic:blipFill>
                    <a:blip r:embed="rId13"/>
                    <a:stretch>
                      <a:fillRect/>
                    </a:stretch>
                  </pic:blipFill>
                  <pic:spPr>
                    <a:xfrm>
                      <a:off x="0" y="0"/>
                      <a:ext cx="5940000" cy="8217000"/>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7342500"/>
            <wp:docPr id="5" name="Picture 5"/>
            <wp:cNvGraphicFramePr>
              <a:graphicFrameLocks noChangeAspect="1"/>
            </wp:cNvGraphicFramePr>
            <a:graphic>
              <a:graphicData uri="http://schemas.openxmlformats.org/drawingml/2006/picture">
                <pic:pic>
                  <pic:nvPicPr>
                    <pic:cNvPr id="0" name="capture-domaine.png"/>
                    <pic:cNvPicPr/>
                  </pic:nvPicPr>
                  <pic:blipFill>
                    <a:blip r:embed="rId14"/>
                    <a:stretch>
                      <a:fillRect/>
                    </a:stretch>
                  </pic:blipFill>
                  <pic:spPr>
                    <a:xfrm>
                      <a:off x="0" y="0"/>
                      <a:ext cx="5940000" cy="7342500"/>
                    </a:xfrm>
                    <a:prstGeom prst="rect"/>
                  </pic:spPr>
                </pic:pic>
              </a:graphicData>
            </a:graphic>
          </wp:inline>
        </w:drawing>
      </w:r>
    </w:p>
    <w:p>
      <w:pPr>
        <w:pStyle w:val="Legende"/>
      </w:pPr>
      <w:r>
        <w:t>Figure 4 — Analyse d'un nom de domaine : enregistrement RDAP, résolution DNS et sécurité email (SPF, DMARC, MX).</w:t>
      </w:r>
    </w:p>
    <w:p>
      <w:r>
        <w:t>La page d'accueil est conçue pour être comprise sans connaissance préalable : elle définit ce qu'est un indicateur de compromission, propose quatre exemples lançables en un clic (IP suspecte, domaine douteux, empreinte de fichier, adresse interne), affiche d'emblée un rapport d'exemple — la page n'est donc jamais vide — puis détaille le fonctionnement en quatre étapes et liste les sources interrogées. Un visiteur qui n'ouvre qu'une seule page repart en sachant ce que fait l'outil et avec la preuve qu'il fonctionne.</w:t>
      </w:r>
    </w:p>
    <w:p>
      <w:r>
        <w:t>L'application dispose enfin de sa propre identité visuelle : un logo et une icône d'onglet dessinés en SVG — un bouclier (la protection) contenant un balayage radar autour d'un point (l'indicateur que l'outil éclaire). Deux fichiers texte de moins d'un kilo-octet, servis par l'application elle-même : aucun appel à un service externe, ce qui préserve la politique de sécurité (Content-Security-Policy) mise en place.</w:t>
      </w:r>
    </w:p>
    <w:p>
      <w:pPr>
        <w:pStyle w:val="Heading2"/>
      </w:pPr>
      <w:r>
        <w:t>7.1 Analyse par lots</w:t>
      </w:r>
    </w:p>
    <w:p>
      <w:r>
        <w:t>Un analyste ne traite jamais un indicateur isolé : il en reçoit une liste. Le champ de saisie accepte donc plusieurs IOC à la fois (un par ligne, ou séparés par des virgules), les valide, supprime les doublons, puis analyse chacun d'eux et présente un tableau de synthèse : réputation, niveau, score, action recommandée et statut d'enregistrement.</w:t>
      </w:r>
    </w:p>
    <w:p>
      <w:r>
        <w:t>Le traitement est borné à cinq indicateurs et surveillé par un budget de temps : si la limite est atteinte, les indicateurs restants sont signalés « non traités » plutôt que de laisser la fonction d'hébergement s'interrompre en plein milieu. C'est une contrainte réelle du déploiement serverless, gérée explicitement dans le code.</w:t>
      </w:r>
    </w:p>
    <w:p>
      <w:r>
        <w:drawing>
          <wp:inline xmlns:a="http://schemas.openxmlformats.org/drawingml/2006/main" xmlns:pic="http://schemas.openxmlformats.org/drawingml/2006/picture">
            <wp:extent cx="5940000" cy="4125000"/>
            <wp:docPr id="6" name="Picture 6"/>
            <wp:cNvGraphicFramePr>
              <a:graphicFrameLocks noChangeAspect="1"/>
            </wp:cNvGraphicFramePr>
            <a:graphic>
              <a:graphicData uri="http://schemas.openxmlformats.org/drawingml/2006/picture">
                <pic:pic>
                  <pic:nvPicPr>
                    <pic:cNvPr id="0" name="capture-lot.png"/>
                    <pic:cNvPicPr/>
                  </pic:nvPicPr>
                  <pic:blipFill>
                    <a:blip r:embed="rId15"/>
                    <a:stretch>
                      <a:fillRect/>
                    </a:stretch>
                  </pic:blipFill>
                  <pic:spPr>
                    <a:xfrm>
                      <a:off x="0" y="0"/>
                      <a:ext cx="5940000" cy="4125000"/>
                    </a:xfrm>
                    <a:prstGeom prst="rect"/>
                  </pic:spPr>
                </pic:pic>
              </a:graphicData>
            </a:graphic>
          </wp:inline>
        </w:drawing>
      </w:r>
    </w:p>
    <w:p>
      <w:pPr>
        <w:pStyle w:val="Legende"/>
      </w:pPr>
      <w:r>
        <w:t>Figure 5 — Analyse par lots : résultats, tableau de bord, historique et documentation de l'API sur une seule page.</w:t>
      </w:r>
    </w:p>
    <w:p>
      <w:pPr>
        <w:pStyle w:val="Heading2"/>
      </w:pPr>
      <w:r>
        <w:t>7.2 Tableau de bord et détection de doublon</w:t>
      </w:r>
    </w:p>
    <w:p>
      <w:r>
        <w:t>Le tableau de bord agrège tout l'historique : nombre d'analyses, score de risque moyen, répartition par niveau de risque et par type d'indicateur, et sources les plus utilisées. Ces statistiques sont calculées en Python à partir des lignes lues en base (dictionnaires, boucles, tri) : c'est exactement ce que permet une base de données — agréger un historique plutôt que le relire à la main.</w:t>
      </w:r>
    </w:p>
    <w:p>
      <w:r>
        <w:t>Avant chaque analyse, l'application vérifie si l'indicateur a déjà été qualifié. Si c'est le cas, elle affiche la date de la précédente analyse, le score obtenu alors et l'évolution : un analyste doit savoir qu'un IOC a déjà été vu, et si sa réputation s'est dégradée.</w:t>
      </w:r>
    </w:p>
    <w:p>
      <w:pPr>
        <w:pStyle w:val="Heading2"/>
      </w:pPr>
      <w:r>
        <w:t>7.3 Export CSV et API JSON</w:t>
      </w:r>
    </w:p>
    <w:p>
      <w:r>
        <w:t>L'outil ne s'arrête pas à l'interface web : il expose aussi ses données et son moteur à d'autres programmes.</w:t>
      </w:r>
    </w:p>
    <w:tbl>
      <w:tblPr>
        <w:tblStyle w:val="TableGrid"/>
        <w:tblW w:type="auto" w:w="0"/>
        <w:tblLook w:firstColumn="1" w:firstRow="1" w:lastColumn="0" w:lastRow="0" w:noHBand="0" w:noVBand="1" w:val="04A0"/>
      </w:tblPr>
      <w:tblGrid>
        <w:gridCol w:w="4819"/>
        <w:gridCol w:w="4819"/>
      </w:tblGrid>
      <w:tr>
        <w:tc>
          <w:tcPr>
            <w:tcW w:type="dxa" w:w="4819"/>
          </w:tcPr>
          <w:p>
            <w:r>
              <w:rPr>
                <w:b/>
              </w:rPr>
              <w:t>Route</w:t>
            </w:r>
          </w:p>
        </w:tc>
        <w:tc>
          <w:tcPr>
            <w:tcW w:type="dxa" w:w="4819"/>
          </w:tcPr>
          <w:p>
            <w:r>
              <w:rPr>
                <w:b/>
              </w:rPr>
              <w:t>Rôle</w:t>
            </w:r>
          </w:p>
        </w:tc>
      </w:tr>
      <w:tr>
        <w:tc>
          <w:tcPr>
            <w:tcW w:type="dxa" w:w="4819"/>
          </w:tcPr>
          <w:p>
            <w:r>
              <w:t>GET /</w:t>
            </w:r>
          </w:p>
        </w:tc>
        <w:tc>
          <w:tcPr>
            <w:tcW w:type="dxa" w:w="4819"/>
          </w:tcPr>
          <w:p>
            <w:r>
              <w:t>Page « Analyser » : formulaire et rapport</w:t>
            </w:r>
          </w:p>
        </w:tc>
      </w:tr>
      <w:tr>
        <w:tc>
          <w:tcPr>
            <w:tcW w:type="dxa" w:w="4819"/>
          </w:tcPr>
          <w:p>
            <w:r>
              <w:t>GET /tableau-de-bord</w:t>
            </w:r>
          </w:p>
        </w:tc>
        <w:tc>
          <w:tcPr>
            <w:tcW w:type="dxa" w:w="4819"/>
          </w:tcPr>
          <w:p>
            <w:r>
              <w:t>Page « Tableau de bord » : statistiques</w:t>
            </w:r>
          </w:p>
        </w:tc>
      </w:tr>
      <w:tr>
        <w:tc>
          <w:tcPr>
            <w:tcW w:type="dxa" w:w="4819"/>
          </w:tcPr>
          <w:p>
            <w:r>
              <w:t>GET /historique</w:t>
            </w:r>
          </w:p>
        </w:tc>
        <w:tc>
          <w:tcPr>
            <w:tcW w:type="dxa" w:w="4819"/>
          </w:tcPr>
          <w:p>
            <w:r>
              <w:t>Page « Historique » : analyses enregistrées et suppression</w:t>
            </w:r>
          </w:p>
        </w:tc>
      </w:tr>
      <w:tr>
        <w:tc>
          <w:tcPr>
            <w:tcW w:type="dxa" w:w="4819"/>
          </w:tcPr>
          <w:p>
            <w:r>
              <w:t>GET /api</w:t>
            </w:r>
          </w:p>
        </w:tc>
        <w:tc>
          <w:tcPr>
            <w:tcW w:type="dxa" w:w="4819"/>
          </w:tcPr>
          <w:p>
            <w:r>
              <w:t>Page « API JSON » : documentation des routes</w:t>
            </w:r>
          </w:p>
        </w:tc>
      </w:tr>
      <w:tr>
        <w:tc>
          <w:tcPr>
            <w:tcW w:type="dxa" w:w="4819"/>
          </w:tcPr>
          <w:p>
            <w:r>
              <w:t>POST /analyze</w:t>
            </w:r>
          </w:p>
        </w:tc>
        <w:tc>
          <w:tcPr>
            <w:tcW w:type="dxa" w:w="4819"/>
          </w:tcPr>
          <w:p>
            <w:r>
              <w:t>Analyse d'un indicateur ou d'un lot (5 maximum)</w:t>
            </w:r>
          </w:p>
        </w:tc>
      </w:tr>
      <w:tr>
        <w:tc>
          <w:tcPr>
            <w:tcW w:type="dxa" w:w="4819"/>
          </w:tcPr>
          <w:p>
            <w:r>
              <w:t>POST /delete/&amp;lt;id&amp;gt;</w:t>
            </w:r>
          </w:p>
        </w:tc>
        <w:tc>
          <w:tcPr>
            <w:tcW w:type="dxa" w:w="4819"/>
          </w:tcPr>
          <w:p>
            <w:r>
              <w:t>Suppression d'une analyse de l'historique</w:t>
            </w:r>
          </w:p>
        </w:tc>
      </w:tr>
      <w:tr>
        <w:tc>
          <w:tcPr>
            <w:tcW w:type="dxa" w:w="4819"/>
          </w:tcPr>
          <w:p>
            <w:r>
              <w:t>GET /export.csv</w:t>
            </w:r>
          </w:p>
        </w:tc>
        <w:tc>
          <w:tcPr>
            <w:tcW w:type="dxa" w:w="4819"/>
          </w:tcPr>
          <w:p>
            <w:r>
              <w:t>Export CSV de tout l'historique (séparateur point-virgule et BOM, prêt pour Excel)</w:t>
            </w:r>
          </w:p>
        </w:tc>
      </w:tr>
      <w:tr>
        <w:tc>
          <w:tcPr>
            <w:tcW w:type="dxa" w:w="4819"/>
          </w:tcPr>
          <w:p>
            <w:r>
              <w:t>GET /api/analyze?ioc=8.8.8.8&amp;amp;save=0</w:t>
            </w:r>
          </w:p>
        </w:tc>
        <w:tc>
          <w:tcPr>
            <w:tcW w:type="dxa" w:w="4819"/>
          </w:tcPr>
          <w:p>
            <w:r>
              <w:t>Analyse renvoyée en JSON : le moteur est réutilisable par un script ou un futur outil de supervision</w:t>
            </w:r>
          </w:p>
        </w:tc>
      </w:tr>
      <w:tr>
        <w:tc>
          <w:tcPr>
            <w:tcW w:type="dxa" w:w="4819"/>
          </w:tcPr>
          <w:p>
            <w:r>
              <w:t>GET /api/history?limit=25</w:t>
            </w:r>
          </w:p>
        </w:tc>
        <w:tc>
          <w:tcPr>
            <w:tcW w:type="dxa" w:w="4819"/>
          </w:tcPr>
          <w:p>
            <w:r>
              <w:t>Historique renvoyé en JSON</w:t>
            </w:r>
          </w:p>
        </w:tc>
      </w:tr>
      <w:tr>
        <w:tc>
          <w:tcPr>
            <w:tcW w:type="dxa" w:w="4819"/>
          </w:tcPr>
          <w:p>
            <w:r>
              <w:t>GET /health</w:t>
            </w:r>
          </w:p>
        </w:tc>
        <w:tc>
          <w:tcPr>
            <w:tcW w:type="dxa" w:w="4819"/>
          </w:tcPr>
          <w:p>
            <w:r>
              <w:t>Sonde de supervision (réponse volontairement minimale)</w:t>
            </w:r>
          </w:p>
        </w:tc>
      </w:tr>
    </w:tbl>
    <w:p>
      <w:r>
        <w:drawing>
          <wp:inline xmlns:a="http://schemas.openxmlformats.org/drawingml/2006/main" xmlns:pic="http://schemas.openxmlformats.org/drawingml/2006/picture">
            <wp:extent cx="5940000" cy="4125000"/>
            <wp:docPr id="7" name="Picture 7"/>
            <wp:cNvGraphicFramePr>
              <a:graphicFrameLocks noChangeAspect="1"/>
            </wp:cNvGraphicFramePr>
            <a:graphic>
              <a:graphicData uri="http://schemas.openxmlformats.org/drawingml/2006/picture">
                <pic:pic>
                  <pic:nvPicPr>
                    <pic:cNvPr id="0" name="capture-tableau-de-bord.png"/>
                    <pic:cNvPicPr/>
                  </pic:nvPicPr>
                  <pic:blipFill>
                    <a:blip r:embed="rId16"/>
                    <a:stretch>
                      <a:fillRect/>
                    </a:stretch>
                  </pic:blipFill>
                  <pic:spPr>
                    <a:xfrm>
                      <a:off x="0" y="0"/>
                      <a:ext cx="5940000" cy="4125000"/>
                    </a:xfrm>
                    <a:prstGeom prst="rect"/>
                  </pic:spPr>
                </pic:pic>
              </a:graphicData>
            </a:graphic>
          </wp:inline>
        </w:drawing>
      </w:r>
    </w:p>
    <w:p>
      <w:pPr>
        <w:pStyle w:val="Legende"/>
      </w:pPr>
      <w:r>
        <w:t>Figure 6 — Page « Tableau de bord » : indicateurs clés et répartitions calculées depuis la base de données.</w:t>
      </w:r>
    </w:p>
    <w:p>
      <w:r>
        <w:drawing>
          <wp:inline xmlns:a="http://schemas.openxmlformats.org/drawingml/2006/main" xmlns:pic="http://schemas.openxmlformats.org/drawingml/2006/picture">
            <wp:extent cx="5940000" cy="8646000"/>
            <wp:docPr id="8" name="Picture 8"/>
            <wp:cNvGraphicFramePr>
              <a:graphicFrameLocks noChangeAspect="1"/>
            </wp:cNvGraphicFramePr>
            <a:graphic>
              <a:graphicData uri="http://schemas.openxmlformats.org/drawingml/2006/picture">
                <pic:pic>
                  <pic:nvPicPr>
                    <pic:cNvPr id="0" name="capture-historique.png"/>
                    <pic:cNvPicPr/>
                  </pic:nvPicPr>
                  <pic:blipFill>
                    <a:blip r:embed="rId17"/>
                    <a:stretch>
                      <a:fillRect/>
                    </a:stretch>
                  </pic:blipFill>
                  <pic:spPr>
                    <a:xfrm>
                      <a:off x="0" y="0"/>
                      <a:ext cx="5940000" cy="8646000"/>
                    </a:xfrm>
                    <a:prstGeom prst="rect"/>
                  </pic:spPr>
                </pic:pic>
              </a:graphicData>
            </a:graphic>
          </wp:inline>
        </w:drawing>
      </w:r>
    </w:p>
    <w:p>
      <w:pPr>
        <w:pStyle w:val="Legende"/>
      </w:pPr>
      <w:r>
        <w:t>Figure 7 — Page « Historique » : les analyses enregistrées, avec suppression ligne par ligne et export CSV.</w:t>
      </w:r>
    </w:p>
    <w:p>
      <w:r>
        <w:drawing>
          <wp:inline xmlns:a="http://schemas.openxmlformats.org/drawingml/2006/main" xmlns:pic="http://schemas.openxmlformats.org/drawingml/2006/picture">
            <wp:extent cx="5940000" cy="6067875"/>
            <wp:docPr id="9" name="Picture 9"/>
            <wp:cNvGraphicFramePr>
              <a:graphicFrameLocks noChangeAspect="1"/>
            </wp:cNvGraphicFramePr>
            <a:graphic>
              <a:graphicData uri="http://schemas.openxmlformats.org/drawingml/2006/picture">
                <pic:pic>
                  <pic:nvPicPr>
                    <pic:cNvPr id="0" name="capture-api.png"/>
                    <pic:cNvPicPr/>
                  </pic:nvPicPr>
                  <pic:blipFill>
                    <a:blip r:embed="rId18"/>
                    <a:stretch>
                      <a:fillRect/>
                    </a:stretch>
                  </pic:blipFill>
                  <pic:spPr>
                    <a:xfrm>
                      <a:off x="0" y="0"/>
                      <a:ext cx="5940000" cy="6067875"/>
                    </a:xfrm>
                    <a:prstGeom prst="rect"/>
                  </pic:spPr>
                </pic:pic>
              </a:graphicData>
            </a:graphic>
          </wp:inline>
        </w:drawing>
      </w:r>
    </w:p>
    <w:p>
      <w:pPr>
        <w:pStyle w:val="Legende"/>
      </w:pPr>
      <w:r>
        <w:t>Figure 8 — Page « API JSON » : documentation des routes et exemple de réponse.</w:t>
      </w:r>
    </w:p>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r>
        <w:t>La fermeture de la base a ensuite été vérifiée depuis l'extérieur, en rejouant l'attaque avec la clé publique du projet :</w:t>
      </w:r>
    </w:p>
    <w:tbl>
      <w:tblPr>
        <w:tblStyle w:val="TableGrid"/>
        <w:tblW w:type="auto" w:w="0"/>
        <w:tblLook w:firstColumn="1" w:firstRow="1" w:lastColumn="0" w:lastRow="0" w:noHBand="0" w:noVBand="1" w:val="04A0"/>
      </w:tblPr>
      <w:tblGrid>
        <w:gridCol w:w="4819"/>
        <w:gridCol w:w="4819"/>
      </w:tblGrid>
      <w:tr>
        <w:tc>
          <w:tcPr>
            <w:tcW w:type="dxa" w:w="4819"/>
          </w:tcPr>
          <w:p>
            <w:r>
              <w:rPr>
                <w:b/>
              </w:rPr>
              <w:t>Tentative avec la clé publique</w:t>
            </w:r>
          </w:p>
        </w:tc>
        <w:tc>
          <w:tcPr>
            <w:tcW w:type="dxa" w:w="4819"/>
          </w:tcPr>
          <w:p>
            <w:r>
              <w:rPr>
                <w:b/>
              </w:rPr>
              <w:t>Résultat obtenu</w:t>
            </w:r>
          </w:p>
        </w:tc>
      </w:tr>
      <w:tr>
        <w:tc>
          <w:tcPr>
            <w:tcW w:type="dxa" w:w="4819"/>
          </w:tcPr>
          <w:p>
            <w:r>
              <w:t>Lire toute la table</w:t>
            </w:r>
          </w:p>
        </w:tc>
        <w:tc>
          <w:tcPr>
            <w:tcW w:type="dxa" w:w="4819"/>
          </w:tcPr>
          <w:p>
            <w:r>
              <w:t>HTTP 200 — 0 ligne visible</w:t>
            </w:r>
          </w:p>
        </w:tc>
      </w:tr>
      <w:tr>
        <w:tc>
          <w:tcPr>
            <w:tcW w:type="dxa" w:w="4819"/>
          </w:tcPr>
          <w:p>
            <w:r>
              <w:t>Insérer une ligne</w:t>
            </w:r>
          </w:p>
        </w:tc>
        <w:tc>
          <w:tcPr>
            <w:tcW w:type="dxa" w:w="4819"/>
          </w:tcPr>
          <w:p>
            <w:r>
              <w:t>HTTP 401 — new row violates row-level security policy</w:t>
            </w:r>
          </w:p>
        </w:tc>
      </w:tr>
      <w:tr>
        <w:tc>
          <w:tcPr>
            <w:tcW w:type="dxa" w:w="4819"/>
          </w:tcPr>
          <w:p>
            <w:r>
              <w:t>Supprimer toute la table</w:t>
            </w:r>
          </w:p>
        </w:tc>
        <w:tc>
          <w:tcPr>
            <w:tcW w:type="dxa" w:w="4819"/>
          </w:tcPr>
          <w:p>
            <w:r>
              <w:t>HTTP 204, mais 0 ligne affectée</w:t>
            </w:r>
          </w:p>
        </w:tc>
      </w:tr>
      <w:tr>
        <w:tc>
          <w:tcPr>
            <w:tcW w:type="dxa" w:w="4819"/>
          </w:tcPr>
          <w:p>
            <w:r>
              <w:t>Les analyses déjà enregistrées</w:t>
            </w:r>
          </w:p>
        </w:tc>
        <w:tc>
          <w:tcPr>
            <w:tcW w:type="dxa" w:w="4819"/>
          </w:tcPr>
          <w:p>
            <w:r>
              <w:t>Toujours présentes après les trois tentatives</w:t>
            </w:r>
          </w:p>
        </w:tc>
      </w:tr>
    </w:tbl>
    <w:p>
      <w:r>
        <w:t>Pendant ces tentatives, l'application continuait de fonctionner normalement grâce à la clé secrète conservée côté serveur : analyse d'un indicateur, enregistrement, affichage de l'historique et suppression d'une entrée.</w:t>
      </w:r>
    </w:p>
    <w:p>
      <w:pPr>
        <w:pStyle w:val="Heading1"/>
      </w:pPr>
      <w:r>
        <w:t>10. Tests et validation</w:t>
      </w:r>
    </w:p>
    <w:p>
      <w:pPr>
        <w:pStyle w:val="Heading2"/>
      </w:pPr>
      <w:r>
        <w:t>10.1 Tests automatisés</w:t>
      </w:r>
    </w:p>
    <w:p>
      <w:pPr>
        <w:pStyle w:val="ListBullet"/>
      </w:pPr>
      <w:r>
        <w:t>32 tests unitaires (pytest) : détection du type d'IOC, remise en forme, saisie vide, saisie invalide, normalisation, portée des adresses IP (privée, locale, lien-local, réservée), analyse d'une adresse privée sans appel réseau, invitation affichée sur saisie vide, contenu de la page d'accueil, fourchettes de score, verdict de réputation, action recommandée, découpe du mode par lots et statistiques du tableau de bord. Aucun accès réseau ni base de données requis.</w:t>
      </w:r>
    </w:p>
    <w:p>
      <w:pPr>
        <w:pStyle w:val="ListBullet"/>
      </w:pPr>
      <w:r>
        <w:t>6 scénarios d'appel réel aux API externes : 6 réussites sur 6.</w:t>
      </w:r>
    </w:p>
    <w:p>
      <w:pPr>
        <w:pStyle w:val="ListBullet"/>
      </w:pPr>
      <w:r>
        <w:t>55 vérifications de bout en bout sur l'application publique : les quatre pages, en-têtes de sécurité, analyse d'une IP, d'un domaine et d'une empreinte, sécurité email du domaine, mode par lots, détection de doublon, tableau de bord, API JSON, export CSV, écriture et relecture en base, suppression, adresses privées traitées sans erreur, saisie vide invitée au lieu d'être refusée,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