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drawing>
          <wp:inline xmlns:a="http://schemas.openxmlformats.org/drawingml/2006/main" xmlns:pic="http://schemas.openxmlformats.org/drawingml/2006/picture">
            <wp:extent cx="5940000" cy="4125000"/>
            <wp:docPr id="1" name="Picture 1"/>
            <wp:cNvGraphicFramePr>
              <a:graphicFrameLocks noChangeAspect="1"/>
            </wp:cNvGraphicFramePr>
            <a:graphic>
              <a:graphicData uri="http://schemas.openxmlformats.org/drawingml/2006/picture">
                <pic:pic>
                  <pic:nvPicPr>
                    <pic:cNvPr id="0" name="capture-accueil.png"/>
                    <pic:cNvPicPr/>
                  </pic:nvPicPr>
                  <pic:blipFill>
                    <a:blip r:embed="rId10"/>
                    <a:stretch>
                      <a:fillRect/>
                    </a:stretch>
                  </pic:blipFill>
                  <pic:spPr>
                    <a:xfrm>
                      <a:off x="0" y="0"/>
                      <a:ext cx="5940000" cy="4125000"/>
                    </a:xfrm>
                    <a:prstGeom prst="rect"/>
                  </pic:spPr>
                </pic:pic>
              </a:graphicData>
            </a:graphic>
          </wp:inline>
        </w:drawing>
      </w:r>
    </w:p>
    <w:p>
      <w:pPr>
        <w:pStyle w:val="Legende"/>
      </w:pPr>
      <w:r>
        <w:t>Figure 1 — Formulaire de saisie et historique des analyses.</w:t>
      </w:r>
    </w:p>
    <w:p>
      <w:r>
        <w:drawing>
          <wp:inline xmlns:a="http://schemas.openxmlformats.org/drawingml/2006/main" xmlns:pic="http://schemas.openxmlformats.org/drawingml/2006/picture">
            <wp:extent cx="5940000" cy="7437375"/>
            <wp:docPr id="2" name="Picture 2"/>
            <wp:cNvGraphicFramePr>
              <a:graphicFrameLocks noChangeAspect="1"/>
            </wp:cNvGraphicFramePr>
            <a:graphic>
              <a:graphicData uri="http://schemas.openxmlformats.org/drawingml/2006/picture">
                <pic:pic>
                  <pic:nvPicPr>
                    <pic:cNvPr id="0" name="capture-rapport.png"/>
                    <pic:cNvPicPr/>
                  </pic:nvPicPr>
                  <pic:blipFill>
                    <a:blip r:embed="rId11"/>
                    <a:stretch>
                      <a:fillRect/>
                    </a:stretch>
                  </pic:blipFill>
                  <pic:spPr>
                    <a:xfrm>
                      <a:off x="0" y="0"/>
                      <a:ext cx="5940000" cy="7437375"/>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9108000"/>
            <wp:docPr id="3" name="Picture 3"/>
            <wp:cNvGraphicFramePr>
              <a:graphicFrameLocks noChangeAspect="1"/>
            </wp:cNvGraphicFramePr>
            <a:graphic>
              <a:graphicData uri="http://schemas.openxmlformats.org/drawingml/2006/picture">
                <pic:pic>
                  <pic:nvPicPr>
                    <pic:cNvPr id="0" name="capture-json.png"/>
                    <pic:cNvPicPr/>
                  </pic:nvPicPr>
                  <pic:blipFill>
                    <a:blip r:embed="rId12"/>
                    <a:stretch>
                      <a:fillRect/>
                    </a:stretch>
                  </pic:blipFill>
                  <pic:spPr>
                    <a:xfrm>
                      <a:off x="0" y="0"/>
                      <a:ext cx="5940000" cy="9108000"/>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7342500"/>
            <wp:docPr id="4" name="Picture 4"/>
            <wp:cNvGraphicFramePr>
              <a:graphicFrameLocks noChangeAspect="1"/>
            </wp:cNvGraphicFramePr>
            <a:graphic>
              <a:graphicData uri="http://schemas.openxmlformats.org/drawingml/2006/picture">
                <pic:pic>
                  <pic:nvPicPr>
                    <pic:cNvPr id="0" name="capture-domaine.png"/>
                    <pic:cNvPicPr/>
                  </pic:nvPicPr>
                  <pic:blipFill>
                    <a:blip r:embed="rId13"/>
                    <a:stretch>
                      <a:fillRect/>
                    </a:stretch>
                  </pic:blipFill>
                  <pic:spPr>
                    <a:xfrm>
                      <a:off x="0" y="0"/>
                      <a:ext cx="5940000" cy="7342500"/>
                    </a:xfrm>
                    <a:prstGeom prst="rect"/>
                  </pic:spPr>
                </pic:pic>
              </a:graphicData>
            </a:graphic>
          </wp:inline>
        </w:drawing>
      </w:r>
    </w:p>
    <w:p>
      <w:pPr>
        <w:pStyle w:val="Legende"/>
      </w:pPr>
      <w:r>
        <w:t>Figure 4 — Analyse d'un nom de domaine (enregistrement RDAP et résolution DNS).</w:t>
      </w:r>
    </w:p>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r>
        <w:t>La fermeture de la base a ensuite été vérifiée depuis l'extérieur, en rejouant l'attaque avec la clé publique du projet :</w:t>
      </w:r>
    </w:p>
    <w:tbl>
      <w:tblPr>
        <w:tblStyle w:val="TableGrid"/>
        <w:tblW w:type="auto" w:w="0"/>
        <w:tblLook w:firstColumn="1" w:firstRow="1" w:lastColumn="0" w:lastRow="0" w:noHBand="0" w:noVBand="1" w:val="04A0"/>
      </w:tblPr>
      <w:tblGrid>
        <w:gridCol w:w="4819"/>
        <w:gridCol w:w="4819"/>
      </w:tblGrid>
      <w:tr>
        <w:tc>
          <w:tcPr>
            <w:tcW w:type="dxa" w:w="4819"/>
          </w:tcPr>
          <w:p>
            <w:r>
              <w:rPr>
                <w:b/>
              </w:rPr>
              <w:t>Tentative avec la clé publique</w:t>
            </w:r>
          </w:p>
        </w:tc>
        <w:tc>
          <w:tcPr>
            <w:tcW w:type="dxa" w:w="4819"/>
          </w:tcPr>
          <w:p>
            <w:r>
              <w:rPr>
                <w:b/>
              </w:rPr>
              <w:t>Résultat obtenu</w:t>
            </w:r>
          </w:p>
        </w:tc>
      </w:tr>
      <w:tr>
        <w:tc>
          <w:tcPr>
            <w:tcW w:type="dxa" w:w="4819"/>
          </w:tcPr>
          <w:p>
            <w:r>
              <w:t>Lire toute la table</w:t>
            </w:r>
          </w:p>
        </w:tc>
        <w:tc>
          <w:tcPr>
            <w:tcW w:type="dxa" w:w="4819"/>
          </w:tcPr>
          <w:p>
            <w:r>
              <w:t>HTTP 200 — 0 ligne visible</w:t>
            </w:r>
          </w:p>
        </w:tc>
      </w:tr>
      <w:tr>
        <w:tc>
          <w:tcPr>
            <w:tcW w:type="dxa" w:w="4819"/>
          </w:tcPr>
          <w:p>
            <w:r>
              <w:t>Insérer une ligne</w:t>
            </w:r>
          </w:p>
        </w:tc>
        <w:tc>
          <w:tcPr>
            <w:tcW w:type="dxa" w:w="4819"/>
          </w:tcPr>
          <w:p>
            <w:r>
              <w:t>HTTP 401 — new row violates row-level security policy</w:t>
            </w:r>
          </w:p>
        </w:tc>
      </w:tr>
      <w:tr>
        <w:tc>
          <w:tcPr>
            <w:tcW w:type="dxa" w:w="4819"/>
          </w:tcPr>
          <w:p>
            <w:r>
              <w:t>Supprimer toute la table</w:t>
            </w:r>
          </w:p>
        </w:tc>
        <w:tc>
          <w:tcPr>
            <w:tcW w:type="dxa" w:w="4819"/>
          </w:tcPr>
          <w:p>
            <w:r>
              <w:t>HTTP 204, mais 0 ligne affectée</w:t>
            </w:r>
          </w:p>
        </w:tc>
      </w:tr>
      <w:tr>
        <w:tc>
          <w:tcPr>
            <w:tcW w:type="dxa" w:w="4819"/>
          </w:tcPr>
          <w:p>
            <w:r>
              <w:t>Les analyses déjà enregistrées</w:t>
            </w:r>
          </w:p>
        </w:tc>
        <w:tc>
          <w:tcPr>
            <w:tcW w:type="dxa" w:w="4819"/>
          </w:tcPr>
          <w:p>
            <w:r>
              <w:t>Toujours présentes après les trois tentatives</w:t>
            </w:r>
          </w:p>
        </w:tc>
      </w:tr>
    </w:tbl>
    <w:p>
      <w:r>
        <w:t>Pendant ces tentatives, l'application continuait de fonctionner normalement grâce à la clé secrète conservée côté serveur : analyse d'un indicateur, enregistrement, affichage de l'historique et suppression d'une entrée.</w:t>
      </w:r>
    </w:p>
    <w:p>
      <w:pPr>
        <w:pStyle w:val="Heading1"/>
      </w:pPr>
      <w:r>
        <w:t>10. Tests et validation</w:t>
      </w:r>
    </w:p>
    <w:p>
      <w:pPr>
        <w:pStyle w:val="Heading2"/>
      </w:pPr>
      <w:r>
        <w:t>10.1 Tests automatisés</w:t>
      </w:r>
    </w:p>
    <w:p>
      <w:pPr>
        <w:pStyle w:val="ListBullet"/>
      </w:pPr>
      <w:r>
        <w:t>16 tests unitaires (pytest) : détection du type d'IOC, remise en forme, saisie vide, saisie invalide, normalisation, fourchettes de score, verdict de réputation et bornage 0-100. Aucun accès réseau ni base de données requis.</w:t>
      </w:r>
    </w:p>
    <w:p>
      <w:pPr>
        <w:pStyle w:val="ListBullet"/>
      </w:pPr>
      <w:r>
        <w:t>6 scénarios d'appel réel aux API externes : 6 réussites sur 6.</w:t>
      </w:r>
    </w:p>
    <w:p>
      <w:pPr>
        <w:pStyle w:val="ListBullet"/>
      </w:pPr>
      <w:r>
        <w:t>31 vérifications de bout en bout sur l'application publique : pages, en-têtes de sécurité, analyse d'une IP, d'un domaine et d'une empreinte, verdict de réputation, écriture puis relecture en base, suppression,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4"/>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