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1EA" w:rsidRPr="00DB7463" w:rsidRDefault="009366B4" w:rsidP="00C969C5">
      <w:pPr>
        <w:pStyle w:val="Title"/>
      </w:pPr>
      <w:r w:rsidRPr="00DB7463">
        <w:t xml:space="preserve">Projekt z przedmiotu </w:t>
      </w:r>
      <w:r w:rsidR="003D1C61" w:rsidRPr="00DB7463">
        <w:t>WDWR</w:t>
      </w:r>
    </w:p>
    <w:p w:rsidR="00D53453" w:rsidRDefault="003D1C61" w:rsidP="00D53453">
      <w:pPr>
        <w:pStyle w:val="Heading2"/>
        <w:numPr>
          <w:ilvl w:val="0"/>
          <w:numId w:val="1"/>
        </w:numPr>
      </w:pPr>
      <w:r w:rsidRPr="00DB7463">
        <w:t>Dwukryterialny model kosztu i ryzyka</w:t>
      </w:r>
    </w:p>
    <w:p w:rsidR="00C969C5" w:rsidRPr="00C969C5" w:rsidRDefault="00C969C5" w:rsidP="00C969C5">
      <w:pPr>
        <w:spacing w:after="0"/>
      </w:pPr>
    </w:p>
    <w:p w:rsidR="00D53453" w:rsidRPr="00DB7463" w:rsidRDefault="00D53453" w:rsidP="0027617A">
      <w:pPr>
        <w:jc w:val="both"/>
      </w:pPr>
      <w:r w:rsidRPr="00DB7463">
        <w:t>Model zakłada, że przedsiębiorstwo posiada 2 fabryki F1 i F2 oraz 4 magazyny M1, M2, M3, M4. Firma sprzedaje swoje produkty do czterech klientów K1, K2, K3, K4. Klienci mogą być zaopatrywani z magazynów, bądź bezpośrednio z fabryk.</w:t>
      </w:r>
    </w:p>
    <w:p w:rsidR="00C36006" w:rsidRPr="00DB7463" w:rsidRDefault="00BA279B" w:rsidP="00C36006">
      <w:r w:rsidRPr="00DB7463">
        <w:t>Ograniczenia modelu:</w:t>
      </w:r>
    </w:p>
    <w:p w:rsidR="00BA279B" w:rsidRPr="00DB7463" w:rsidRDefault="00BA279B" w:rsidP="00BA279B">
      <w:pPr>
        <w:pStyle w:val="ListParagraph"/>
        <w:numPr>
          <w:ilvl w:val="0"/>
          <w:numId w:val="2"/>
        </w:numPr>
      </w:pPr>
      <w:r w:rsidRPr="00DB7463">
        <w:t>Możliwości produkcyjne dla fabryk F1 oraz F2 wynoszą kolejno 150 oraz 200 tys. ton.</w:t>
      </w:r>
    </w:p>
    <w:p w:rsidR="00BA279B" w:rsidRPr="00DB7463" w:rsidRDefault="00BA279B" w:rsidP="00BA279B">
      <w:pPr>
        <w:pStyle w:val="ListParagraph"/>
        <w:numPr>
          <w:ilvl w:val="0"/>
          <w:numId w:val="2"/>
        </w:numPr>
      </w:pPr>
      <w:r w:rsidRPr="00DB7463">
        <w:t>Limity obsługi towaru przez magazyny M1, M2, M3, M4 wynoszą kolejno: 70, 50, 100 oraz 40 tys. ton.</w:t>
      </w:r>
    </w:p>
    <w:p w:rsidR="0027617A" w:rsidRDefault="00BA279B" w:rsidP="0027617A">
      <w:pPr>
        <w:pStyle w:val="ListParagraph"/>
        <w:numPr>
          <w:ilvl w:val="0"/>
          <w:numId w:val="2"/>
        </w:numPr>
      </w:pPr>
      <w:r w:rsidRPr="00DB7463">
        <w:t>Zapotrzebowania klientów K1, K2, K3, K4 kształtują się następująco: 70, 50, 60, 35.</w:t>
      </w:r>
    </w:p>
    <w:p w:rsidR="0027617A" w:rsidRDefault="0027617A" w:rsidP="0027617A"/>
    <w:p w:rsidR="0034767D" w:rsidRPr="000533C3" w:rsidRDefault="0034767D" w:rsidP="0034767D">
      <w:pPr>
        <w:spacing w:after="0"/>
        <w:rPr>
          <w:rFonts w:eastAsiaTheme="minorEastAsia"/>
        </w:rPr>
      </w:pPr>
      <w:r>
        <w:t xml:space="preserve">Ograniczenia nierównościowe mają formę </w:t>
      </w:r>
      <m:oMath>
        <m:r>
          <w:rPr>
            <w:rFonts w:ascii="Cambria Math" w:hAnsi="Cambria Math"/>
          </w:rPr>
          <m:t>Ax≤b</m:t>
        </m:r>
      </m:oMath>
      <w:r>
        <w:rPr>
          <w:rFonts w:eastAsiaTheme="minorEastAsia"/>
        </w:rPr>
        <w:t>, gdzie:</w:t>
      </w:r>
    </w:p>
    <w:p w:rsidR="0034767D" w:rsidRDefault="0034767D" w:rsidP="0034767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6+n, n</m:t>
            </m:r>
          </m:sub>
        </m:sSub>
      </m:oMath>
      <w:r>
        <w:rPr>
          <w:rFonts w:eastAsiaTheme="minorEastAsia"/>
        </w:rPr>
        <w:t xml:space="preserve"> - macierz zawierająca współczynniki ograniczeń nierównościowych, 2 ograniczenia dla fabryk, 4 dla magazynów oraz po jednej dla każdej zmiennej wejściowej (muszą być większe od 0).</w:t>
      </w:r>
    </w:p>
    <w:p w:rsidR="0034767D" w:rsidRDefault="0034767D" w:rsidP="0034767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6+n</m:t>
            </m:r>
          </m:sub>
        </m:sSub>
      </m:oMath>
      <w:r>
        <w:rPr>
          <w:rFonts w:eastAsiaTheme="minorEastAsia"/>
        </w:rPr>
        <w:t xml:space="preserve"> - wektor zawierający wyrazy wolne ograniczeń nierównościowych</w:t>
      </w:r>
    </w:p>
    <w:p w:rsidR="0034767D" w:rsidRDefault="0034767D" w:rsidP="0034767D">
      <w:pPr>
        <w:rPr>
          <w:rFonts w:eastAsiaTheme="minorEastAsia"/>
        </w:rPr>
      </w:pPr>
    </w:p>
    <w:p w:rsidR="0034767D" w:rsidRDefault="0034767D" w:rsidP="0034767D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Ograniczenia równościowe mają formę </w:t>
      </w:r>
      <m:oMath>
        <m:r>
          <w:rPr>
            <w:rFonts w:ascii="Cambria Math" w:hAnsi="Cambria Math"/>
          </w:rPr>
          <m:t>Ax=b</m:t>
        </m:r>
      </m:oMath>
      <w:r>
        <w:rPr>
          <w:rFonts w:eastAsiaTheme="minorEastAsia"/>
        </w:rPr>
        <w:t>, gdzie:</w:t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4, n</m:t>
            </m:r>
          </m:sub>
        </m:sSub>
      </m:oMath>
      <w:r>
        <w:rPr>
          <w:rFonts w:eastAsiaTheme="minorEastAsia"/>
        </w:rPr>
        <w:t xml:space="preserve"> - macierz zawierająca współczynniki ograniczeń równościowych, po jednym ograniczeniu dla każdego klienta.</w:t>
      </w:r>
    </w:p>
    <w:p w:rsidR="0034767D" w:rsidRDefault="0034767D" w:rsidP="0034767D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- wektor zawierający wyrazy wolne ograniczeń równościowych</w:t>
      </w:r>
    </w:p>
    <w:p w:rsidR="0034767D" w:rsidRPr="00DB7463" w:rsidRDefault="0034767D" w:rsidP="0027617A"/>
    <w:p w:rsidR="00BA279B" w:rsidRPr="00DB7463" w:rsidRDefault="00BA279B" w:rsidP="00BA279B">
      <w:pPr>
        <w:pStyle w:val="ListParagraph"/>
      </w:pPr>
    </w:p>
    <w:p w:rsidR="00BA279B" w:rsidRPr="00DB7463" w:rsidRDefault="00BA279B" w:rsidP="00BA279B">
      <w:pPr>
        <w:pStyle w:val="ListParagraph"/>
      </w:pPr>
    </w:p>
    <w:p w:rsidR="00BA279B" w:rsidRPr="00DB7463" w:rsidRDefault="00BA279B" w:rsidP="00BA279B">
      <w:pPr>
        <w:pStyle w:val="ListParagraph"/>
        <w:sectPr w:rsidR="00BA279B" w:rsidRPr="00DB7463" w:rsidSect="001E71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D1C61" w:rsidRPr="00DB7463" w:rsidRDefault="003D1C61" w:rsidP="00C82E9D">
      <w:pPr>
        <w:pStyle w:val="Heading2"/>
        <w:numPr>
          <w:ilvl w:val="0"/>
          <w:numId w:val="1"/>
        </w:numPr>
      </w:pPr>
      <w:r w:rsidRPr="00DB7463">
        <w:lastRenderedPageBreak/>
        <w:t>Obraz zbioru rozwiązań efektywnych</w:t>
      </w:r>
      <w:r w:rsidR="00C82E9D" w:rsidRPr="00DB7463">
        <w:t xml:space="preserve"> oraz rozwiązania efektywne minimalnego ryzyka i minimalnego kosztu</w:t>
      </w:r>
    </w:p>
    <w:p w:rsidR="00B03535" w:rsidRPr="00DB7463" w:rsidRDefault="00A2513C" w:rsidP="00B03535">
      <w:pPr>
        <w:keepNext/>
      </w:pPr>
      <w:r w:rsidRPr="00DB7463">
        <w:rPr>
          <w:noProof/>
          <w:lang w:eastAsia="pl-PL"/>
        </w:rPr>
        <w:drawing>
          <wp:inline distT="0" distB="0" distL="0" distR="0">
            <wp:extent cx="8896350" cy="4238625"/>
            <wp:effectExtent l="19050" t="0" r="0" b="0"/>
            <wp:docPr id="5" name="Picture 4" descr="C:\Users\Tomek\Downloads\efektyw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mek\Downloads\efektywn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B35" w:rsidRPr="00DB7463" w:rsidRDefault="00B03535" w:rsidP="00AD6256">
      <w:pPr>
        <w:pStyle w:val="Caption"/>
        <w:sectPr w:rsidR="008D0B35" w:rsidRPr="00DB7463" w:rsidSect="008D0B35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DB7463">
        <w:t>Rysunek 2</w:t>
      </w:r>
      <w:r w:rsidRPr="00DB7463">
        <w:noBreakHyphen/>
      </w:r>
      <w:fldSimple w:instr=" SEQ Rysunek \* ARABIC \s 1 ">
        <w:r w:rsidRPr="00DB7463">
          <w:rPr>
            <w:noProof/>
          </w:rPr>
          <w:t>1</w:t>
        </w:r>
      </w:fldSimple>
      <w:r w:rsidR="00AD6256" w:rsidRPr="00DB7463">
        <w:t xml:space="preserve"> Obraz zbioru </w:t>
      </w:r>
      <w:r w:rsidR="00DB7463" w:rsidRPr="00DB7463">
        <w:t>rozwiązań</w:t>
      </w:r>
      <w:r w:rsidR="00AD6256" w:rsidRPr="00DB7463">
        <w:t xml:space="preserve"> efektywnych</w:t>
      </w:r>
    </w:p>
    <w:p w:rsidR="003D1C61" w:rsidRPr="00DB7463" w:rsidRDefault="003D1C61" w:rsidP="003D1C61">
      <w:pPr>
        <w:pStyle w:val="Heading2"/>
        <w:numPr>
          <w:ilvl w:val="0"/>
          <w:numId w:val="1"/>
        </w:numPr>
      </w:pPr>
      <w:r w:rsidRPr="00DB7463">
        <w:lastRenderedPageBreak/>
        <w:t>Dominacja stochastyczna</w:t>
      </w:r>
    </w:p>
    <w:p w:rsidR="003D1C61" w:rsidRPr="00DB7463" w:rsidRDefault="003D1C61" w:rsidP="003D1C61">
      <w:r w:rsidRPr="00DB7463">
        <w:t>Dla wybranych trzech rozwiązań efektywny</w:t>
      </w:r>
      <w:r w:rsidR="00D04765" w:rsidRPr="00DB7463">
        <w:t xml:space="preserve">ch </w:t>
      </w:r>
      <w:r w:rsidR="001B7121" w:rsidRPr="00DB7463">
        <w:t>(</w:t>
      </w:r>
      <w:r w:rsidR="009673E3" w:rsidRPr="00DB7463">
        <w:fldChar w:fldCharType="begin"/>
      </w:r>
      <w:r w:rsidR="00DB06DB" w:rsidRPr="00DB7463">
        <w:instrText xml:space="preserve"> REF _Ref356839349 \h </w:instrText>
      </w:r>
      <w:r w:rsidR="009673E3" w:rsidRPr="00DB7463">
        <w:fldChar w:fldCharType="separate"/>
      </w:r>
      <w:r w:rsidR="00DB06DB" w:rsidRPr="00DB7463">
        <w:t xml:space="preserve">Tabela </w:t>
      </w:r>
      <w:r w:rsidR="00DB06DB" w:rsidRPr="00DB7463">
        <w:rPr>
          <w:noProof/>
        </w:rPr>
        <w:t>4</w:t>
      </w:r>
      <w:r w:rsidR="00DB06DB" w:rsidRPr="00DB7463">
        <w:noBreakHyphen/>
      </w:r>
      <w:r w:rsidR="00DB06DB" w:rsidRPr="00DB7463">
        <w:rPr>
          <w:noProof/>
        </w:rPr>
        <w:t>1</w:t>
      </w:r>
      <w:r w:rsidR="009673E3" w:rsidRPr="00DB7463">
        <w:fldChar w:fldCharType="end"/>
      </w:r>
      <w:r w:rsidR="001B7121" w:rsidRPr="00DB7463">
        <w:t>)</w:t>
      </w:r>
      <w:r w:rsidRPr="00DB7463">
        <w:t xml:space="preserve"> zbadaliśmy relację dominacji </w:t>
      </w:r>
      <w:r w:rsidR="00B46E74" w:rsidRPr="00DB7463">
        <w:t>stochastycznej pierwszego rzędu</w:t>
      </w:r>
      <w:r w:rsidRPr="00DB7463">
        <w:t>.</w:t>
      </w:r>
    </w:p>
    <w:p w:rsidR="00666F9B" w:rsidRPr="00DB7463" w:rsidRDefault="00666F9B" w:rsidP="003D1C61"/>
    <w:tbl>
      <w:tblPr>
        <w:tblW w:w="4580" w:type="dxa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916"/>
        <w:gridCol w:w="916"/>
        <w:gridCol w:w="916"/>
        <w:gridCol w:w="916"/>
        <w:gridCol w:w="916"/>
      </w:tblGrid>
      <w:tr w:rsidR="003D1C61" w:rsidRPr="00DB7463" w:rsidTr="00967D8C">
        <w:trPr>
          <w:trHeight w:val="300"/>
          <w:jc w:val="center"/>
        </w:trPr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DB7463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Ryzyko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DB7463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Koszt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0,1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0,7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0,2</w:t>
            </w:r>
          </w:p>
        </w:tc>
      </w:tr>
      <w:tr w:rsidR="003D1C61" w:rsidRPr="00DB7463" w:rsidTr="00967D8C">
        <w:trPr>
          <w:trHeight w:val="300"/>
          <w:jc w:val="center"/>
        </w:trPr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138,181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238,181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376,362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185,569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353,234</w:t>
            </w:r>
          </w:p>
        </w:tc>
      </w:tr>
      <w:tr w:rsidR="003D1C61" w:rsidRPr="00DB7463" w:rsidTr="00967D8C">
        <w:trPr>
          <w:trHeight w:val="300"/>
          <w:jc w:val="center"/>
        </w:trPr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94,3989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244,399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338,798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208,149</w:t>
            </w:r>
          </w:p>
        </w:tc>
        <w:tc>
          <w:tcPr>
            <w:tcW w:w="916" w:type="dxa"/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324,075</w:t>
            </w:r>
          </w:p>
        </w:tc>
      </w:tr>
      <w:tr w:rsidR="003D1C61" w:rsidRPr="00DB7463" w:rsidTr="00967D8C">
        <w:trPr>
          <w:trHeight w:val="300"/>
          <w:jc w:val="center"/>
        </w:trPr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57,8741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257,874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315,748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238,291</w:t>
            </w:r>
          </w:p>
        </w:tc>
        <w:tc>
          <w:tcPr>
            <w:tcW w:w="91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1C61" w:rsidRPr="00DB7463" w:rsidRDefault="003D1C61" w:rsidP="00DE74F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B7463">
              <w:rPr>
                <w:rFonts w:ascii="Calibri" w:eastAsia="Times New Roman" w:hAnsi="Calibri" w:cs="Times New Roman"/>
                <w:color w:val="000000"/>
                <w:lang w:eastAsia="pl-PL"/>
              </w:rPr>
              <w:t>297,479</w:t>
            </w:r>
          </w:p>
        </w:tc>
      </w:tr>
    </w:tbl>
    <w:p w:rsidR="003D1C61" w:rsidRPr="00DB7463" w:rsidRDefault="003D1C61" w:rsidP="00DE74F6">
      <w:pPr>
        <w:pStyle w:val="Caption"/>
        <w:jc w:val="center"/>
      </w:pPr>
      <w:bookmarkStart w:id="0" w:name="_Ref356839349"/>
      <w:r w:rsidRPr="00DB7463">
        <w:t xml:space="preserve">Tabela </w:t>
      </w:r>
      <w:fldSimple w:instr=" STYLEREF 2 \s ">
        <w:r w:rsidR="00924BF7" w:rsidRPr="00DB7463">
          <w:rPr>
            <w:noProof/>
          </w:rPr>
          <w:t>4</w:t>
        </w:r>
      </w:fldSimple>
      <w:r w:rsidR="00924BF7" w:rsidRPr="00DB7463">
        <w:noBreakHyphen/>
      </w:r>
      <w:fldSimple w:instr=" SEQ Tabela \* ARABIC \s 2 ">
        <w:r w:rsidR="00924BF7" w:rsidRPr="00DB7463">
          <w:rPr>
            <w:noProof/>
          </w:rPr>
          <w:t>1</w:t>
        </w:r>
      </w:fldSimple>
      <w:bookmarkEnd w:id="0"/>
      <w:r w:rsidRPr="00DB7463">
        <w:t xml:space="preserve"> Tabela przedstawiająca trzy wybrane rozwiązania efektywne</w:t>
      </w:r>
    </w:p>
    <w:p w:rsidR="00DE74F6" w:rsidRPr="00DB7463" w:rsidRDefault="00DE74F6" w:rsidP="00DE74F6"/>
    <w:p w:rsidR="001B7121" w:rsidRPr="00DB7463" w:rsidRDefault="00924BF7" w:rsidP="00DE74F6">
      <w:pPr>
        <w:keepNext/>
        <w:jc w:val="center"/>
      </w:pPr>
      <w:r w:rsidRPr="00DB7463">
        <w:rPr>
          <w:noProof/>
          <w:lang w:eastAsia="pl-PL"/>
        </w:rPr>
        <w:drawing>
          <wp:inline distT="0" distB="0" distL="0" distR="0">
            <wp:extent cx="5760720" cy="2952017"/>
            <wp:effectExtent l="19050" t="0" r="11430" b="733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D1C61" w:rsidRPr="00DB7463" w:rsidRDefault="001B7121" w:rsidP="00DE74F6">
      <w:pPr>
        <w:pStyle w:val="Caption"/>
        <w:jc w:val="center"/>
      </w:pPr>
      <w:bookmarkStart w:id="1" w:name="_Ref356839479"/>
      <w:r w:rsidRPr="00DB7463">
        <w:t>Rysunek 4</w:t>
      </w:r>
      <w:r w:rsidRPr="00DB7463">
        <w:noBreakHyphen/>
      </w:r>
      <w:fldSimple w:instr=" STYLEREF 1 \s ">
        <w:r w:rsidR="00B03535" w:rsidRPr="00DB7463">
          <w:rPr>
            <w:noProof/>
          </w:rPr>
          <w:t>0</w:t>
        </w:r>
      </w:fldSimple>
      <w:r w:rsidR="00B03535" w:rsidRPr="00DB7463">
        <w:noBreakHyphen/>
      </w:r>
      <w:fldSimple w:instr=" SEQ Rysunek \* ARABIC \s 1 ">
        <w:r w:rsidR="00B03535" w:rsidRPr="00DB7463">
          <w:rPr>
            <w:noProof/>
          </w:rPr>
          <w:t>2</w:t>
        </w:r>
      </w:fldSimple>
      <w:bookmarkEnd w:id="1"/>
      <w:r w:rsidRPr="00DB7463">
        <w:t xml:space="preserve"> Wykres przedstawiający dominację stochastyczną pierwszego rzędu</w:t>
      </w:r>
    </w:p>
    <w:p w:rsidR="00DE74F6" w:rsidRPr="00DB7463" w:rsidRDefault="00DE74F6" w:rsidP="00967D8C">
      <w:pPr>
        <w:jc w:val="both"/>
      </w:pPr>
    </w:p>
    <w:p w:rsidR="001B7121" w:rsidRPr="00DB7463" w:rsidRDefault="00B46E74" w:rsidP="00967D8C">
      <w:pPr>
        <w:jc w:val="both"/>
      </w:pPr>
      <w:r w:rsidRPr="00DB7463">
        <w:t xml:space="preserve">Z wykresu </w:t>
      </w:r>
      <w:r w:rsidR="001B7121" w:rsidRPr="00DB7463">
        <w:t>(</w:t>
      </w:r>
      <w:fldSimple w:instr=" REF _Ref356839479 \h  \* MERGEFORMAT ">
        <w:r w:rsidR="001B7121" w:rsidRPr="00DB7463">
          <w:t>Rysunek 4</w:t>
        </w:r>
        <w:r w:rsidR="001B7121" w:rsidRPr="00DB7463">
          <w:noBreakHyphen/>
        </w:r>
        <w:r w:rsidR="001B7121" w:rsidRPr="00DB7463">
          <w:rPr>
            <w:noProof/>
          </w:rPr>
          <w:t>1</w:t>
        </w:r>
      </w:fldSimple>
      <w:r w:rsidR="001B7121" w:rsidRPr="00DB7463">
        <w:t xml:space="preserve">) </w:t>
      </w:r>
      <w:r w:rsidRPr="00DB7463">
        <w:t xml:space="preserve">jasno wynika, że dla wybranych rozwiązań nie zachodzi dominacja pierwszego rzędu. Zaobserwowaliśmy miejscową dominację pierwszego rozwiązania dla wartości kosztu poniżej 208. </w:t>
      </w:r>
      <w:r w:rsidR="009B4E65">
        <w:t xml:space="preserve">W przedziale </w:t>
      </w:r>
      <w:r w:rsidR="009B4E65" w:rsidRPr="00DB7463">
        <w:t>238 – 297</w:t>
      </w:r>
      <w:r w:rsidR="009B4E65">
        <w:t xml:space="preserve"> dla wszystkich rozwiązań wartość prawdopodobieństwa jest taka sama. </w:t>
      </w:r>
      <w:r w:rsidRPr="00DB7463">
        <w:t xml:space="preserve">Powyżej wartości kosztu 297 przeważa trzecie rozwiązanie. </w:t>
      </w:r>
    </w:p>
    <w:sectPr w:rsidR="001B7121" w:rsidRPr="00DB7463" w:rsidSect="001E71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A5948"/>
    <w:multiLevelType w:val="hybridMultilevel"/>
    <w:tmpl w:val="6AE8B35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1A158E"/>
    <w:multiLevelType w:val="hybridMultilevel"/>
    <w:tmpl w:val="2208E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D1C61"/>
    <w:rsid w:val="001B7121"/>
    <w:rsid w:val="001E71EA"/>
    <w:rsid w:val="0027617A"/>
    <w:rsid w:val="0034767D"/>
    <w:rsid w:val="003D1C61"/>
    <w:rsid w:val="00540B06"/>
    <w:rsid w:val="00666F9B"/>
    <w:rsid w:val="008039EA"/>
    <w:rsid w:val="0086089B"/>
    <w:rsid w:val="008D0B35"/>
    <w:rsid w:val="00924BF7"/>
    <w:rsid w:val="009366B4"/>
    <w:rsid w:val="009673E3"/>
    <w:rsid w:val="00967D8C"/>
    <w:rsid w:val="009923FC"/>
    <w:rsid w:val="009B4E65"/>
    <w:rsid w:val="00A2513C"/>
    <w:rsid w:val="00A60106"/>
    <w:rsid w:val="00AD6256"/>
    <w:rsid w:val="00B03535"/>
    <w:rsid w:val="00B46E74"/>
    <w:rsid w:val="00BA279B"/>
    <w:rsid w:val="00C36006"/>
    <w:rsid w:val="00C82E9D"/>
    <w:rsid w:val="00C969C5"/>
    <w:rsid w:val="00D04765"/>
    <w:rsid w:val="00D21322"/>
    <w:rsid w:val="00D53453"/>
    <w:rsid w:val="00DB06DB"/>
    <w:rsid w:val="00DB7463"/>
    <w:rsid w:val="00DE74F6"/>
    <w:rsid w:val="00E42489"/>
    <w:rsid w:val="00FD6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1EA"/>
  </w:style>
  <w:style w:type="paragraph" w:styleId="Heading1">
    <w:name w:val="heading 1"/>
    <w:basedOn w:val="Normal"/>
    <w:next w:val="Normal"/>
    <w:link w:val="Heading1Char"/>
    <w:uiPriority w:val="9"/>
    <w:qFormat/>
    <w:rsid w:val="003D1C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D1C61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1C6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27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96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6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C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D6C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omek\Desktop\WDWR\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scatterChart>
        <c:scatterStyle val="lineMarker"/>
        <c:ser>
          <c:idx val="0"/>
          <c:order val="0"/>
          <c:tx>
            <c:v>1</c:v>
          </c:tx>
          <c:xVal>
            <c:numRef>
              <c:f>Sheet1!$L$5:$L$12</c:f>
              <c:numCache>
                <c:formatCode>General</c:formatCode>
                <c:ptCount val="8"/>
                <c:pt idx="0">
                  <c:v>100</c:v>
                </c:pt>
                <c:pt idx="1">
                  <c:v>185.56880000000001</c:v>
                </c:pt>
                <c:pt idx="2">
                  <c:v>185.56880000000001</c:v>
                </c:pt>
                <c:pt idx="3">
                  <c:v>353.23389999999984</c:v>
                </c:pt>
                <c:pt idx="4">
                  <c:v>353.23389999999984</c:v>
                </c:pt>
                <c:pt idx="5">
                  <c:v>376.36239999999981</c:v>
                </c:pt>
                <c:pt idx="6">
                  <c:v>376.36239999999981</c:v>
                </c:pt>
                <c:pt idx="7">
                  <c:v>400</c:v>
                </c:pt>
              </c:numCache>
            </c:numRef>
          </c:xVal>
          <c:yVal>
            <c:numRef>
              <c:f>Sheet1!$M$5:$M$12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0.70000000000000029</c:v>
                </c:pt>
                <c:pt idx="3">
                  <c:v>0.70000000000000029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</c:ser>
        <c:ser>
          <c:idx val="1"/>
          <c:order val="1"/>
          <c:tx>
            <c:v>2</c:v>
          </c:tx>
          <c:xVal>
            <c:numRef>
              <c:f>Sheet1!$O$5:$O$12</c:f>
              <c:numCache>
                <c:formatCode>General</c:formatCode>
                <c:ptCount val="8"/>
                <c:pt idx="0">
                  <c:v>100</c:v>
                </c:pt>
                <c:pt idx="1">
                  <c:v>208.1489</c:v>
                </c:pt>
                <c:pt idx="2">
                  <c:v>208.1489</c:v>
                </c:pt>
                <c:pt idx="3">
                  <c:v>324.0745</c:v>
                </c:pt>
                <c:pt idx="4">
                  <c:v>324.0745</c:v>
                </c:pt>
                <c:pt idx="5">
                  <c:v>338.79790000000003</c:v>
                </c:pt>
                <c:pt idx="6">
                  <c:v>338.79790000000003</c:v>
                </c:pt>
                <c:pt idx="7">
                  <c:v>400</c:v>
                </c:pt>
              </c:numCache>
            </c:numRef>
          </c:xVal>
          <c:yVal>
            <c:numRef>
              <c:f>Sheet1!$P$5:$P$12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0.70000000000000029</c:v>
                </c:pt>
                <c:pt idx="3">
                  <c:v>0.70000000000000029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</c:ser>
        <c:ser>
          <c:idx val="2"/>
          <c:order val="2"/>
          <c:tx>
            <c:v>3</c:v>
          </c:tx>
          <c:xVal>
            <c:numRef>
              <c:f>Sheet1!$R$5:$R$12</c:f>
              <c:numCache>
                <c:formatCode>General</c:formatCode>
                <c:ptCount val="8"/>
                <c:pt idx="0">
                  <c:v>100</c:v>
                </c:pt>
                <c:pt idx="1">
                  <c:v>238.29079999999999</c:v>
                </c:pt>
                <c:pt idx="2">
                  <c:v>238.29079999999999</c:v>
                </c:pt>
                <c:pt idx="3">
                  <c:v>297.47869999999983</c:v>
                </c:pt>
                <c:pt idx="4">
                  <c:v>297.47869999999983</c:v>
                </c:pt>
                <c:pt idx="5">
                  <c:v>315.7482</c:v>
                </c:pt>
                <c:pt idx="6">
                  <c:v>315.7482</c:v>
                </c:pt>
                <c:pt idx="7">
                  <c:v>400</c:v>
                </c:pt>
              </c:numCache>
            </c:numRef>
          </c:xVal>
          <c:yVal>
            <c:numRef>
              <c:f>Sheet1!$S$5:$S$12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0.70000000000000029</c:v>
                </c:pt>
                <c:pt idx="3">
                  <c:v>0.70000000000000029</c:v>
                </c:pt>
                <c:pt idx="4">
                  <c:v>0.9</c:v>
                </c:pt>
                <c:pt idx="5">
                  <c:v>0.9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</c:ser>
        <c:axId val="112235264"/>
        <c:axId val="112237952"/>
      </c:scatterChart>
      <c:valAx>
        <c:axId val="112235264"/>
        <c:scaling>
          <c:orientation val="minMax"/>
        </c:scaling>
        <c:axPos val="b"/>
        <c:numFmt formatCode="General" sourceLinked="1"/>
        <c:tickLblPos val="nextTo"/>
        <c:crossAx val="112237952"/>
        <c:crosses val="autoZero"/>
        <c:crossBetween val="midCat"/>
      </c:valAx>
      <c:valAx>
        <c:axId val="112237952"/>
        <c:scaling>
          <c:orientation val="minMax"/>
        </c:scaling>
        <c:axPos val="l"/>
        <c:majorGridlines/>
        <c:numFmt formatCode="General" sourceLinked="1"/>
        <c:tickLblPos val="nextTo"/>
        <c:crossAx val="1122352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1B9D1B-6C6A-479D-8153-EF347DA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326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12</cp:revision>
  <dcterms:created xsi:type="dcterms:W3CDTF">2013-05-20T17:32:00Z</dcterms:created>
  <dcterms:modified xsi:type="dcterms:W3CDTF">2013-05-20T18:33:00Z</dcterms:modified>
</cp:coreProperties>
</file>