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C809A">
      <w:pPr>
        <w:pStyle w:val="16"/>
        <w:jc w:val="center"/>
        <w:rPr>
          <w:color w:val="auto"/>
        </w:rPr>
      </w:pPr>
      <w:r>
        <w:rPr>
          <w:color w:val="auto"/>
        </w:rPr>
        <w:t>PROJETO DE PESQUISA</w:t>
      </w:r>
    </w:p>
    <w:p w14:paraId="715003C0">
      <w:pPr>
        <w:pStyle w:val="16"/>
        <w:jc w:val="center"/>
        <w:rPr>
          <w:color w:val="auto"/>
        </w:rPr>
      </w:pPr>
    </w:p>
    <w:p w14:paraId="5789D56D">
      <w:pPr>
        <w:pStyle w:val="16"/>
        <w:jc w:val="center"/>
        <w:rPr>
          <w:color w:val="auto"/>
        </w:rPr>
      </w:pPr>
    </w:p>
    <w:p w14:paraId="0FBD6D32">
      <w:pPr>
        <w:pStyle w:val="16"/>
        <w:jc w:val="center"/>
        <w:rPr>
          <w:rFonts w:hint="default"/>
          <w:color w:val="auto"/>
          <w:sz w:val="22"/>
          <w:szCs w:val="22"/>
          <w:lang w:val="pt-BR"/>
        </w:rPr>
      </w:pPr>
      <w:r>
        <w:rPr>
          <w:rFonts w:hint="default"/>
          <w:color w:val="auto"/>
          <w:sz w:val="22"/>
          <w:szCs w:val="22"/>
          <w:lang w:val="pt-BR"/>
        </w:rPr>
        <w:t>Tadeu Gomes Teixeira</w:t>
      </w:r>
    </w:p>
    <w:p w14:paraId="16D6A9CC">
      <w:pPr>
        <w:pStyle w:val="16"/>
        <w:jc w:val="center"/>
        <w:rPr>
          <w:rFonts w:hint="default"/>
          <w:color w:val="auto"/>
          <w:sz w:val="22"/>
          <w:szCs w:val="22"/>
          <w:lang w:val="pt-BR"/>
        </w:rPr>
      </w:pPr>
    </w:p>
    <w:p w14:paraId="69C300F9">
      <w:pPr>
        <w:pStyle w:val="16"/>
        <w:jc w:val="center"/>
        <w:rPr>
          <w:rFonts w:hint="default"/>
          <w:color w:val="auto"/>
          <w:sz w:val="22"/>
          <w:szCs w:val="22"/>
          <w:lang w:val="pt-BR"/>
        </w:rPr>
      </w:pPr>
    </w:p>
    <w:p w14:paraId="10B043C3">
      <w:pPr>
        <w:pStyle w:val="16"/>
        <w:jc w:val="center"/>
        <w:rPr>
          <w:rFonts w:hint="default"/>
          <w:color w:val="auto"/>
          <w:sz w:val="22"/>
          <w:szCs w:val="22"/>
          <w:lang w:val="pt-BR"/>
        </w:rPr>
      </w:pPr>
    </w:p>
    <w:p w14:paraId="417D1C26">
      <w:pPr>
        <w:spacing w:before="120" w:after="60"/>
        <w:jc w:val="center"/>
        <w:rPr>
          <w:color w:val="auto"/>
        </w:rPr>
      </w:pPr>
      <w:r>
        <w:rPr>
          <w:color w:val="auto"/>
        </w:rPr>
        <w:t>Agente Inteligente Baseado em LLM para Consulta em</w:t>
      </w:r>
    </w:p>
    <w:p w14:paraId="6834DD72">
      <w:pPr>
        <w:spacing w:before="120" w:after="60"/>
        <w:jc w:val="center"/>
        <w:rPr>
          <w:color w:val="auto"/>
        </w:rPr>
      </w:pPr>
      <w:r>
        <w:rPr>
          <w:color w:val="auto"/>
        </w:rPr>
        <w:t xml:space="preserve"> Linguagem Natural de Dados da ANTAQ</w:t>
      </w:r>
    </w:p>
    <w:p w14:paraId="537E9FFA">
      <w:pPr>
        <w:pStyle w:val="15"/>
        <w:jc w:val="center"/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 xml:space="preserve"> </w:t>
      </w:r>
    </w:p>
    <w:p w14:paraId="3ECB7C37">
      <w:pPr>
        <w:pStyle w:val="15"/>
        <w:jc w:val="center"/>
        <w:rPr>
          <w:color w:val="auto"/>
        </w:rPr>
      </w:pPr>
    </w:p>
    <w:p w14:paraId="2FCA9D2C">
      <w:pPr>
        <w:jc w:val="center"/>
        <w:rPr>
          <w:color w:val="auto"/>
        </w:rPr>
      </w:pPr>
    </w:p>
    <w:p w14:paraId="2D5B95E4">
      <w:pPr>
        <w:jc w:val="center"/>
        <w:rPr>
          <w:color w:val="auto"/>
        </w:rPr>
      </w:pPr>
    </w:p>
    <w:p w14:paraId="2AF5ADD6">
      <w:pPr>
        <w:jc w:val="center"/>
        <w:rPr>
          <w:color w:val="auto"/>
        </w:rPr>
      </w:pPr>
    </w:p>
    <w:p w14:paraId="6A0C71CB">
      <w:pPr>
        <w:jc w:val="center"/>
        <w:rPr>
          <w:color w:val="auto"/>
        </w:rPr>
      </w:pPr>
    </w:p>
    <w:p w14:paraId="008F72DC">
      <w:pPr>
        <w:jc w:val="center"/>
        <w:rPr>
          <w:color w:val="auto"/>
        </w:rPr>
      </w:pPr>
    </w:p>
    <w:p w14:paraId="544A20A9">
      <w:pPr>
        <w:jc w:val="center"/>
        <w:rPr>
          <w:color w:val="auto"/>
        </w:rPr>
      </w:pPr>
    </w:p>
    <w:p w14:paraId="7558F22C">
      <w:pPr>
        <w:jc w:val="center"/>
        <w:rPr>
          <w:color w:val="auto"/>
        </w:rPr>
      </w:pPr>
    </w:p>
    <w:p w14:paraId="332D9CEE">
      <w:pPr>
        <w:spacing w:after="480"/>
        <w:jc w:val="center"/>
        <w:rPr>
          <w:color w:val="auto"/>
          <w:sz w:val="22"/>
          <w:szCs w:val="22"/>
        </w:rPr>
      </w:pPr>
    </w:p>
    <w:p w14:paraId="7532503B">
      <w:pPr>
        <w:spacing w:after="480"/>
        <w:jc w:val="center"/>
        <w:rPr>
          <w:color w:val="auto"/>
          <w:sz w:val="22"/>
          <w:szCs w:val="22"/>
        </w:rPr>
      </w:pPr>
    </w:p>
    <w:p w14:paraId="7FBC60B8">
      <w:pPr>
        <w:spacing w:after="480"/>
        <w:jc w:val="center"/>
        <w:rPr>
          <w:color w:val="auto"/>
          <w:sz w:val="22"/>
          <w:szCs w:val="22"/>
        </w:rPr>
      </w:pPr>
    </w:p>
    <w:p w14:paraId="35AE2E93">
      <w:pPr>
        <w:spacing w:after="480"/>
        <w:jc w:val="center"/>
        <w:rPr>
          <w:color w:val="auto"/>
          <w:sz w:val="22"/>
          <w:szCs w:val="22"/>
        </w:rPr>
      </w:pPr>
    </w:p>
    <w:p w14:paraId="754D0E05">
      <w:pPr>
        <w:spacing w:after="480"/>
        <w:jc w:val="center"/>
        <w:rPr>
          <w:color w:val="auto"/>
          <w:sz w:val="22"/>
          <w:szCs w:val="22"/>
        </w:rPr>
      </w:pPr>
    </w:p>
    <w:p w14:paraId="2C2E4F68">
      <w:pPr>
        <w:spacing w:after="480"/>
        <w:jc w:val="center"/>
        <w:rPr>
          <w:color w:val="auto"/>
          <w:sz w:val="22"/>
          <w:szCs w:val="22"/>
        </w:rPr>
      </w:pPr>
    </w:p>
    <w:p w14:paraId="45971DF2">
      <w:pPr>
        <w:spacing w:after="480"/>
        <w:jc w:val="center"/>
        <w:rPr>
          <w:color w:val="auto"/>
          <w:sz w:val="22"/>
          <w:szCs w:val="22"/>
        </w:rPr>
      </w:pPr>
    </w:p>
    <w:p w14:paraId="0791F6EB">
      <w:pPr>
        <w:spacing w:after="480"/>
        <w:jc w:val="both"/>
        <w:rPr>
          <w:color w:val="auto"/>
          <w:sz w:val="22"/>
          <w:szCs w:val="22"/>
        </w:rPr>
      </w:pPr>
    </w:p>
    <w:p w14:paraId="27E67896">
      <w:pPr>
        <w:spacing w:after="480"/>
        <w:jc w:val="center"/>
        <w:rPr>
          <w:rFonts w:hint="default"/>
          <w:color w:val="auto"/>
          <w:lang w:val="pt-BR"/>
        </w:rPr>
      </w:pPr>
      <w:r>
        <w:rPr>
          <w:color w:val="auto"/>
          <w:sz w:val="22"/>
          <w:szCs w:val="22"/>
        </w:rPr>
        <w:t>202</w:t>
      </w:r>
      <w:r>
        <w:rPr>
          <w:rFonts w:hint="default"/>
          <w:color w:val="auto"/>
          <w:sz w:val="22"/>
          <w:szCs w:val="22"/>
          <w:lang w:val="pt-BR"/>
        </w:rPr>
        <w:t>6</w:t>
      </w:r>
    </w:p>
    <w:p w14:paraId="7B4DBE43">
      <w:pPr>
        <w:jc w:val="both"/>
        <w:rPr>
          <w:color w:val="auto"/>
        </w:rPr>
      </w:pPr>
      <w:r>
        <w:rPr>
          <w:color w:val="auto"/>
        </w:rPr>
        <w:br w:type="page"/>
      </w:r>
    </w:p>
    <w:p w14:paraId="3EC5514A">
      <w:pPr>
        <w:pStyle w:val="2"/>
        <w:jc w:val="both"/>
        <w:rPr>
          <w:color w:val="auto"/>
        </w:rPr>
      </w:pPr>
      <w:r>
        <w:rPr>
          <w:color w:val="auto"/>
        </w:rPr>
        <w:t>1. IDENTIFICAÇÃO DO PROJETO</w:t>
      </w:r>
    </w:p>
    <w:p w14:paraId="7A19432D">
      <w:pPr>
        <w:spacing w:before="120" w:after="60"/>
        <w:jc w:val="both"/>
        <w:rPr>
          <w:color w:val="auto"/>
        </w:rPr>
      </w:pPr>
      <w:r>
        <w:rPr>
          <w:b/>
          <w:bCs/>
          <w:color w:val="auto"/>
        </w:rPr>
        <w:t xml:space="preserve">Título: </w:t>
      </w:r>
      <w:r>
        <w:rPr>
          <w:color w:val="auto"/>
        </w:rPr>
        <w:t>Agente Inteligente Baseado em LLM para Consulta em Linguagem Natural de Dados da ANTAQ</w:t>
      </w:r>
    </w:p>
    <w:p w14:paraId="59B6DBE3">
      <w:pPr>
        <w:spacing w:before="60" w:after="60"/>
        <w:jc w:val="both"/>
        <w:rPr>
          <w:color w:val="auto"/>
        </w:rPr>
      </w:pPr>
      <w:r>
        <w:rPr>
          <w:b/>
          <w:bCs/>
          <w:color w:val="auto"/>
        </w:rPr>
        <w:t>Área de Conhecimento:</w:t>
      </w:r>
      <w:r>
        <w:rPr>
          <w:color w:val="auto"/>
        </w:rPr>
        <w:t xml:space="preserve"> Inteligência Artificial</w:t>
      </w:r>
    </w:p>
    <w:p w14:paraId="3F863049">
      <w:pPr>
        <w:spacing w:before="60" w:after="60"/>
        <w:jc w:val="both"/>
        <w:rPr>
          <w:color w:val="auto"/>
        </w:rPr>
      </w:pPr>
      <w:r>
        <w:rPr>
          <w:b/>
          <w:bCs/>
          <w:color w:val="auto"/>
        </w:rPr>
        <w:t xml:space="preserve">Subárea: </w:t>
      </w:r>
      <w:r>
        <w:rPr>
          <w:color w:val="auto"/>
        </w:rPr>
        <w:t>Processamento de Linguagem Natural / Engenharia de Prompt / Agentes de IA</w:t>
      </w:r>
    </w:p>
    <w:p w14:paraId="697C9F76">
      <w:pPr>
        <w:spacing w:before="60" w:after="60"/>
        <w:jc w:val="both"/>
        <w:rPr>
          <w:color w:val="auto"/>
        </w:rPr>
      </w:pPr>
      <w:r>
        <w:rPr>
          <w:b/>
          <w:bCs/>
          <w:color w:val="auto"/>
        </w:rPr>
        <w:t xml:space="preserve">Linha de Pesquisa: </w:t>
      </w:r>
      <w:r>
        <w:rPr>
          <w:color w:val="auto"/>
        </w:rPr>
        <w:t>Sistemas de Informação Inteligentes e Interfaces Conversacionais</w:t>
      </w:r>
    </w:p>
    <w:p w14:paraId="1A0D915B">
      <w:pPr>
        <w:pStyle w:val="2"/>
        <w:jc w:val="both"/>
        <w:rPr>
          <w:color w:val="auto"/>
        </w:rPr>
      </w:pPr>
      <w:r>
        <w:rPr>
          <w:color w:val="auto"/>
        </w:rPr>
        <w:t>2. INTRODUÇÃO E CONTEXTUALIZAÇÃO</w:t>
      </w:r>
    </w:p>
    <w:p w14:paraId="4C6BA48A">
      <w:pPr>
        <w:pStyle w:val="3"/>
        <w:jc w:val="both"/>
        <w:rPr>
          <w:color w:val="auto"/>
        </w:rPr>
      </w:pPr>
      <w:r>
        <w:rPr>
          <w:color w:val="auto"/>
        </w:rPr>
        <w:t>2.1 Contextualização</w:t>
      </w:r>
    </w:p>
    <w:p w14:paraId="727081E0">
      <w:pPr>
        <w:rPr>
          <w:color w:val="auto"/>
        </w:rPr>
      </w:pPr>
    </w:p>
    <w:p w14:paraId="4E4FA15E">
      <w:pPr>
        <w:spacing w:line="240" w:lineRule="auto"/>
        <w:jc w:val="both"/>
        <w:rPr>
          <w:rFonts w:hint="default"/>
          <w:color w:val="auto"/>
        </w:rPr>
      </w:pPr>
      <w:r>
        <w:rPr>
          <w:rFonts w:hint="default"/>
          <w:color w:val="auto"/>
        </w:rPr>
        <w:t>A Agência Nacional de Transportes Aquaviários (ANTAQ) constitui o órgão regulador do setor de transporte aquaviário no Brasil, desempenhando papel fundamental na coleta, processamento e disponibilização de dados estatísticos sobre a movimentação de cargas nos portos brasileiros. Estes dados assumem importância estratégica em múltiplas dimensões da gestão portuária e do planejamento logístico nacional.</w:t>
      </w:r>
    </w:p>
    <w:p w14:paraId="109F6395">
      <w:pPr>
        <w:spacing w:line="240" w:lineRule="auto"/>
        <w:jc w:val="both"/>
        <w:rPr>
          <w:rFonts w:hint="default"/>
          <w:color w:val="auto"/>
        </w:rPr>
      </w:pPr>
    </w:p>
    <w:p w14:paraId="56DDA31E">
      <w:pPr>
        <w:spacing w:line="240" w:lineRule="auto"/>
        <w:jc w:val="both"/>
        <w:rPr>
          <w:rFonts w:hint="default"/>
          <w:color w:val="auto"/>
        </w:rPr>
      </w:pPr>
      <w:r>
        <w:rPr>
          <w:rFonts w:hint="default"/>
          <w:color w:val="auto"/>
        </w:rPr>
        <w:t>Primeiramente, constituem subsídio essencial para a formulação de políticas públicas de transporte e logística, permitindo que decisores governamentais fundamentem suas escolhas em evidências empíricas sobre padrões de movimentação de cargas, tendências de comércio exterior e dinâmicas regionais do setor portuário. Igualmente relevante, tais informações servem de base para o planejamento estratégico do setor portuário, subsidiando decisões sobre investimentos em infraestrutura, expansão de terminais e modernização de instalações. As análises de competitividade e eficiência portuária também dependem criticamente destes dados, viabilizando comparações entre diferentes portos, identificação de gargalos operacionais e avaliação de desempenho ao longo do time. Por fim, a comunidade acadêmica utiliza extensivamente estas estatísticas em pesquisas sobre comércio exterior e logística, produzindo conhecimento científico que retroalimenta tanto a formulação de políticas quanto a gestão empresarial do setor.</w:t>
      </w:r>
    </w:p>
    <w:p w14:paraId="5669D205">
      <w:pPr>
        <w:spacing w:line="240" w:lineRule="auto"/>
        <w:jc w:val="both"/>
        <w:rPr>
          <w:rFonts w:hint="default"/>
          <w:color w:val="auto"/>
        </w:rPr>
      </w:pPr>
    </w:p>
    <w:p w14:paraId="3CDBF695">
      <w:pPr>
        <w:spacing w:line="240" w:lineRule="auto"/>
        <w:jc w:val="both"/>
        <w:rPr>
          <w:color w:val="auto"/>
        </w:rPr>
      </w:pPr>
      <w:r>
        <w:rPr>
          <w:rFonts w:hint="default"/>
          <w:color w:val="auto"/>
        </w:rPr>
        <w:t>No entanto, apesar de sua relevância estratégica, o acesso efetivo a estas informações encontra-se limitado por barreiras técnicas significativas que restringem sua utilização a um grupo relativamente restrito de especialistas. A primeira dessas barreiras consiste na necessidade de conhecimento técnico da linguagem SQL (</w:t>
      </w:r>
      <w:r>
        <w:rPr>
          <w:rFonts w:hint="default" w:ascii="Arial Italic" w:hAnsi="Arial Italic" w:cs="Arial Italic"/>
          <w:i/>
          <w:iCs/>
          <w:color w:val="auto"/>
        </w:rPr>
        <w:t>Structured Query Language</w:t>
      </w:r>
      <w:r>
        <w:rPr>
          <w:rFonts w:hint="default"/>
          <w:color w:val="auto"/>
        </w:rPr>
        <w:t xml:space="preserve">), requisito que exclui imediatamente usuários sem formação em tecnologia da informação ou áreas correlatas. </w:t>
      </w:r>
      <w:r>
        <w:rPr>
          <w:rFonts w:hint="default"/>
          <w:color w:val="auto"/>
          <w:lang w:val="pt-BR"/>
        </w:rPr>
        <w:t xml:space="preserve">O </w:t>
      </w:r>
      <w:r>
        <w:rPr>
          <w:rFonts w:hint="default"/>
          <w:color w:val="auto"/>
        </w:rPr>
        <w:t xml:space="preserve">aproveitamento pleno dessas informações frequentemente requer o uso de ferramentas especializadas de </w:t>
      </w:r>
      <w:r>
        <w:rPr>
          <w:rFonts w:hint="default" w:ascii="Arial Italic" w:hAnsi="Arial Italic" w:cs="Arial Italic"/>
          <w:i/>
          <w:iCs/>
          <w:color w:val="auto"/>
        </w:rPr>
        <w:t>Business Intelligence</w:t>
      </w:r>
      <w:r>
        <w:rPr>
          <w:rFonts w:hint="default"/>
          <w:color w:val="auto"/>
        </w:rPr>
        <w:t xml:space="preserve">, </w:t>
      </w:r>
      <w:r>
        <w:rPr>
          <w:rFonts w:hint="default" w:ascii="Arial Italic" w:hAnsi="Arial Italic" w:cs="Arial Italic"/>
          <w:i/>
          <w:iCs/>
          <w:color w:val="auto"/>
        </w:rPr>
        <w:t xml:space="preserve">software </w:t>
      </w:r>
      <w:r>
        <w:rPr>
          <w:rFonts w:hint="default"/>
          <w:color w:val="auto"/>
        </w:rPr>
        <w:t>complexos que demandam treinamento específico e investimento financeiro considerável. Este conjunto de barreiras técnicas acumuladas cria, na prática, uma assimetria informacional que contradiz o princípio de transparência inerente aos dados públicos governamentais.</w:t>
      </w:r>
    </w:p>
    <w:p w14:paraId="4C48CC7C">
      <w:pPr>
        <w:rPr>
          <w:color w:val="auto"/>
        </w:rPr>
      </w:pPr>
    </w:p>
    <w:p w14:paraId="6473A1BD">
      <w:pPr>
        <w:pStyle w:val="3"/>
        <w:jc w:val="both"/>
        <w:rPr>
          <w:color w:val="auto"/>
        </w:rPr>
      </w:pPr>
      <w:r>
        <w:rPr>
          <w:color w:val="auto"/>
        </w:rPr>
        <w:t>2.2 Problema de Pesquisa</w:t>
      </w:r>
    </w:p>
    <w:p w14:paraId="2D2950EE">
      <w:pPr>
        <w:spacing w:after="120"/>
        <w:jc w:val="both"/>
        <w:rPr>
          <w:color w:val="auto"/>
        </w:rPr>
      </w:pPr>
      <w:r>
        <w:rPr>
          <w:color w:val="auto"/>
        </w:rPr>
        <w:t>A barreira técnica para acesso aos dados da ANTAQ limita sua utilização por:</w:t>
      </w:r>
    </w:p>
    <w:p w14:paraId="54C580CB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Decisores políticos que não possuem conhecimento técnico em SQL</w:t>
      </w:r>
      <w:r>
        <w:rPr>
          <w:rFonts w:hint="default"/>
          <w:b w:val="0"/>
          <w:bCs w:val="0"/>
          <w:color w:val="auto"/>
          <w:lang w:val="pt-BR"/>
        </w:rPr>
        <w:t xml:space="preserve">. </w:t>
      </w:r>
    </w:p>
    <w:p w14:paraId="6D039EDA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Pesquisadores de áreas não técnicas (economia, relações internacionais, logística)</w:t>
      </w:r>
      <w:r>
        <w:rPr>
          <w:rFonts w:hint="default"/>
          <w:b w:val="0"/>
          <w:bCs w:val="0"/>
          <w:color w:val="auto"/>
          <w:lang w:val="pt-BR"/>
        </w:rPr>
        <w:t xml:space="preserve">. </w:t>
      </w:r>
    </w:p>
    <w:p w14:paraId="3457F4DA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Empresários do setor que necessitam de informações rápidas para tomada de decisão</w:t>
      </w:r>
      <w:r>
        <w:rPr>
          <w:rFonts w:hint="default"/>
          <w:b w:val="0"/>
          <w:bCs w:val="0"/>
          <w:color w:val="auto"/>
          <w:lang w:val="pt-BR"/>
        </w:rPr>
        <w:t xml:space="preserve">. </w:t>
      </w:r>
    </w:p>
    <w:p w14:paraId="3D60C427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Jornalistas que precisam acessar dados para embasar reportagens</w:t>
      </w:r>
      <w:r>
        <w:rPr>
          <w:rFonts w:hint="default"/>
          <w:b w:val="0"/>
          <w:bCs w:val="0"/>
          <w:color w:val="auto"/>
          <w:lang w:val="pt-BR"/>
        </w:rPr>
        <w:t xml:space="preserve">. </w:t>
      </w:r>
    </w:p>
    <w:p w14:paraId="470C5293">
      <w:pPr>
        <w:spacing w:before="240" w:after="240"/>
        <w:jc w:val="both"/>
        <w:rPr>
          <w:rFonts w:hint="default" w:ascii="Arial Italic" w:hAnsi="Arial Italic" w:cs="Arial Italic"/>
          <w:b w:val="0"/>
          <w:bCs w:val="0"/>
          <w:color w:val="auto"/>
        </w:rPr>
      </w:pPr>
      <w:r>
        <w:rPr>
          <w:rFonts w:hint="default"/>
          <w:color w:val="auto"/>
          <w:lang w:val="pt-BR"/>
        </w:rPr>
        <w:t>Diante disso,o</w:t>
      </w:r>
      <w:r>
        <w:rPr>
          <w:color w:val="auto"/>
        </w:rPr>
        <w:t xml:space="preserve"> problema central </w:t>
      </w:r>
      <w:r>
        <w:rPr>
          <w:rFonts w:hint="default"/>
          <w:color w:val="auto"/>
          <w:lang w:val="pt-BR"/>
        </w:rPr>
        <w:t xml:space="preserve"> de pesquisa </w:t>
      </w:r>
      <w:r>
        <w:rPr>
          <w:color w:val="auto"/>
        </w:rPr>
        <w:t xml:space="preserve">é: </w:t>
      </w:r>
      <w:r>
        <w:rPr>
          <w:rFonts w:hint="default" w:ascii="Arial Italic" w:hAnsi="Arial Italic" w:cs="Arial Italic"/>
          <w:b w:val="0"/>
          <w:bCs w:val="0"/>
          <w:i/>
          <w:iCs/>
          <w:color w:val="auto"/>
        </w:rPr>
        <w:t>Como tornar acessíveis dados governamentais complexos para usuários não técnicos através de interfaces em linguagem natural?</w:t>
      </w:r>
    </w:p>
    <w:p w14:paraId="4CCAE4B7">
      <w:pPr>
        <w:pStyle w:val="3"/>
        <w:jc w:val="both"/>
        <w:rPr>
          <w:color w:val="auto"/>
        </w:rPr>
      </w:pPr>
      <w:r>
        <w:rPr>
          <w:color w:val="auto"/>
        </w:rPr>
        <w:t>2.3 Justificativa</w:t>
      </w:r>
    </w:p>
    <w:p w14:paraId="7D98990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t>A justificativa para este projeto de pesquisa fundamenta-se em três dimensões com</w:t>
      </w:r>
      <w:r>
        <w:rPr>
          <w:rFonts w:hint="default" w:ascii="Arial" w:hAnsi="Arial" w:cs="Arial"/>
          <w:b w:val="0"/>
          <w:bCs w:val="0"/>
        </w:rPr>
        <w:t>plementares que convergem para demonstrar sua pertinência tanto no âmbito social quanto científico e econômico.</w:t>
      </w:r>
    </w:p>
    <w:p w14:paraId="6871004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14"/>
          <w:rFonts w:hint="default" w:ascii="Arial" w:hAnsi="Arial" w:cs="Arial"/>
          <w:b w:val="0"/>
          <w:bCs w:val="0"/>
        </w:rPr>
        <w:t>Do ponto de vista social</w:t>
      </w:r>
      <w:r>
        <w:rPr>
          <w:rFonts w:hint="default" w:ascii="Arial" w:hAnsi="Arial" w:cs="Arial"/>
          <w:b w:val="0"/>
          <w:bCs w:val="0"/>
        </w:rPr>
        <w:t xml:space="preserve">, a pesquisa contribui diretamente para a democratização do acesso a dados públicos governamentais, um imperativo em sociedades democráticas contemporâneas. Atualmente, a barreira técnica imposta pela necessidade de conhecimento em SQL e ferramentas de </w:t>
      </w:r>
      <w:r>
        <w:rPr>
          <w:rFonts w:hint="default" w:ascii="Arial Italic" w:hAnsi="Arial Italic" w:cs="Arial Italic"/>
          <w:b w:val="0"/>
          <w:bCs w:val="0"/>
          <w:i/>
          <w:iCs/>
        </w:rPr>
        <w:t>Business Intelligence</w:t>
      </w:r>
      <w:r>
        <w:rPr>
          <w:rFonts w:hint="default" w:ascii="Arial" w:hAnsi="Arial" w:cs="Arial"/>
          <w:b w:val="0"/>
          <w:bCs w:val="0"/>
        </w:rPr>
        <w:t xml:space="preserve"> cria uma divisão informacional que privilegia especialistas técnicos em detrimento de outros atores sociais igualmente legítimos no acesso a informações públicas. Ao desenvolver uma interface em linguagem natural, o projeto remove essa barreira, permitindo que decisores políticos, jornalistas, pesquisadores de áreas não técnicas e cidadãos em geral possam exercer plenamente seu direito ao acesso à informação. Esta democratização fortalece os princípios de transparência e </w:t>
      </w:r>
      <w:r>
        <w:rPr>
          <w:rFonts w:hint="default" w:ascii="Arial" w:hAnsi="Arial" w:cs="Arial"/>
          <w:b w:val="0"/>
          <w:bCs w:val="0"/>
          <w:i/>
          <w:iCs/>
        </w:rPr>
        <w:t xml:space="preserve">accountability </w:t>
      </w:r>
      <w:r>
        <w:rPr>
          <w:rFonts w:hint="default" w:ascii="Arial" w:hAnsi="Arial" w:cs="Arial"/>
          <w:b w:val="0"/>
          <w:bCs w:val="0"/>
        </w:rPr>
        <w:t>no setor de transportes, possibilitando que a sociedade civil acompanhe, fiscalize e participe de discussões informadas sobre políticas públicas portuárias. Ademais, ao facilitar o acesso a evidências empíricas, o sistema promove uma cultura de tomada de decisões baseada em dados, essencial para políticas públicas efetivas e responsáveis.</w:t>
      </w:r>
    </w:p>
    <w:p w14:paraId="2F545FA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Arial" w:hAnsi="Arial" w:cs="Arial"/>
          <w:b w:val="0"/>
          <w:bCs w:val="0"/>
        </w:rPr>
      </w:pPr>
      <w:r>
        <w:rPr>
          <w:rStyle w:val="14"/>
          <w:rFonts w:hint="default" w:ascii="Arial" w:hAnsi="Arial" w:cs="Arial"/>
          <w:b w:val="0"/>
          <w:bCs w:val="0"/>
        </w:rPr>
        <w:t>Na dimensão acadêmica</w:t>
      </w:r>
      <w:r>
        <w:rPr>
          <w:rFonts w:hint="default" w:ascii="Arial" w:hAnsi="Arial" w:cs="Arial"/>
          <w:b w:val="0"/>
          <w:bCs w:val="0"/>
        </w:rPr>
        <w:t xml:space="preserve">, a pesquisa posiciona-se na fronteira do conhecimento em múltiplas frentes. Primeiro, contribui para o estado da arte em </w:t>
      </w:r>
      <w:r>
        <w:rPr>
          <w:rFonts w:hint="default" w:ascii="Arial" w:hAnsi="Arial" w:cs="Arial"/>
          <w:b w:val="0"/>
          <w:bCs w:val="0"/>
          <w:i/>
          <w:iCs/>
        </w:rPr>
        <w:t>Text-to-SQL</w:t>
      </w:r>
      <w:r>
        <w:rPr>
          <w:rFonts w:hint="default" w:ascii="Arial" w:hAnsi="Arial" w:cs="Arial"/>
          <w:b w:val="0"/>
          <w:bCs w:val="0"/>
        </w:rPr>
        <w:t xml:space="preserve">, um problema fundamental em processamento de linguagem natural que, apesar dos avanços recentes com </w:t>
      </w:r>
      <w:r>
        <w:rPr>
          <w:rFonts w:hint="default" w:ascii="Arial" w:hAnsi="Arial" w:cs="Arial"/>
          <w:b w:val="0"/>
          <w:bCs w:val="0"/>
          <w:i/>
          <w:iCs/>
        </w:rPr>
        <w:t>L</w:t>
      </w:r>
      <w:r>
        <w:rPr>
          <w:rFonts w:hint="default" w:ascii="Arial Italic" w:hAnsi="Arial Italic" w:cs="Arial Italic"/>
          <w:b w:val="0"/>
          <w:bCs w:val="0"/>
          <w:i/>
          <w:iCs/>
        </w:rPr>
        <w:t>arge Language Models</w:t>
      </w:r>
      <w:r>
        <w:rPr>
          <w:rFonts w:hint="default" w:ascii="Arial" w:hAnsi="Arial" w:cs="Arial"/>
          <w:b w:val="0"/>
          <w:bCs w:val="0"/>
        </w:rPr>
        <w:t xml:space="preserve">, permanece não resolvido para cenários empresariais reais. A aplicação de técnicas de </w:t>
      </w:r>
      <w:r>
        <w:rPr>
          <w:rFonts w:hint="default" w:ascii="Arial" w:hAnsi="Arial" w:cs="Arial"/>
          <w:b w:val="0"/>
          <w:bCs w:val="0"/>
          <w:i/>
          <w:iCs/>
        </w:rPr>
        <w:t xml:space="preserve">Retrieval-Augmented Generation </w:t>
      </w:r>
      <w:r>
        <w:rPr>
          <w:rFonts w:hint="default" w:ascii="Arial" w:hAnsi="Arial" w:cs="Arial"/>
          <w:b w:val="0"/>
          <w:bCs w:val="0"/>
        </w:rPr>
        <w:t xml:space="preserve">em um domínio específico e altamente especializado como os dados da ANTAQ representa avanço significativo, pois testa a capacidade de RAG em lidar com </w:t>
      </w:r>
      <w:r>
        <w:rPr>
          <w:rFonts w:hint="default" w:ascii="Arial Italic" w:hAnsi="Arial Italic" w:cs="Arial Italic"/>
          <w:b w:val="0"/>
          <w:bCs w:val="0"/>
          <w:i/>
          <w:iCs/>
        </w:rPr>
        <w:t xml:space="preserve">schemas </w:t>
      </w:r>
      <w:r>
        <w:rPr>
          <w:rFonts w:hint="default" w:ascii="Arial" w:hAnsi="Arial" w:cs="Arial"/>
          <w:b w:val="0"/>
          <w:bCs w:val="0"/>
        </w:rPr>
        <w:t xml:space="preserve">complexos, terminologia técnica de domínio e requisitos de validação metodológica oficial. Adicionalmente, a pesquisa sobre engenharia de </w:t>
      </w:r>
      <w:r>
        <w:rPr>
          <w:rFonts w:hint="default" w:ascii="Arial Italic" w:hAnsi="Arial Italic" w:cs="Arial Italic"/>
          <w:b w:val="0"/>
          <w:bCs w:val="0"/>
          <w:i/>
          <w:iCs/>
        </w:rPr>
        <w:t xml:space="preserve">prompt </w:t>
      </w:r>
      <w:r>
        <w:rPr>
          <w:rFonts w:hint="default" w:ascii="Arial" w:hAnsi="Arial" w:cs="Arial"/>
          <w:b w:val="0"/>
          <w:bCs w:val="0"/>
        </w:rPr>
        <w:t xml:space="preserve">para agentes de IA em contextos onde precisão e confiabilidade são críticas expande o conhecimento sobre como estruturar </w:t>
      </w:r>
      <w:r>
        <w:rPr>
          <w:rFonts w:hint="default" w:ascii="Arial Italic" w:hAnsi="Arial Italic" w:cs="Arial Italic"/>
          <w:b w:val="0"/>
          <w:bCs w:val="0"/>
          <w:i/>
          <w:iCs/>
        </w:rPr>
        <w:t xml:space="preserve">prompts </w:t>
      </w:r>
      <w:r>
        <w:rPr>
          <w:rFonts w:hint="default" w:ascii="Arial" w:hAnsi="Arial" w:cs="Arial"/>
          <w:b w:val="0"/>
          <w:bCs w:val="0"/>
        </w:rPr>
        <w:t>que não apenas gerem SQL sintaticamente correto, mas também semanticamente alinhado com requisitos de negócio complexos. A integração de arquiteturas agênticas com RAG e decomposição de tarefas em domínio governamental brasileiro constitui contribuição original inexplorada na literatura internacional.</w:t>
      </w:r>
    </w:p>
    <w:p w14:paraId="348B498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color w:val="auto"/>
        </w:rPr>
      </w:pPr>
      <w:r>
        <w:rPr>
          <w:rStyle w:val="14"/>
          <w:rFonts w:hint="default" w:ascii="Arial" w:hAnsi="Arial" w:cs="Arial"/>
          <w:b w:val="0"/>
          <w:bCs w:val="0"/>
        </w:rPr>
        <w:t>Economicamente</w:t>
      </w:r>
      <w:r>
        <w:rPr>
          <w:rFonts w:hint="default" w:ascii="Arial" w:hAnsi="Arial" w:cs="Arial"/>
          <w:b w:val="0"/>
          <w:bCs w:val="0"/>
        </w:rPr>
        <w:t xml:space="preserve">, o projeto apresenta potencial de impacto significativo através de três mecanismos principais. Primeiro, a redução de custos de treinamento em SQL e ferramentas de </w:t>
      </w:r>
      <w:r>
        <w:rPr>
          <w:rFonts w:hint="default" w:ascii="Arial" w:hAnsi="Arial" w:cs="Arial"/>
          <w:b w:val="0"/>
          <w:bCs w:val="0"/>
          <w:i/>
          <w:iCs/>
        </w:rPr>
        <w:t>Business Intelligence</w:t>
      </w:r>
      <w:r>
        <w:rPr>
          <w:rFonts w:hint="default" w:ascii="Arial" w:hAnsi="Arial" w:cs="Arial"/>
          <w:b w:val="0"/>
          <w:bCs w:val="0"/>
        </w:rPr>
        <w:t xml:space="preserve"> representa economia direta para organizações públicas e privadas do setor portuário, que atualmente investem recursos substanciais na capacitação técnica de profissionais. Segundo, a agilidade proporcionada na obtenção de </w:t>
      </w:r>
      <w:r>
        <w:rPr>
          <w:rFonts w:hint="default" w:ascii="Arial Italic" w:hAnsi="Arial Italic" w:cs="Arial Italic"/>
          <w:b w:val="0"/>
          <w:bCs w:val="0"/>
          <w:i/>
          <w:iCs/>
        </w:rPr>
        <w:t xml:space="preserve">insights </w:t>
      </w:r>
      <w:r>
        <w:rPr>
          <w:rFonts w:hint="default" w:ascii="Arial" w:hAnsi="Arial" w:cs="Arial"/>
          <w:b w:val="0"/>
          <w:bCs w:val="0"/>
        </w:rPr>
        <w:t>para decisões empresariais pode traduzir-se em vantagem competitiva para empresas do setor, permitindo respostas mais rápidas a mudanças de mercado, identificação oportuna de oportunidades logísticas e otimização de operações baseada em análise de dados históricos. Terceiro, ao facilitar o acesso a informações estratégicas sobre eficiência portuária, movimentação de cargas e padrões de comércio exterior, o sistema contribui para a melhoria sistêmica da eficiência do setor portuário brasileiro, com potenciais ganhos em produtividade, redução de custos logísticos e fortalecimento da competitividade internacional dos portos nacionais. Estes benefícios econômicos transcendem ganhos individuais de organizações para impactar positivamente a economia como um todo, dado o papel estratégico do setor portuário no comércio exterior brasileiro</w:t>
      </w:r>
      <w:r>
        <w:t>.</w:t>
      </w:r>
    </w:p>
    <w:p w14:paraId="237FCCBF">
      <w:pPr>
        <w:pStyle w:val="2"/>
        <w:jc w:val="both"/>
        <w:rPr>
          <w:color w:val="auto"/>
        </w:rPr>
      </w:pPr>
      <w:r>
        <w:rPr>
          <w:color w:val="auto"/>
        </w:rPr>
        <w:t>3. OBJETIVOS</w:t>
      </w:r>
    </w:p>
    <w:p w14:paraId="033DF0C3">
      <w:pPr>
        <w:pStyle w:val="3"/>
        <w:jc w:val="both"/>
        <w:rPr>
          <w:color w:val="auto"/>
        </w:rPr>
      </w:pPr>
      <w:r>
        <w:rPr>
          <w:color w:val="auto"/>
        </w:rPr>
        <w:t>3.1 Objetivo Geral</w:t>
      </w:r>
    </w:p>
    <w:p w14:paraId="6117656A">
      <w:pPr>
        <w:spacing w:after="240"/>
        <w:jc w:val="both"/>
        <w:rPr>
          <w:color w:val="auto"/>
        </w:rPr>
      </w:pPr>
      <w:r>
        <w:rPr>
          <w:color w:val="auto"/>
        </w:rPr>
        <w:t xml:space="preserve">Desenvolver e validar um agente de inteligência artificial capaz de interpretar consultas em linguagem natural sobre dados de transporte aquaviário e convertê-las automaticamente em </w:t>
      </w:r>
      <w:r>
        <w:rPr>
          <w:i/>
          <w:iCs/>
          <w:color w:val="auto"/>
        </w:rPr>
        <w:t xml:space="preserve">queries </w:t>
      </w:r>
      <w:r>
        <w:rPr>
          <w:color w:val="auto"/>
        </w:rPr>
        <w:t xml:space="preserve">SQL executáveis no </w:t>
      </w:r>
      <w:r>
        <w:rPr>
          <w:rFonts w:hint="default" w:ascii="Arial Italic" w:hAnsi="Arial Italic" w:cs="Arial Italic"/>
          <w:i/>
          <w:iCs/>
          <w:color w:val="auto"/>
        </w:rPr>
        <w:t>BigQuery</w:t>
      </w:r>
      <w:r>
        <w:rPr>
          <w:color w:val="auto"/>
        </w:rPr>
        <w:t xml:space="preserve">, retornando resultados formatados e </w:t>
      </w:r>
      <w:r>
        <w:rPr>
          <w:rFonts w:hint="default" w:ascii="Arial Italic" w:hAnsi="Arial Italic" w:cs="Arial Italic"/>
          <w:i/>
          <w:iCs/>
          <w:color w:val="auto"/>
        </w:rPr>
        <w:t xml:space="preserve">insights </w:t>
      </w:r>
      <w:r>
        <w:rPr>
          <w:color w:val="auto"/>
        </w:rPr>
        <w:t>acionáveis.</w:t>
      </w:r>
    </w:p>
    <w:p w14:paraId="288DDB3F">
      <w:pPr>
        <w:pStyle w:val="3"/>
        <w:jc w:val="both"/>
        <w:rPr>
          <w:color w:val="auto"/>
        </w:rPr>
      </w:pPr>
      <w:r>
        <w:rPr>
          <w:color w:val="auto"/>
        </w:rPr>
        <w:t>3.2 Objetivos Específicos</w:t>
      </w:r>
    </w:p>
    <w:p w14:paraId="7D02E32F">
      <w:pPr>
        <w:spacing w:before="120" w:after="60"/>
        <w:jc w:val="both"/>
        <w:rPr>
          <w:color w:val="auto"/>
        </w:rPr>
      </w:pPr>
      <w:r>
        <w:rPr>
          <w:b/>
          <w:bCs/>
          <w:color w:val="auto"/>
        </w:rPr>
        <w:t>1. Levantamento de Requisitos</w:t>
      </w:r>
    </w:p>
    <w:p w14:paraId="22290E97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rFonts w:hint="default"/>
          <w:color w:val="auto"/>
          <w:lang w:val="pt-BR"/>
        </w:rPr>
        <w:t>Criar um banco de dados com</w:t>
      </w:r>
      <w:r>
        <w:rPr>
          <w:color w:val="auto"/>
        </w:rPr>
        <w:t xml:space="preserve"> </w:t>
      </w:r>
      <w:r>
        <w:rPr>
          <w:rFonts w:hint="default" w:ascii="Arial Italic" w:hAnsi="Arial Italic" w:cs="Arial Italic"/>
          <w:i/>
          <w:iCs/>
          <w:color w:val="auto"/>
        </w:rPr>
        <w:t>schemas</w:t>
      </w:r>
      <w:r>
        <w:rPr>
          <w:rFonts w:hint="default" w:ascii="Arial Italic" w:hAnsi="Arial Italic" w:cs="Arial Italic"/>
          <w:i/>
          <w:iCs/>
          <w:color w:val="auto"/>
          <w:lang w:val="pt-BR"/>
        </w:rPr>
        <w:t xml:space="preserve"> </w:t>
      </w:r>
      <w:r>
        <w:rPr>
          <w:rFonts w:hint="default" w:ascii="Arial" w:hAnsi="Arial" w:cs="Arial"/>
          <w:i w:val="0"/>
          <w:iCs w:val="0"/>
          <w:color w:val="auto"/>
          <w:lang w:val="pt-BR"/>
        </w:rPr>
        <w:t xml:space="preserve">no </w:t>
      </w:r>
      <w:r>
        <w:rPr>
          <w:i/>
          <w:iCs/>
          <w:color w:val="auto"/>
        </w:rPr>
        <w:t xml:space="preserve">BigQuery </w:t>
      </w:r>
      <w:r>
        <w:rPr>
          <w:rFonts w:hint="default"/>
          <w:color w:val="auto"/>
          <w:lang w:val="pt-BR"/>
        </w:rPr>
        <w:t xml:space="preserve">a partir dos dados da </w:t>
      </w:r>
      <w:r>
        <w:rPr>
          <w:color w:val="auto"/>
        </w:rPr>
        <w:t>ANTAQ</w:t>
      </w:r>
      <w:r>
        <w:rPr>
          <w:rFonts w:hint="default"/>
          <w:color w:val="auto"/>
          <w:lang w:val="pt-BR"/>
        </w:rPr>
        <w:t>;</w:t>
      </w:r>
    </w:p>
    <w:p w14:paraId="23286352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Catalogar os tipos de consultas mais frequentes</w:t>
      </w:r>
      <w:r>
        <w:rPr>
          <w:rFonts w:hint="default"/>
          <w:color w:val="auto"/>
          <w:lang w:val="pt-BR"/>
        </w:rPr>
        <w:t xml:space="preserve"> aos dados;</w:t>
      </w:r>
    </w:p>
    <w:p w14:paraId="138CB3F8">
      <w:pPr>
        <w:spacing w:before="180" w:after="60"/>
        <w:jc w:val="both"/>
        <w:rPr>
          <w:color w:val="auto"/>
        </w:rPr>
      </w:pPr>
      <w:r>
        <w:rPr>
          <w:b/>
          <w:bCs/>
          <w:color w:val="auto"/>
        </w:rPr>
        <w:t>2. Desenvolvimento do Sistema</w:t>
      </w:r>
    </w:p>
    <w:p w14:paraId="280BCB1C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 xml:space="preserve">Implementar arquitetura baseada em </w:t>
      </w:r>
      <w:r>
        <w:rPr>
          <w:rFonts w:hint="default" w:ascii="Arial Italic" w:hAnsi="Arial Italic" w:cs="Arial Italic"/>
          <w:i/>
          <w:iCs/>
          <w:color w:val="auto"/>
        </w:rPr>
        <w:t xml:space="preserve">LangGraph </w:t>
      </w:r>
      <w:r>
        <w:rPr>
          <w:color w:val="auto"/>
        </w:rPr>
        <w:t>para orquestração do agente</w:t>
      </w:r>
      <w:r>
        <w:rPr>
          <w:rFonts w:hint="default"/>
          <w:color w:val="auto"/>
          <w:lang w:val="pt-BR"/>
        </w:rPr>
        <w:t>;</w:t>
      </w:r>
    </w:p>
    <w:p w14:paraId="60687B11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Criar módulo de metadados para descrição semântica do esquema</w:t>
      </w:r>
      <w:r>
        <w:rPr>
          <w:rFonts w:hint="default"/>
          <w:color w:val="auto"/>
          <w:lang w:val="pt-BR"/>
        </w:rPr>
        <w:t>;</w:t>
      </w:r>
    </w:p>
    <w:p w14:paraId="0033791A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Desenvolver sistema RAG para recuperação de exemplos relevantes</w:t>
      </w:r>
      <w:r>
        <w:rPr>
          <w:rFonts w:hint="default"/>
          <w:color w:val="auto"/>
          <w:lang w:val="pt-BR"/>
        </w:rPr>
        <w:t>;</w:t>
      </w:r>
    </w:p>
    <w:p w14:paraId="2D0D6D2C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Implementar camada de segurança e validação de SQL</w:t>
      </w:r>
      <w:r>
        <w:rPr>
          <w:rFonts w:hint="default"/>
          <w:color w:val="auto"/>
          <w:lang w:val="pt-BR"/>
        </w:rPr>
        <w:t>;</w:t>
      </w:r>
    </w:p>
    <w:p w14:paraId="7881CE44">
      <w:pPr>
        <w:spacing w:before="180" w:after="60"/>
        <w:jc w:val="both"/>
        <w:rPr>
          <w:color w:val="auto"/>
        </w:rPr>
      </w:pPr>
      <w:r>
        <w:rPr>
          <w:b/>
          <w:bCs/>
          <w:color w:val="auto"/>
        </w:rPr>
        <w:t>3. Validação e Avaliação</w:t>
      </w:r>
    </w:p>
    <w:p w14:paraId="7580AFB5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Realizar testes com usuários reais d</w:t>
      </w:r>
      <w:r>
        <w:rPr>
          <w:rFonts w:hint="default"/>
          <w:color w:val="auto"/>
          <w:lang w:val="pt-BR"/>
        </w:rPr>
        <w:t>e</w:t>
      </w:r>
      <w:r>
        <w:rPr>
          <w:color w:val="auto"/>
        </w:rPr>
        <w:t xml:space="preserve"> diversos perfis</w:t>
      </w:r>
      <w:r>
        <w:rPr>
          <w:rFonts w:hint="default"/>
          <w:color w:val="auto"/>
          <w:lang w:val="pt-BR"/>
        </w:rPr>
        <w:t>.</w:t>
      </w:r>
      <w:r>
        <w:rPr>
          <w:color w:val="auto"/>
        </w:rPr>
        <w:br w:type="page"/>
      </w:r>
    </w:p>
    <w:p w14:paraId="085BEE5D">
      <w:pPr>
        <w:pStyle w:val="2"/>
        <w:jc w:val="both"/>
        <w:rPr>
          <w:color w:val="auto"/>
        </w:rPr>
      </w:pPr>
      <w:r>
        <w:rPr>
          <w:color w:val="auto"/>
        </w:rPr>
        <w:t>4. REFERENCIAL TEÓRICO</w:t>
      </w:r>
    </w:p>
    <w:p w14:paraId="0F062969">
      <w:pPr>
        <w:spacing w:after="180"/>
        <w:jc w:val="both"/>
        <w:rPr>
          <w:color w:val="auto"/>
        </w:rPr>
      </w:pPr>
      <w:r>
        <w:rPr>
          <w:color w:val="auto"/>
        </w:rPr>
        <w:t>A tradução automática de linguagem natural para SQL representa uma das</w:t>
      </w:r>
      <w:r>
        <w:rPr>
          <w:rFonts w:hint="default"/>
          <w:color w:val="auto"/>
          <w:lang w:val="pt-BR"/>
        </w:rPr>
        <w:t xml:space="preserve"> </w:t>
      </w:r>
      <w:r>
        <w:rPr>
          <w:color w:val="auto"/>
        </w:rPr>
        <w:t xml:space="preserve">fronteiras mais promissoras da inteligência artificial aplicada a bancos de dados. Este referencial teórico examina a evolução do campo </w:t>
      </w:r>
      <w:r>
        <w:rPr>
          <w:rFonts w:hint="default" w:ascii="Arial Italic" w:hAnsi="Arial Italic" w:cs="Arial Italic"/>
          <w:i/>
          <w:iCs/>
          <w:color w:val="auto"/>
        </w:rPr>
        <w:t>Text-to-SQL</w:t>
      </w:r>
      <w:r>
        <w:rPr>
          <w:color w:val="auto"/>
        </w:rPr>
        <w:t xml:space="preserve"> desde os sistemas pioneiros dos anos 1970 até as arquiteturas agênticas contemporâneas baseadas em </w:t>
      </w:r>
      <w:r>
        <w:rPr>
          <w:rFonts w:hint="default" w:ascii="Arial Italic" w:hAnsi="Arial Italic" w:cs="Arial Italic"/>
          <w:i/>
          <w:iCs/>
          <w:color w:val="auto"/>
        </w:rPr>
        <w:t>Large Language Models</w:t>
      </w:r>
      <w:r>
        <w:rPr>
          <w:color w:val="auto"/>
        </w:rPr>
        <w:t xml:space="preserve">, identificando que a convergência entre decomposição de tarefas, </w:t>
      </w:r>
      <w:r>
        <w:rPr>
          <w:rFonts w:hint="default" w:ascii="Arial Italic" w:hAnsi="Arial Italic" w:cs="Arial Italic"/>
          <w:i/>
          <w:iCs/>
          <w:color w:val="auto"/>
        </w:rPr>
        <w:t>Retrieval-Augmented Generation</w:t>
      </w:r>
      <w:r>
        <w:rPr>
          <w:color w:val="auto"/>
        </w:rPr>
        <w:t xml:space="preserve"> e orquestração multi-agente constitui o paradigma mais efetivo para sistemas de próxima geração.</w:t>
      </w:r>
    </w:p>
    <w:p w14:paraId="08EA9637">
      <w:pPr>
        <w:spacing w:after="180"/>
        <w:jc w:val="both"/>
        <w:rPr>
          <w:rFonts w:hint="default" w:ascii="Arial Bold" w:hAnsi="Arial Bold" w:cs="Arial Bold"/>
          <w:b/>
          <w:bCs/>
          <w:color w:val="auto"/>
          <w:lang w:val="pt-BR"/>
        </w:rPr>
      </w:pPr>
      <w:r>
        <w:rPr>
          <w:rFonts w:hint="default" w:ascii="Arial Bold" w:hAnsi="Arial Bold" w:cs="Arial Bold"/>
          <w:b/>
          <w:bCs/>
          <w:color w:val="auto"/>
          <w:lang w:val="pt-BR"/>
        </w:rPr>
        <w:t xml:space="preserve">4.1 Dos sistemas pioneiros à era neural </w:t>
      </w:r>
    </w:p>
    <w:p w14:paraId="6ECC1F62">
      <w:pPr>
        <w:spacing w:after="120"/>
        <w:jc w:val="both"/>
        <w:rPr>
          <w:color w:val="auto"/>
        </w:rPr>
      </w:pPr>
      <w:r>
        <w:rPr>
          <w:color w:val="auto"/>
        </w:rPr>
        <w:t xml:space="preserve">O campo de interfaces de linguagem natural para bancos de dados (NLIDBs) originou-se com sistemas como LUNAR (Woods, 1973), desenvolvido para consultas sobre análises de amostras lunares das missões Apollo utilizando </w:t>
      </w:r>
      <w:r>
        <w:rPr>
          <w:rFonts w:hint="default" w:ascii="Arial Italic" w:hAnsi="Arial Italic" w:cs="Arial Italic"/>
          <w:i/>
          <w:iCs/>
          <w:color w:val="auto"/>
        </w:rPr>
        <w:t>Augmented Transition Networks</w:t>
      </w:r>
      <w:r>
        <w:rPr>
          <w:color w:val="auto"/>
        </w:rPr>
        <w:t>. Como observam Androutsopoulos, Ritchie e Thanisch (1995), estes primeiros sistemas eram construídos tendo um banco de dados específico em mente, não podendo ser facilmente adaptados para diferentes domínios.</w:t>
      </w:r>
    </w:p>
    <w:p w14:paraId="78844DEE">
      <w:pPr>
        <w:spacing w:after="180"/>
        <w:jc w:val="both"/>
        <w:rPr>
          <w:color w:val="auto"/>
        </w:rPr>
      </w:pPr>
      <w:r>
        <w:rPr>
          <w:color w:val="auto"/>
        </w:rPr>
        <w:t xml:space="preserve">O sistema LADDER (Hendrix et al., 1978) representou o primeiro avanço significativo ao introduzir gramáticas semânticas configuráveis para diferentes bancos de dados. A década de 1980 consolidou abordagens baseadas em representações lógicas intermediárias, com sistemas como MASQUE utilizando Prolog para converter perguntas em formas lógicas antes da geração SQL. O </w:t>
      </w:r>
      <w:r>
        <w:rPr>
          <w:i/>
          <w:iCs/>
          <w:color w:val="auto"/>
        </w:rPr>
        <w:t xml:space="preserve">framework </w:t>
      </w:r>
      <w:r>
        <w:rPr>
          <w:color w:val="auto"/>
        </w:rPr>
        <w:t xml:space="preserve">PRECISE (Popescu et al., 2003) marcou o ápice desta era, combinando tokenização semântica com </w:t>
      </w:r>
      <w:r>
        <w:rPr>
          <w:i/>
          <w:iCs/>
          <w:color w:val="auto"/>
        </w:rPr>
        <w:t xml:space="preserve">lookup </w:t>
      </w:r>
      <w:r>
        <w:rPr>
          <w:color w:val="auto"/>
        </w:rPr>
        <w:t>em léxicos e WordNet para alcançar independência de banco de dados sem treinamento.</w:t>
      </w:r>
    </w:p>
    <w:p w14:paraId="4FF3D0C0">
      <w:pPr>
        <w:spacing w:after="120"/>
        <w:jc w:val="both"/>
        <w:rPr>
          <w:color w:val="auto"/>
        </w:rPr>
      </w:pPr>
      <w:r>
        <w:rPr>
          <w:color w:val="auto"/>
        </w:rPr>
        <w:t xml:space="preserve">O ano de 2017 constitui um divisor de águas com a publicação de Seq2SQL (Zhong, Xiong &amp; Socher, 2017), primeira rede neural profunda para tradução de linguagem natural em SQL. Utilizando </w:t>
      </w:r>
      <w:r>
        <w:rPr>
          <w:rFonts w:hint="default" w:ascii="Arial Italic" w:hAnsi="Arial Italic" w:cs="Arial Italic"/>
          <w:i/>
          <w:iCs/>
          <w:color w:val="auto"/>
        </w:rPr>
        <w:t>policy-based reinforcement learning</w:t>
      </w:r>
      <w:r>
        <w:rPr>
          <w:color w:val="auto"/>
        </w:rPr>
        <w:t xml:space="preserve"> com execução de </w:t>
      </w:r>
      <w:r>
        <w:rPr>
          <w:rFonts w:hint="default" w:ascii="Arial Italic" w:hAnsi="Arial Italic" w:cs="Arial Italic"/>
          <w:i/>
          <w:iCs/>
          <w:color w:val="auto"/>
        </w:rPr>
        <w:t xml:space="preserve">queries </w:t>
      </w:r>
      <w:r>
        <w:rPr>
          <w:color w:val="auto"/>
        </w:rPr>
        <w:t xml:space="preserve">no </w:t>
      </w:r>
      <w:r>
        <w:rPr>
          <w:rFonts w:hint="default" w:ascii="Arial Italic" w:hAnsi="Arial Italic" w:cs="Arial Italic"/>
          <w:i/>
          <w:iCs/>
          <w:color w:val="auto"/>
        </w:rPr>
        <w:t xml:space="preserve">loop </w:t>
      </w:r>
      <w:r>
        <w:rPr>
          <w:color w:val="auto"/>
        </w:rPr>
        <w:t xml:space="preserve">de treinamento, o sistema elevou a </w:t>
      </w:r>
      <w:r>
        <w:rPr>
          <w:i/>
          <w:iCs/>
          <w:color w:val="auto"/>
        </w:rPr>
        <w:t xml:space="preserve">execution accuracy </w:t>
      </w:r>
      <w:r>
        <w:rPr>
          <w:color w:val="auto"/>
        </w:rPr>
        <w:t xml:space="preserve">de 35.9% para 59.4% comparado a modelos seq2seq tradicionais. Simultaneamente, o </w:t>
      </w:r>
      <w:r>
        <w:rPr>
          <w:i/>
          <w:iCs/>
          <w:color w:val="auto"/>
        </w:rPr>
        <w:t xml:space="preserve">dataset </w:t>
      </w:r>
      <w:r>
        <w:rPr>
          <w:color w:val="auto"/>
        </w:rPr>
        <w:t xml:space="preserve">WikiSQL estabeleceu o primeiro </w:t>
      </w:r>
      <w:r>
        <w:rPr>
          <w:rFonts w:hint="default" w:ascii="Arial Italic" w:hAnsi="Arial Italic" w:cs="Arial Italic"/>
          <w:i/>
          <w:iCs/>
          <w:color w:val="auto"/>
        </w:rPr>
        <w:t xml:space="preserve">benchmark </w:t>
      </w:r>
      <w:r>
        <w:rPr>
          <w:color w:val="auto"/>
        </w:rPr>
        <w:t>de grande escala com 80.654 pares question-SQL distribuídos em 24.241 tabelas.</w:t>
      </w:r>
    </w:p>
    <w:p w14:paraId="08ACC10D">
      <w:pPr>
        <w:spacing w:after="120"/>
        <w:jc w:val="both"/>
        <w:rPr>
          <w:color w:val="auto"/>
        </w:rPr>
      </w:pPr>
      <w:r>
        <w:rPr>
          <w:color w:val="auto"/>
        </w:rPr>
        <w:t xml:space="preserve">O </w:t>
      </w:r>
      <w:r>
        <w:rPr>
          <w:rFonts w:hint="default" w:ascii="Arial Italic" w:hAnsi="Arial Italic" w:cs="Arial Italic"/>
          <w:i/>
          <w:iCs/>
          <w:color w:val="auto"/>
        </w:rPr>
        <w:t xml:space="preserve">benchmark </w:t>
      </w:r>
      <w:r>
        <w:rPr>
          <w:color w:val="auto"/>
        </w:rPr>
        <w:t xml:space="preserve">Spider (Yu et al., 2018), descrito pelos autores como o primeiro </w:t>
      </w:r>
      <w:r>
        <w:rPr>
          <w:i/>
          <w:iCs/>
          <w:color w:val="auto"/>
        </w:rPr>
        <w:t xml:space="preserve">dataset </w:t>
      </w:r>
      <w:r>
        <w:rPr>
          <w:color w:val="auto"/>
        </w:rPr>
        <w:t xml:space="preserve">complexo e </w:t>
      </w:r>
      <w:r>
        <w:rPr>
          <w:rFonts w:hint="default" w:ascii="Arial Italic" w:hAnsi="Arial Italic" w:cs="Arial Italic"/>
          <w:i/>
          <w:iCs/>
          <w:color w:val="auto"/>
        </w:rPr>
        <w:t>cross-domain</w:t>
      </w:r>
      <w:r>
        <w:rPr>
          <w:color w:val="auto"/>
        </w:rPr>
        <w:t xml:space="preserve"> para s</w:t>
      </w:r>
      <w:r>
        <w:rPr>
          <w:rFonts w:hint="default" w:ascii="Arial Italic" w:hAnsi="Arial Italic" w:cs="Arial Italic"/>
          <w:i/>
          <w:iCs/>
          <w:color w:val="auto"/>
        </w:rPr>
        <w:t>emantic parsing</w:t>
      </w:r>
      <w:r>
        <w:rPr>
          <w:color w:val="auto"/>
        </w:rPr>
        <w:t xml:space="preserve"> e </w:t>
      </w:r>
      <w:r>
        <w:rPr>
          <w:rFonts w:hint="default" w:ascii="Arial Italic" w:hAnsi="Arial Italic" w:cs="Arial Italic"/>
          <w:i/>
          <w:iCs/>
          <w:color w:val="auto"/>
        </w:rPr>
        <w:t>text-to-SQL</w:t>
      </w:r>
      <w:r>
        <w:rPr>
          <w:color w:val="auto"/>
        </w:rPr>
        <w:t xml:space="preserve">, introduziu 200 databases em 138 domínios com </w:t>
      </w:r>
      <w:r>
        <w:rPr>
          <w:rFonts w:hint="default" w:ascii="Arial Italic" w:hAnsi="Arial Italic" w:cs="Arial Italic"/>
          <w:i/>
          <w:iCs/>
          <w:color w:val="auto"/>
        </w:rPr>
        <w:t xml:space="preserve">queries </w:t>
      </w:r>
      <w:r>
        <w:rPr>
          <w:color w:val="auto"/>
        </w:rPr>
        <w:t>envolvendo JOINs, agregações e subqueries aninhadas. A estratificação em níveis de dificuldade (Easy, Medium, Hard, Extra Hard) revelou que modelos falham progressivamente em queries composicionais.</w:t>
      </w:r>
    </w:p>
    <w:p w14:paraId="3A452583">
      <w:pPr>
        <w:spacing w:after="180"/>
        <w:jc w:val="both"/>
        <w:rPr>
          <w:color w:val="auto"/>
        </w:rPr>
      </w:pPr>
      <w:r>
        <w:rPr>
          <w:color w:val="auto"/>
        </w:rPr>
        <w:t xml:space="preserve">O framework RAT-SQL (Wang et al., 2020) representou </w:t>
      </w:r>
      <w:r>
        <w:rPr>
          <w:rFonts w:hint="default" w:ascii="Arial Italic" w:hAnsi="Arial Italic" w:cs="Arial Italic"/>
          <w:i/>
          <w:iCs/>
          <w:color w:val="auto"/>
        </w:rPr>
        <w:t xml:space="preserve">breakthrough </w:t>
      </w:r>
      <w:r>
        <w:rPr>
          <w:color w:val="auto"/>
        </w:rPr>
        <w:t xml:space="preserve">ao introduzir </w:t>
      </w:r>
      <w:r>
        <w:rPr>
          <w:rFonts w:hint="default" w:ascii="Arial Italic" w:hAnsi="Arial Italic" w:cs="Arial Italic"/>
          <w:i/>
          <w:iCs/>
          <w:color w:val="auto"/>
        </w:rPr>
        <w:t>relation-aware self-attention</w:t>
      </w:r>
      <w:r>
        <w:rPr>
          <w:color w:val="auto"/>
        </w:rPr>
        <w:t xml:space="preserve"> para modelagem explícita de relações entre questão e </w:t>
      </w:r>
      <w:r>
        <w:rPr>
          <w:rFonts w:hint="default" w:ascii="Arial Italic" w:hAnsi="Arial Italic" w:cs="Arial Italic"/>
          <w:i/>
          <w:iCs/>
          <w:color w:val="auto"/>
        </w:rPr>
        <w:t xml:space="preserve">schema </w:t>
      </w:r>
      <w:r>
        <w:rPr>
          <w:color w:val="auto"/>
        </w:rPr>
        <w:t xml:space="preserve">como grafo, atingindo 65.6% </w:t>
      </w:r>
      <w:r>
        <w:rPr>
          <w:i/>
          <w:iCs/>
          <w:color w:val="auto"/>
        </w:rPr>
        <w:t xml:space="preserve">exact match accuracy </w:t>
      </w:r>
      <w:r>
        <w:rPr>
          <w:color w:val="auto"/>
        </w:rPr>
        <w:t xml:space="preserve">no Spider com BERT. A arquitetura demonstrou que </w:t>
      </w:r>
      <w:r>
        <w:rPr>
          <w:rFonts w:hint="default" w:ascii="Arial Italic" w:hAnsi="Arial Italic" w:cs="Arial Italic"/>
          <w:i/>
          <w:iCs/>
          <w:color w:val="auto"/>
        </w:rPr>
        <w:t xml:space="preserve">schema encoding </w:t>
      </w:r>
      <w:r>
        <w:rPr>
          <w:color w:val="auto"/>
        </w:rPr>
        <w:t xml:space="preserve">e </w:t>
      </w:r>
      <w:r>
        <w:rPr>
          <w:rFonts w:hint="default" w:ascii="Arial Italic" w:hAnsi="Arial Italic" w:cs="Arial Italic"/>
          <w:i/>
          <w:iCs/>
          <w:color w:val="auto"/>
        </w:rPr>
        <w:t xml:space="preserve">schema linking </w:t>
      </w:r>
      <w:r>
        <w:rPr>
          <w:color w:val="auto"/>
        </w:rPr>
        <w:t>constituem desafios fundamentais que transcendem mero aumento de capacidade do modelo.</w:t>
      </w:r>
    </w:p>
    <w:p w14:paraId="5F8FBFC3">
      <w:pPr>
        <w:spacing w:after="180"/>
        <w:jc w:val="both"/>
        <w:rPr>
          <w:rFonts w:hint="default" w:ascii="Arial Bold" w:hAnsi="Arial Bold" w:cs="Arial Bold"/>
          <w:b/>
          <w:bCs/>
          <w:color w:val="auto"/>
          <w:lang w:val="pt-BR"/>
        </w:rPr>
      </w:pPr>
      <w:r>
        <w:rPr>
          <w:rFonts w:hint="default" w:ascii="Arial Bold" w:hAnsi="Arial Bold" w:cs="Arial Bold"/>
          <w:b/>
          <w:bCs/>
          <w:color w:val="auto"/>
          <w:lang w:val="pt-BR"/>
        </w:rPr>
        <w:t>4.2 A era dos LLMS</w:t>
      </w:r>
    </w:p>
    <w:p w14:paraId="6B55B702">
      <w:pPr>
        <w:spacing w:after="120"/>
        <w:jc w:val="both"/>
        <w:rPr>
          <w:color w:val="auto"/>
        </w:rPr>
      </w:pPr>
      <w:r>
        <w:rPr>
          <w:color w:val="auto"/>
        </w:rPr>
        <w:t>O BIRD (Li et al., 2023), apresentado no NeurIPS 2023, adicionou realismo crítico: databases com dados sujos, requisitos de conhecimento externo, e a primeira métrica de eficiência (</w:t>
      </w:r>
      <w:r>
        <w:rPr>
          <w:rFonts w:hint="default" w:ascii="Arial Italic" w:hAnsi="Arial Italic" w:cs="Arial Italic"/>
          <w:i/>
          <w:iCs/>
          <w:color w:val="auto"/>
        </w:rPr>
        <w:t>Valid Efficiency Score</w:t>
      </w:r>
      <w:r>
        <w:rPr>
          <w:color w:val="auto"/>
        </w:rPr>
        <w:t xml:space="preserve">). Os resultados revelaram </w:t>
      </w:r>
      <w:r>
        <w:rPr>
          <w:i/>
          <w:iCs/>
          <w:color w:val="auto"/>
        </w:rPr>
        <w:t xml:space="preserve">gap </w:t>
      </w:r>
      <w:r>
        <w:rPr>
          <w:color w:val="auto"/>
        </w:rPr>
        <w:t xml:space="preserve">substancial: enquanto humanos atingem 92.96% </w:t>
      </w:r>
      <w:r>
        <w:rPr>
          <w:i/>
          <w:iCs/>
          <w:color w:val="auto"/>
        </w:rPr>
        <w:t>execution accuracy</w:t>
      </w:r>
      <w:r>
        <w:rPr>
          <w:color w:val="auto"/>
        </w:rPr>
        <w:t>, GPT-4 alcança apenas 54.89%.</w:t>
      </w:r>
    </w:p>
    <w:p w14:paraId="1E496346">
      <w:pPr>
        <w:spacing w:after="180"/>
        <w:jc w:val="both"/>
        <w:rPr>
          <w:color w:val="auto"/>
        </w:rPr>
      </w:pPr>
      <w:r>
        <w:rPr>
          <w:color w:val="auto"/>
        </w:rPr>
        <w:t>O Spider 2.0 (Lei et al., 2024) expõe limitações dramáticas em cenários empresariais reais: databases com 700-3000 colunas, múltiplos dialetos SQL (</w:t>
      </w:r>
      <w:r>
        <w:rPr>
          <w:rFonts w:hint="default" w:ascii="Arial Italic" w:hAnsi="Arial Italic" w:cs="Arial Italic"/>
          <w:i/>
          <w:iCs/>
          <w:color w:val="auto"/>
        </w:rPr>
        <w:t xml:space="preserve">BigQuery, </w:t>
      </w:r>
      <w:r>
        <w:rPr>
          <w:color w:val="auto"/>
        </w:rPr>
        <w:t xml:space="preserve">Snowflake, PostgreSQL), e necessidade de navegação em documentação externa. Os resultados são alarmantes: GPT-4o atinge apenas 10.1%, o1-preview 17.1%, comparados a 86.6% no Spider original. Este </w:t>
      </w:r>
      <w:r>
        <w:rPr>
          <w:i/>
          <w:iCs/>
          <w:color w:val="auto"/>
        </w:rPr>
        <w:t xml:space="preserve">gap </w:t>
      </w:r>
      <w:r>
        <w:rPr>
          <w:color w:val="auto"/>
        </w:rPr>
        <w:t>evidencia que o problema permanece fundamentalmente não resolvido para contextos empresariais reais.</w:t>
      </w:r>
    </w:p>
    <w:p w14:paraId="43119592">
      <w:pPr>
        <w:spacing w:after="120"/>
        <w:jc w:val="both"/>
        <w:rPr>
          <w:color w:val="auto"/>
        </w:rPr>
      </w:pPr>
      <w:r>
        <w:rPr>
          <w:color w:val="auto"/>
        </w:rPr>
        <w:t xml:space="preserve">A emergência dos </w:t>
      </w:r>
      <w:r>
        <w:rPr>
          <w:rFonts w:hint="default" w:ascii="Arial Italic" w:hAnsi="Arial Italic" w:cs="Arial Italic"/>
          <w:i/>
          <w:iCs/>
          <w:color w:val="auto"/>
        </w:rPr>
        <w:t>Large Language Models</w:t>
      </w:r>
      <w:r>
        <w:rPr>
          <w:color w:val="auto"/>
        </w:rPr>
        <w:t xml:space="preserve"> transformou a abordagem dominante de </w:t>
      </w:r>
      <w:r>
        <w:rPr>
          <w:rFonts w:hint="default" w:ascii="Arial Italic" w:hAnsi="Arial Italic" w:cs="Arial Italic"/>
          <w:i/>
          <w:iCs/>
          <w:color w:val="auto"/>
        </w:rPr>
        <w:t>supervised fine-tuning</w:t>
      </w:r>
      <w:r>
        <w:rPr>
          <w:color w:val="auto"/>
        </w:rPr>
        <w:t xml:space="preserve"> para </w:t>
      </w:r>
      <w:r>
        <w:rPr>
          <w:i/>
          <w:iCs/>
          <w:color w:val="auto"/>
        </w:rPr>
        <w:t>in-context learning</w:t>
      </w:r>
      <w:r>
        <w:rPr>
          <w:color w:val="auto"/>
        </w:rPr>
        <w:t xml:space="preserve"> (ICL). Como observam Zhu et al. (2024), com o desenvolvimento dos LLMs, o padrão de </w:t>
      </w:r>
      <w:r>
        <w:rPr>
          <w:i/>
          <w:iCs/>
          <w:color w:val="auto"/>
        </w:rPr>
        <w:t>text-to-SQL</w:t>
      </w:r>
      <w:r>
        <w:rPr>
          <w:color w:val="auto"/>
        </w:rPr>
        <w:t xml:space="preserve"> sofreu mudanças significativas, especialmente em capacidades de compreensão de linguagem natural. Desde 2023, a maioria das soluções </w:t>
      </w:r>
      <w:r>
        <w:rPr>
          <w:rFonts w:hint="default" w:ascii="Arial Italic" w:hAnsi="Arial Italic" w:cs="Arial Italic"/>
          <w:i/>
          <w:iCs/>
          <w:color w:val="auto"/>
        </w:rPr>
        <w:t>top-performing</w:t>
      </w:r>
      <w:r>
        <w:rPr>
          <w:color w:val="auto"/>
        </w:rPr>
        <w:t xml:space="preserve"> nos leaderboards são baseadas em LLMs com </w:t>
      </w:r>
      <w:r>
        <w:rPr>
          <w:rFonts w:hint="default" w:ascii="Arial Italic" w:hAnsi="Arial Italic" w:cs="Arial Italic"/>
          <w:i/>
          <w:iCs/>
          <w:color w:val="auto"/>
        </w:rPr>
        <w:t xml:space="preserve">prompting </w:t>
      </w:r>
      <w:r>
        <w:rPr>
          <w:color w:val="auto"/>
        </w:rPr>
        <w:t>sofisticado.</w:t>
      </w:r>
    </w:p>
    <w:p w14:paraId="2DC4F241">
      <w:pPr>
        <w:spacing w:after="180"/>
        <w:jc w:val="both"/>
        <w:rPr>
          <w:color w:val="auto"/>
        </w:rPr>
      </w:pPr>
      <w:r>
        <w:rPr>
          <w:color w:val="auto"/>
        </w:rPr>
        <w:t>Os LLMs demonstraram capacidades emergentes cruciais: schema linking automático, raciocínio composicional para queries com JOINs e subqueries, generalização cross-domain, e self-debugging. O GPT-4 com técnicas avançadas atinge 85.3% execution accuracy no Spider test set (DIN-SQL; Pourreza &amp; Rafiei, 2023), superando modelos fine-tuned anteriores.</w:t>
      </w:r>
    </w:p>
    <w:p w14:paraId="40D62AA1">
      <w:pPr>
        <w:spacing w:after="120"/>
        <w:jc w:val="both"/>
        <w:rPr>
          <w:color w:val="auto"/>
        </w:rPr>
      </w:pPr>
      <w:r>
        <w:rPr>
          <w:color w:val="auto"/>
        </w:rPr>
        <w:t xml:space="preserve">A literatura revela </w:t>
      </w:r>
      <w:r>
        <w:rPr>
          <w:i/>
          <w:iCs/>
          <w:color w:val="auto"/>
        </w:rPr>
        <w:t>trade-offs</w:t>
      </w:r>
      <w:r>
        <w:rPr>
          <w:color w:val="auto"/>
        </w:rPr>
        <w:t xml:space="preserve"> significativos entre as abordagens. </w:t>
      </w:r>
      <w:r>
        <w:rPr>
          <w:rFonts w:hint="default" w:ascii="Arial Italic" w:hAnsi="Arial Italic" w:cs="Arial Italic"/>
          <w:i/>
          <w:iCs/>
          <w:color w:val="auto"/>
        </w:rPr>
        <w:t>Fine-tuning</w:t>
      </w:r>
      <w:r>
        <w:rPr>
          <w:color w:val="auto"/>
        </w:rPr>
        <w:t xml:space="preserve"> oferece maior controle, menor latência e privacidade (processamento local), porém requer investimento computacional substancial e dados de domínio. </w:t>
      </w:r>
      <w:r>
        <w:rPr>
          <w:i/>
          <w:iCs/>
          <w:color w:val="auto"/>
        </w:rPr>
        <w:t xml:space="preserve">Prompting </w:t>
      </w:r>
      <w:r>
        <w:rPr>
          <w:color w:val="auto"/>
        </w:rPr>
        <w:t xml:space="preserve">proporciona flexibilidade e </w:t>
      </w:r>
      <w:r>
        <w:rPr>
          <w:i/>
          <w:iCs/>
          <w:color w:val="auto"/>
        </w:rPr>
        <w:t xml:space="preserve">deployment </w:t>
      </w:r>
      <w:r>
        <w:rPr>
          <w:color w:val="auto"/>
        </w:rPr>
        <w:t>rápido, mas com custos de inferência elevados e dependência de APIs externas.</w:t>
      </w:r>
    </w:p>
    <w:p w14:paraId="2DC3D886">
      <w:pPr>
        <w:spacing w:after="180"/>
        <w:jc w:val="both"/>
        <w:rPr>
          <w:color w:val="auto"/>
        </w:rPr>
      </w:pPr>
      <w:r>
        <w:rPr>
          <w:color w:val="auto"/>
        </w:rPr>
        <w:t xml:space="preserve">O projeto CodeS (Li et al., 2024, SIGMOD) demonstrou que modelos </w:t>
      </w:r>
      <w:r>
        <w:rPr>
          <w:rFonts w:hint="default" w:ascii="Arial Italic" w:hAnsi="Arial Italic" w:cs="Arial Italic"/>
          <w:i/>
          <w:iCs/>
          <w:color w:val="auto"/>
        </w:rPr>
        <w:t xml:space="preserve">open-source </w:t>
      </w:r>
      <w:r>
        <w:rPr>
          <w:color w:val="auto"/>
        </w:rPr>
        <w:t xml:space="preserve">especializados (1B-15B parâmetros) podem aproximar performance de GPT-4 sendo 10-100x menores. CodeS-15B atinge 83.6% no Spider test e aproximadamente 55% no BIRD, representando caminho promissor para democratização de </w:t>
      </w:r>
      <w:r>
        <w:rPr>
          <w:rFonts w:hint="default" w:ascii="Arial Italic" w:hAnsi="Arial Italic" w:cs="Arial Italic"/>
          <w:i/>
          <w:iCs/>
          <w:color w:val="auto"/>
        </w:rPr>
        <w:t xml:space="preserve">Text-to-SQL </w:t>
      </w:r>
      <w:r>
        <w:rPr>
          <w:color w:val="auto"/>
        </w:rPr>
        <w:t>sem dependência de APIs proprietárias.</w:t>
      </w:r>
    </w:p>
    <w:p w14:paraId="429BFF32">
      <w:pPr>
        <w:spacing w:after="180"/>
        <w:jc w:val="both"/>
        <w:rPr>
          <w:color w:val="auto"/>
        </w:rPr>
      </w:pPr>
      <w:r>
        <w:rPr>
          <w:color w:val="auto"/>
        </w:rPr>
        <w:t xml:space="preserve">Qu et al. (2024) identificaram três classes de </w:t>
      </w:r>
      <w:r>
        <w:rPr>
          <w:rFonts w:hint="default" w:ascii="Arial Italic" w:hAnsi="Arial Italic" w:cs="Arial Italic"/>
          <w:i/>
          <w:iCs/>
          <w:color w:val="auto"/>
        </w:rPr>
        <w:t xml:space="preserve">hallucinations </w:t>
      </w:r>
      <w:r>
        <w:rPr>
          <w:color w:val="auto"/>
        </w:rPr>
        <w:t xml:space="preserve">em SQL: schema-based (referência a elementos inexistentes), </w:t>
      </w:r>
      <w:r>
        <w:rPr>
          <w:rFonts w:hint="default" w:ascii="Arial Italic" w:hAnsi="Arial Italic" w:cs="Arial Italic"/>
          <w:i/>
          <w:iCs/>
          <w:color w:val="auto"/>
        </w:rPr>
        <w:t>logic-based</w:t>
      </w:r>
      <w:r>
        <w:rPr>
          <w:color w:val="auto"/>
        </w:rPr>
        <w:t xml:space="preserve"> (SQL sintaticamente correto mas semanticamente incorreto), e </w:t>
      </w:r>
      <w:r>
        <w:rPr>
          <w:rFonts w:hint="default" w:ascii="Arial Italic" w:hAnsi="Arial Italic" w:cs="Arial Italic"/>
          <w:i/>
          <w:iCs/>
          <w:color w:val="auto"/>
        </w:rPr>
        <w:t>content-based</w:t>
      </w:r>
      <w:r>
        <w:rPr>
          <w:color w:val="auto"/>
        </w:rPr>
        <w:t xml:space="preserve"> (valores fabricados). Estas limitações fundamentais motivam a necessidade de arquiteturas que combinem LLMs com mecanismos de validação e correção.</w:t>
      </w:r>
    </w:p>
    <w:p w14:paraId="14E5C9D5">
      <w:pPr>
        <w:jc w:val="both"/>
        <w:rPr>
          <w:color w:val="auto"/>
        </w:rPr>
      </w:pPr>
      <w:r>
        <w:rPr>
          <w:color w:val="auto"/>
        </w:rPr>
        <w:br w:type="page"/>
      </w:r>
    </w:p>
    <w:p w14:paraId="64E75964">
      <w:pPr>
        <w:spacing w:after="120"/>
        <w:jc w:val="both"/>
        <w:rPr>
          <w:color w:val="auto"/>
        </w:rPr>
      </w:pPr>
      <w:r>
        <w:rPr>
          <w:color w:val="auto"/>
        </w:rPr>
        <w:t>O estudo sistemático de DAIL-SQL (Gao et al., 2024, VLDB) estabeleceu que o formato DDL com CREATE TABLE combinado com exemplos de valores (SELECT 3) oferece melhor t</w:t>
      </w:r>
      <w:r>
        <w:rPr>
          <w:i/>
          <w:iCs/>
          <w:color w:val="auto"/>
        </w:rPr>
        <w:t>rade-off</w:t>
      </w:r>
      <w:r>
        <w:rPr>
          <w:color w:val="auto"/>
        </w:rPr>
        <w:t xml:space="preserve"> entre </w:t>
      </w:r>
      <w:r>
        <w:rPr>
          <w:rFonts w:hint="default" w:ascii="Arial Italic" w:hAnsi="Arial Italic" w:cs="Arial Italic"/>
          <w:i/>
          <w:iCs/>
          <w:color w:val="auto"/>
        </w:rPr>
        <w:t xml:space="preserve">accuracy </w:t>
      </w:r>
      <w:r>
        <w:rPr>
          <w:color w:val="auto"/>
        </w:rPr>
        <w:t xml:space="preserve">e eficiência de </w:t>
      </w:r>
      <w:r>
        <w:rPr>
          <w:rFonts w:hint="default" w:ascii="Arial Italic" w:hAnsi="Arial Italic" w:cs="Arial Italic"/>
          <w:i/>
          <w:iCs/>
          <w:color w:val="auto"/>
        </w:rPr>
        <w:t>tokens</w:t>
      </w:r>
      <w:r>
        <w:rPr>
          <w:color w:val="auto"/>
        </w:rPr>
        <w:t xml:space="preserve">. A pesquisa comparou cinco formatos de representação, demonstrando que </w:t>
      </w:r>
      <w:r>
        <w:rPr>
          <w:rFonts w:hint="default" w:ascii="Arial Italic" w:hAnsi="Arial Italic" w:cs="Arial Italic"/>
          <w:i/>
          <w:iCs/>
          <w:color w:val="auto"/>
        </w:rPr>
        <w:t>Code Representation</w:t>
      </w:r>
      <w:r>
        <w:rPr>
          <w:color w:val="auto"/>
        </w:rPr>
        <w:t xml:space="preserve"> supera alternativas em consistência.</w:t>
      </w:r>
    </w:p>
    <w:p w14:paraId="74E255D7">
      <w:pPr>
        <w:spacing w:after="180"/>
        <w:jc w:val="both"/>
        <w:rPr>
          <w:color w:val="auto"/>
        </w:rPr>
      </w:pPr>
      <w:r>
        <w:rPr>
          <w:rFonts w:hint="default" w:ascii="Arial Italic" w:hAnsi="Arial Italic" w:cs="Arial Italic"/>
          <w:i/>
          <w:iCs/>
          <w:color w:val="auto"/>
        </w:rPr>
        <w:t>Schema pruning</w:t>
      </w:r>
      <w:r>
        <w:rPr>
          <w:color w:val="auto"/>
        </w:rPr>
        <w:t xml:space="preserve"> emerge como técnica essencial para databases grandes. Abordagens incluem similaridade semântica via </w:t>
      </w:r>
      <w:r>
        <w:rPr>
          <w:rFonts w:hint="default" w:ascii="Arial Italic" w:hAnsi="Arial Italic" w:cs="Arial Italic"/>
          <w:i/>
          <w:iCs/>
          <w:color w:val="auto"/>
        </w:rPr>
        <w:t>embeddings</w:t>
      </w:r>
      <w:r>
        <w:rPr>
          <w:color w:val="auto"/>
        </w:rPr>
        <w:t>, combinação BM25 + Dense Retrieval, e bidirectional schema linking. O PET-SQL (Li et al., 2024) introduz PreSQL-based schema linking, gerando SQL preliminar para identificar entidades mencionadas, reduzindo significativamente o contexto necessário.</w:t>
      </w:r>
    </w:p>
    <w:p w14:paraId="67CE979D">
      <w:pPr>
        <w:spacing w:after="120"/>
        <w:jc w:val="both"/>
        <w:rPr>
          <w:color w:val="auto"/>
        </w:rPr>
      </w:pPr>
      <w:r>
        <w:rPr>
          <w:color w:val="auto"/>
        </w:rPr>
        <w:t xml:space="preserve">A estratégia DAIL Selection representa estado da arte, combinando </w:t>
      </w:r>
      <w:r>
        <w:rPr>
          <w:i/>
          <w:iCs/>
          <w:color w:val="auto"/>
        </w:rPr>
        <w:t xml:space="preserve">question similarity </w:t>
      </w:r>
      <w:r>
        <w:rPr>
          <w:color w:val="auto"/>
        </w:rPr>
        <w:t>com q</w:t>
      </w:r>
      <w:r>
        <w:rPr>
          <w:rFonts w:hint="default" w:ascii="Arial Italic" w:hAnsi="Arial Italic" w:cs="Arial Italic"/>
          <w:i/>
          <w:iCs/>
          <w:color w:val="auto"/>
        </w:rPr>
        <w:t xml:space="preserve">uery/skeleton similarity </w:t>
      </w:r>
      <w:r>
        <w:rPr>
          <w:color w:val="auto"/>
        </w:rPr>
        <w:t>para seleção de exemplos. O método atinge 86.6% execution accuracy no Spider com s</w:t>
      </w:r>
      <w:r>
        <w:rPr>
          <w:rFonts w:hint="default" w:ascii="Arial Italic" w:hAnsi="Arial Italic" w:cs="Arial Italic"/>
          <w:i/>
          <w:iCs/>
          <w:color w:val="auto"/>
        </w:rPr>
        <w:t>elf-consistency</w:t>
      </w:r>
      <w:r>
        <w:rPr>
          <w:color w:val="auto"/>
        </w:rPr>
        <w:t>, sendo significativamente mais eficiente em tokens (~1600 por query) que abordagens Full-Information.</w:t>
      </w:r>
    </w:p>
    <w:p w14:paraId="162FA61C">
      <w:pPr>
        <w:spacing w:after="180"/>
        <w:jc w:val="both"/>
        <w:rPr>
          <w:color w:val="auto"/>
        </w:rPr>
      </w:pPr>
      <w:r>
        <w:rPr>
          <w:color w:val="auto"/>
        </w:rPr>
        <w:t xml:space="preserve">A comparação com DIN-SQL (Pourreza &amp; Rafiei, 2023) revela complementaridade: enquanto DAIL-SQL otimiza seleção de exemplos, DIN-SQL foca em decomposição de tarefas. Ambos compartilham </w:t>
      </w:r>
      <w:r>
        <w:rPr>
          <w:rFonts w:hint="default" w:ascii="Arial Italic" w:hAnsi="Arial Italic" w:cs="Arial Italic"/>
          <w:i/>
          <w:iCs/>
          <w:color w:val="auto"/>
        </w:rPr>
        <w:t xml:space="preserve">insight </w:t>
      </w:r>
      <w:r>
        <w:rPr>
          <w:color w:val="auto"/>
        </w:rPr>
        <w:t>fundamental: LLMs beneficiam-se de estruturação explícita do problema.</w:t>
      </w:r>
    </w:p>
    <w:p w14:paraId="69B4C7F8">
      <w:pPr>
        <w:spacing w:after="180"/>
        <w:jc w:val="both"/>
        <w:rPr>
          <w:color w:val="auto"/>
        </w:rPr>
      </w:pPr>
      <w:r>
        <w:rPr>
          <w:color w:val="auto"/>
        </w:rPr>
        <w:t>Tai et al. (2023, EMNLP) conduziram estudo sistemático de Chain-of-Thought para Text-to-SQL, reportando +5.2 pontos absolutos no Spider dev e +6.5 pontos no Spider Realistic. O framework Divide-and-Prompt (Liu &amp; Tan, 2023) propõe três variantes: Clause-by-Clause (construção incremental), Schema Linking first, e Generate-and-Refine (iterativo). Cada padrão é adequado para diferentes perfis de complexidade de queries.</w:t>
      </w:r>
    </w:p>
    <w:p w14:paraId="7AC387A7">
      <w:pPr>
        <w:pStyle w:val="3"/>
        <w:jc w:val="both"/>
        <w:rPr>
          <w:color w:val="auto"/>
        </w:rPr>
      </w:pPr>
      <w:r>
        <w:rPr>
          <w:color w:val="auto"/>
        </w:rPr>
        <w:t>4.</w:t>
      </w:r>
      <w:r>
        <w:rPr>
          <w:rFonts w:hint="default"/>
          <w:color w:val="auto"/>
          <w:lang w:val="pt-BR"/>
        </w:rPr>
        <w:t>3</w:t>
      </w:r>
      <w:r>
        <w:rPr>
          <w:color w:val="auto"/>
        </w:rPr>
        <w:t xml:space="preserve"> Retrieval-Augmented Generation</w:t>
      </w:r>
    </w:p>
    <w:p w14:paraId="46D952FF">
      <w:pPr>
        <w:spacing w:after="120"/>
        <w:jc w:val="both"/>
        <w:rPr>
          <w:color w:val="auto"/>
        </w:rPr>
      </w:pPr>
      <w:r>
        <w:rPr>
          <w:color w:val="auto"/>
        </w:rPr>
        <w:t>O paper seminal de Lewis et al. (2020, NeurIPS) definiu RAG como paradigma que combina memória paramétrica (conhecimento nos parâmetros) com memória não-paramétrica (índice vetorial externo). A arquitetura original utilizava Dense Passage Retriever (DPR) baseado em BERT como retriever e BART como generator, propondo duas formulações: RAG-Sequence (mesmos documentos para toda sequência) e RAG-Token (documentos diferentes por token).</w:t>
      </w:r>
    </w:p>
    <w:p w14:paraId="7CB0B9BD">
      <w:pPr>
        <w:spacing w:after="180"/>
        <w:jc w:val="both"/>
        <w:rPr>
          <w:color w:val="auto"/>
        </w:rPr>
      </w:pPr>
      <w:r>
        <w:rPr>
          <w:color w:val="auto"/>
        </w:rPr>
        <w:t>RAG endereça problemas fundamentais de LLMs: knowledge grounding, redução de hallucinations, atualização de conhecimento sem retreino, e rastreabilidade de fontes. Para Text-to-SQL, estas propriedades são críticas: schemas mudam, terminologia de domínio evolui, e queries históricas validadas constituem conhecimento valioso.</w:t>
      </w:r>
    </w:p>
    <w:p w14:paraId="4419C1A8">
      <w:pPr>
        <w:spacing w:after="120"/>
        <w:jc w:val="both"/>
        <w:rPr>
          <w:color w:val="auto"/>
        </w:rPr>
      </w:pPr>
      <w:r>
        <w:rPr>
          <w:color w:val="auto"/>
        </w:rPr>
        <w:t>O survey de Gao et al. (2024) propõe taxonomia em quatro estágios evolutivos: Naive RAG (pipeline simples retrieve-then-read), Advanced RAG (técnicas de pré-retrieval como query rewriting, retrieval aprimorado com hybrid search, e pós-retrieval com re-ranking), Modular RAG (componentes intercambiáveis como RAPTOR e RAFT), e Agentic RAG (integração com padrões agênticos como reflection e planning).</w:t>
      </w:r>
    </w:p>
    <w:p w14:paraId="477D2E39">
      <w:pPr>
        <w:spacing w:after="180"/>
        <w:jc w:val="both"/>
        <w:rPr>
          <w:color w:val="auto"/>
        </w:rPr>
      </w:pPr>
      <w:r>
        <w:rPr>
          <w:color w:val="auto"/>
        </w:rPr>
        <w:t>Self-RAG (Asai et al., 2023, ICLR 2024) introduziu innovation significativa: reflection tokens para auto-avaliação. Quatro tokens especiais controlam o comportamento: [Retrieve] (decide necessidade de retrieval), [ISREL] (avalia relevância), [ISSUP] (verifica suporte no contexto), e [ISUSE] (avalia utilidade). O sistema supera ChatGPT e Llama2-chat demonstrando que retrieval adaptativo (sob demanda) supera retrieval fixo.</w:t>
      </w:r>
    </w:p>
    <w:p w14:paraId="4610AEF6">
      <w:pPr>
        <w:spacing w:after="120"/>
        <w:jc w:val="both"/>
        <w:rPr>
          <w:color w:val="auto"/>
        </w:rPr>
      </w:pPr>
      <w:r>
        <w:rPr>
          <w:color w:val="auto"/>
        </w:rPr>
        <w:t>A literatura identifica três aplicações principais de RAG para Text-to-SQL: (1) Retrieval de exemplos similares via embedding de queries históricas; (2) Retrieval de documentação de schema incluindo descrições de tabelas, colunas, relacionamentos e glossários de negócio; (3) Cache semântico de queries para reutilização de pares (pergunta, SQL) validados. Técnicas de entity masking (substituir entidades específicas por placeholders genéricos) melhoram generalização em aproximadamente 7% accuracy.</w:t>
      </w:r>
    </w:p>
    <w:p w14:paraId="0AA5C83F">
      <w:pPr>
        <w:pStyle w:val="3"/>
        <w:jc w:val="both"/>
        <w:rPr>
          <w:color w:val="auto"/>
        </w:rPr>
      </w:pPr>
      <w:r>
        <w:rPr>
          <w:color w:val="auto"/>
        </w:rPr>
        <w:t>4.</w:t>
      </w:r>
      <w:r>
        <w:rPr>
          <w:rFonts w:hint="default"/>
          <w:color w:val="auto"/>
          <w:lang w:val="pt-BR"/>
        </w:rPr>
        <w:t>4</w:t>
      </w:r>
      <w:r>
        <w:rPr>
          <w:color w:val="auto"/>
        </w:rPr>
        <w:t xml:space="preserve"> Arquiteturas Agênticas</w:t>
      </w:r>
    </w:p>
    <w:p w14:paraId="702CD236">
      <w:pPr>
        <w:spacing w:after="120"/>
        <w:jc w:val="both"/>
        <w:rPr>
          <w:color w:val="auto"/>
        </w:rPr>
      </w:pPr>
      <w:r>
        <w:rPr>
          <w:color w:val="auto"/>
        </w:rPr>
        <w:t>Um agente de IA é definido como sistema autônomo capaz de perceber ambiente, interpretar dados, raciocinar e executar ações para alcançar objetivos sem intervenção humana explícita. A arquitetura típica compreende: módulo de percepção (coleta de informações), módulo de memória (episódica e semântica), módulo de planejamento (decomposição de tarefas), e módulo de ação/ferramentas.</w:t>
      </w:r>
    </w:p>
    <w:p w14:paraId="44FEEC77">
      <w:pPr>
        <w:spacing w:after="180"/>
        <w:jc w:val="both"/>
        <w:rPr>
          <w:color w:val="auto"/>
        </w:rPr>
      </w:pPr>
      <w:r>
        <w:rPr>
          <w:color w:val="auto"/>
        </w:rPr>
        <w:t>O paradigma ReAct (Yao et al., 2022, ICLR 2023), acrônimo de Reasoning + Acting, estabeleceu framework influente onde reasoning traces e ações intercalam-se: Thought → Action → Observation → Thought. Os benefícios sobre Chain-of-Thought puro incluem grounding em fontes externas, trajetórias interpretáveis, e capacidade de atualização de conhecimento. Resultados reportados mostram superioridade em HotpotQA, Fever, ALFWorld e WebShop.</w:t>
      </w:r>
    </w:p>
    <w:p w14:paraId="10640494">
      <w:pPr>
        <w:spacing w:after="120"/>
        <w:jc w:val="both"/>
        <w:rPr>
          <w:color w:val="auto"/>
        </w:rPr>
      </w:pPr>
      <w:r>
        <w:rPr>
          <w:color w:val="auto"/>
        </w:rPr>
        <w:t>LangGraph, inspirado por Pregel (Google) e Apache Beam, implementa state machines para agentes através de arquitetura baseada em grafos. Nodes representam estados ou funções (chamadas LLM, tool use), edges conectam nodes (diretas ou condicionais), e state persiste como objeto compartilhado. O diferencial crítico sobre frameworks anteriores é suporte nativo a ciclos, essencial para arquiteturas agênticas onde iteração é fundamental.</w:t>
      </w:r>
    </w:p>
    <w:p w14:paraId="5C1E2518">
      <w:pPr>
        <w:spacing w:after="180"/>
        <w:jc w:val="both"/>
        <w:rPr>
          <w:color w:val="auto"/>
        </w:rPr>
      </w:pPr>
      <w:r>
        <w:rPr>
          <w:color w:val="auto"/>
        </w:rPr>
        <w:t>Comparado ao LangChain tradicional (paradigma chain-first linear), LangGraph oferece controle low-level sobre fluxo de execução, persistência de estado first-class, e design explícito para workflows complexos. Outros frameworks relevantes incluem AutoGPT (loops autônomos), BabyAGI (arquitetura task-driven), CrewAI (equipes com papéis definidos), e AutoGen (Microsoft, conversational multi-agent).</w:t>
      </w:r>
    </w:p>
    <w:p w14:paraId="7CCA9D55">
      <w:pPr>
        <w:spacing w:after="180"/>
        <w:jc w:val="both"/>
        <w:rPr>
          <w:color w:val="auto"/>
        </w:rPr>
      </w:pPr>
      <w:r>
        <w:rPr>
          <w:color w:val="auto"/>
        </w:rPr>
        <w:t>O framework MAC-SQL (Wang et al., 2024) representa implementação exemplar de arquitetura multi-agente para Text-to-SQL, com três agentes especializados: Selector Agent (comprime databases grandes via schema pruning), Decomposer Agent (quebra questions complexas em sub-problemas com Chain-of-Thought), e Refiner Agent (valida SQL via execução e corrige erros). Resultados demonstram 59.59% execution accuracy no BIRD test com GPT-4, evidenciando que especialização de agentes supera approaches monolíticos.</w:t>
      </w:r>
    </w:p>
    <w:p w14:paraId="164831E0">
      <w:pPr>
        <w:pStyle w:val="3"/>
        <w:jc w:val="both"/>
        <w:rPr>
          <w:color w:val="auto"/>
        </w:rPr>
      </w:pPr>
      <w:r>
        <w:rPr>
          <w:color w:val="auto"/>
        </w:rPr>
        <w:t>4.</w:t>
      </w:r>
      <w:r>
        <w:rPr>
          <w:rFonts w:hint="default"/>
          <w:color w:val="auto"/>
          <w:lang w:val="pt-BR"/>
        </w:rPr>
        <w:t>5</w:t>
      </w:r>
      <w:r>
        <w:rPr>
          <w:color w:val="auto"/>
        </w:rPr>
        <w:t xml:space="preserve"> Estado da Arte e Trabalhos Recentes</w:t>
      </w:r>
    </w:p>
    <w:p w14:paraId="2BA355C6">
      <w:pPr>
        <w:spacing w:after="180"/>
        <w:jc w:val="both"/>
        <w:rPr>
          <w:color w:val="auto"/>
        </w:rPr>
      </w:pPr>
      <w:r>
        <w:rPr>
          <w:color w:val="auto"/>
        </w:rPr>
        <w:t>DIN-SQL (Pourreza &amp; Rafiei, 2023, NeurIPS) foi pioneiro em demonstrar que decomposed in-context learning supera métodos fine-tuned. O pipeline de quatro etapas (Schema Linking → Query Classification → SQL Generation → Self-Correction) atinge 85.3% execution accuracy no Spider test. Análise por dificuldade mostra ganhos progressivos: marginal em Easy, +8% em Medium, +12% em Hard, +15% em Extra Hard, evidenciando que decomposição é particularmente valiosa para queries complexas.</w:t>
      </w:r>
    </w:p>
    <w:p w14:paraId="33C95EB7">
      <w:pPr>
        <w:spacing w:after="180"/>
        <w:jc w:val="both"/>
        <w:rPr>
          <w:color w:val="auto"/>
        </w:rPr>
      </w:pPr>
      <w:r>
        <w:rPr>
          <w:color w:val="auto"/>
        </w:rPr>
        <w:t>C3 (Dong et al., 2023) propôs framework zero-shot sistemático com três componentes: Clear Prompting (layout otimizado), Calibration with Hints (correção de vieses como uso excessivo de LEFT JOIN), e Consistent Output (self-consistency). Atinge 82.3% execution accuracy no Spider test sem exemplos, demonstrando que prompt engineering sofisticado pode aproximar few-shot methods, reduzindo significativamente custos de inferência.</w:t>
      </w:r>
    </w:p>
    <w:p w14:paraId="0C53D2ED">
      <w:pPr>
        <w:spacing w:after="180"/>
        <w:jc w:val="both"/>
        <w:rPr>
          <w:color w:val="auto"/>
        </w:rPr>
      </w:pPr>
      <w:r>
        <w:rPr>
          <w:color w:val="auto"/>
        </w:rPr>
        <w:t xml:space="preserve">CHESS (Talaei et al., 2024) introduz </w:t>
      </w:r>
      <w:r>
        <w:rPr>
          <w:rFonts w:hint="default" w:ascii="Arial Italic" w:hAnsi="Arial Italic" w:cs="Arial Italic"/>
          <w:i/>
          <w:iCs/>
          <w:color w:val="auto"/>
        </w:rPr>
        <w:t xml:space="preserve">framework </w:t>
      </w:r>
      <w:r>
        <w:rPr>
          <w:color w:val="auto"/>
        </w:rPr>
        <w:t>multi-agente para databases industriais com quatro agentes: Information Retriever, Schema Selector, Candidate Generator, Unit Tester. Resultados no BIRD test atingem 71.10% com high-compute, estabelecendo novo benchmark para cenários realistas e demonstrando a viabilidade de arquiteturas agênticas em contextos empresariais.</w:t>
      </w:r>
    </w:p>
    <w:p w14:paraId="72EC675A">
      <w:pPr>
        <w:spacing w:after="180"/>
        <w:jc w:val="both"/>
        <w:rPr>
          <w:color w:val="auto"/>
        </w:rPr>
      </w:pPr>
      <w:r>
        <w:rPr>
          <w:color w:val="auto"/>
        </w:rPr>
        <w:t xml:space="preserve">A análise transversal dos trabalhos recentes revela padrões convergentes: (1) </w:t>
      </w:r>
      <w:r>
        <w:rPr>
          <w:rFonts w:hint="default" w:ascii="Arial Italic" w:hAnsi="Arial Italic" w:cs="Arial Italic"/>
          <w:i/>
          <w:iCs/>
          <w:color w:val="auto"/>
        </w:rPr>
        <w:t>Task decomposition</w:t>
      </w:r>
      <w:r>
        <w:rPr>
          <w:color w:val="auto"/>
        </w:rPr>
        <w:t xml:space="preserve"> como estratégia dominante; (2) </w:t>
      </w:r>
      <w:r>
        <w:rPr>
          <w:rFonts w:hint="default" w:ascii="Arial Italic" w:hAnsi="Arial Italic" w:cs="Arial Italic"/>
          <w:i/>
          <w:iCs/>
          <w:color w:val="auto"/>
        </w:rPr>
        <w:t>Schema linking</w:t>
      </w:r>
      <w:r>
        <w:rPr>
          <w:color w:val="auto"/>
        </w:rPr>
        <w:t xml:space="preserve"> como primeira etapa crítica; (3) </w:t>
      </w:r>
      <w:r>
        <w:rPr>
          <w:rFonts w:hint="default" w:ascii="Arial Italic" w:hAnsi="Arial Italic" w:cs="Arial Italic"/>
          <w:i/>
          <w:iCs/>
          <w:color w:val="auto"/>
        </w:rPr>
        <w:t>Self-correction</w:t>
      </w:r>
      <w:r>
        <w:rPr>
          <w:color w:val="auto"/>
        </w:rPr>
        <w:t xml:space="preserve"> via execution </w:t>
      </w:r>
      <w:r>
        <w:rPr>
          <w:rFonts w:hint="default" w:ascii="Arial Italic" w:hAnsi="Arial Italic" w:cs="Arial Italic"/>
          <w:i/>
          <w:iCs/>
          <w:color w:val="auto"/>
        </w:rPr>
        <w:t>feedback</w:t>
      </w:r>
      <w:r>
        <w:rPr>
          <w:color w:val="auto"/>
        </w:rPr>
        <w:t xml:space="preserve">; (4) </w:t>
      </w:r>
      <w:r>
        <w:rPr>
          <w:rFonts w:hint="default" w:ascii="Arial Italic" w:hAnsi="Arial Italic" w:cs="Arial Italic"/>
          <w:i/>
          <w:iCs/>
          <w:color w:val="auto"/>
        </w:rPr>
        <w:t>Multi-agent specialization</w:t>
      </w:r>
      <w:r>
        <w:rPr>
          <w:color w:val="auto"/>
        </w:rPr>
        <w:t xml:space="preserve"> para databases complexos. Esta convergência sugere que a integração destes componentes representa o caminho mais promissor para sistemas de próxima geração.</w:t>
      </w:r>
    </w:p>
    <w:p w14:paraId="62A418C6">
      <w:pPr>
        <w:pStyle w:val="3"/>
        <w:jc w:val="both"/>
        <w:rPr>
          <w:color w:val="auto"/>
        </w:rPr>
      </w:pPr>
      <w:r>
        <w:rPr>
          <w:color w:val="auto"/>
        </w:rPr>
        <w:t>4.</w:t>
      </w:r>
      <w:r>
        <w:rPr>
          <w:rFonts w:hint="default"/>
          <w:color w:val="auto"/>
          <w:lang w:val="pt-BR"/>
        </w:rPr>
        <w:t>6</w:t>
      </w:r>
      <w:r>
        <w:rPr>
          <w:color w:val="auto"/>
        </w:rPr>
        <w:t xml:space="preserve"> Gaps de Pesquisa e Direções Futuras</w:t>
      </w:r>
    </w:p>
    <w:p w14:paraId="3EA16BE1">
      <w:pPr>
        <w:spacing w:after="120"/>
        <w:jc w:val="both"/>
        <w:rPr>
          <w:color w:val="auto"/>
        </w:rPr>
      </w:pPr>
      <w:r>
        <w:rPr>
          <w:color w:val="auto"/>
        </w:rPr>
        <w:t xml:space="preserve">O campo enfrenta desafios fundamentais não resolvidos: (1) </w:t>
      </w:r>
      <w:r>
        <w:rPr>
          <w:rFonts w:hint="default" w:ascii="Arial Italic" w:hAnsi="Arial Italic" w:cs="Arial Italic"/>
          <w:i/>
          <w:iCs/>
          <w:color w:val="auto"/>
        </w:rPr>
        <w:t>Schema linking</w:t>
      </w:r>
      <w:r>
        <w:rPr>
          <w:color w:val="auto"/>
        </w:rPr>
        <w:t xml:space="preserve"> em escala - databases com milhares de colunas permanecem desafiadores; (2) </w:t>
      </w:r>
      <w:r>
        <w:rPr>
          <w:rFonts w:hint="default" w:ascii="Arial Italic" w:hAnsi="Arial Italic" w:cs="Arial Italic"/>
          <w:i/>
          <w:iCs/>
          <w:color w:val="auto"/>
        </w:rPr>
        <w:t>Dirty data handling - gap</w:t>
      </w:r>
      <w:r>
        <w:rPr>
          <w:color w:val="auto"/>
        </w:rPr>
        <w:t xml:space="preserve"> entre dados limpos de </w:t>
      </w:r>
      <w:r>
        <w:rPr>
          <w:rFonts w:hint="default" w:ascii="Arial Italic" w:hAnsi="Arial Italic" w:cs="Arial Italic"/>
          <w:i/>
          <w:iCs/>
          <w:color w:val="auto"/>
        </w:rPr>
        <w:t xml:space="preserve">benchmarks </w:t>
      </w:r>
      <w:r>
        <w:rPr>
          <w:color w:val="auto"/>
        </w:rPr>
        <w:t>e dados reais; (3) Ambiguidade linguística - mesma pergunta pode ter múltiplas traduções SQL válidas; (4) Determinismo - natureza probabilística de LLMs introduz inconsistência; (5) Eficiência de custo - métodos SOTA requerem múltiplas chamadas LLM com custo substancial.</w:t>
      </w:r>
    </w:p>
    <w:p w14:paraId="5149506E">
      <w:pPr>
        <w:spacing w:after="180"/>
        <w:jc w:val="both"/>
        <w:rPr>
          <w:color w:val="auto"/>
        </w:rPr>
      </w:pPr>
      <w:r>
        <w:rPr>
          <w:color w:val="auto"/>
        </w:rPr>
        <w:t xml:space="preserve">O </w:t>
      </w:r>
      <w:r>
        <w:rPr>
          <w:rFonts w:hint="default" w:ascii="Arial Italic" w:hAnsi="Arial Italic" w:cs="Arial Italic"/>
          <w:i/>
          <w:iCs/>
          <w:color w:val="auto"/>
        </w:rPr>
        <w:t xml:space="preserve">gap </w:t>
      </w:r>
      <w:r>
        <w:rPr>
          <w:color w:val="auto"/>
        </w:rPr>
        <w:t>entre Spider (~87% SOTA) e Spider 2.0 (~21% SOTA) constitui tanto advertência quanto oportunidade: sistemas atuais funcionam em cenários controlados mas falham em contextos empresariais reais. Pesquisa que endereça esta lacuna possui potencial de impacto significativo tanto acadêmico quanto prático.</w:t>
      </w:r>
    </w:p>
    <w:p w14:paraId="4A417FA9">
      <w:pPr>
        <w:spacing w:after="180"/>
        <w:jc w:val="both"/>
        <w:rPr>
          <w:color w:val="auto"/>
        </w:rPr>
      </w:pPr>
      <w:r>
        <w:rPr>
          <w:color w:val="auto"/>
        </w:rPr>
        <w:t xml:space="preserve">A integração de RAG com técnicas agênticas representa fronteira mais promissora. Sistemas que combinam retrieval adaptativo de exemplos e schema, decomposição de tarefas via multi-agent, e self-correction com execution feedback aproximam-se de arquitetura ideal. Para este projeto, isto sugere arquitetura integrando: RAG para retrieval adaptativo, decomposição de tarefas inspirada em DIN-SQL/MAC-SQL, </w:t>
      </w:r>
      <w:r>
        <w:rPr>
          <w:rFonts w:hint="default" w:ascii="Arial Italic" w:hAnsi="Arial Italic" w:cs="Arial Italic"/>
          <w:i/>
          <w:iCs/>
          <w:color w:val="auto"/>
        </w:rPr>
        <w:t xml:space="preserve">framework </w:t>
      </w:r>
      <w:r>
        <w:rPr>
          <w:color w:val="auto"/>
        </w:rPr>
        <w:t xml:space="preserve">LangGraph para orquestração </w:t>
      </w:r>
      <w:r>
        <w:rPr>
          <w:rFonts w:hint="default" w:ascii="Arial Italic" w:hAnsi="Arial Italic" w:cs="Arial Italic"/>
          <w:i/>
          <w:iCs/>
          <w:color w:val="auto"/>
        </w:rPr>
        <w:t>stateful</w:t>
      </w:r>
      <w:r>
        <w:rPr>
          <w:color w:val="auto"/>
        </w:rPr>
        <w:t xml:space="preserve">, e mecanismos de </w:t>
      </w:r>
      <w:r>
        <w:rPr>
          <w:rFonts w:hint="default" w:ascii="Arial Italic" w:hAnsi="Arial Italic" w:cs="Arial Italic"/>
          <w:i/>
          <w:iCs/>
          <w:color w:val="auto"/>
        </w:rPr>
        <w:t>self-correction</w:t>
      </w:r>
      <w:r>
        <w:rPr>
          <w:color w:val="auto"/>
        </w:rPr>
        <w:t xml:space="preserve"> com execution </w:t>
      </w:r>
      <w:r>
        <w:rPr>
          <w:rFonts w:hint="default" w:ascii="Arial Italic" w:hAnsi="Arial Italic" w:cs="Arial Italic"/>
          <w:i/>
          <w:iCs/>
          <w:color w:val="auto"/>
        </w:rPr>
        <w:t>feedback</w:t>
      </w:r>
      <w:r>
        <w:rPr>
          <w:color w:val="auto"/>
        </w:rPr>
        <w:t>.</w:t>
      </w:r>
    </w:p>
    <w:p w14:paraId="61AE2F49">
      <w:pPr>
        <w:spacing w:after="180"/>
        <w:jc w:val="both"/>
        <w:rPr>
          <w:color w:val="auto"/>
        </w:rPr>
      </w:pPr>
      <w:r>
        <w:rPr>
          <w:color w:val="auto"/>
        </w:rPr>
        <w:t>Este projeto posiciona-se na confluência dos avanços mais recentes: utiliza LLMs via i</w:t>
      </w:r>
      <w:r>
        <w:rPr>
          <w:rFonts w:hint="default" w:ascii="Arial Italic" w:hAnsi="Arial Italic" w:cs="Arial Italic"/>
          <w:i/>
          <w:iCs/>
          <w:color w:val="auto"/>
        </w:rPr>
        <w:t>n-context learning</w:t>
      </w:r>
      <w:r>
        <w:rPr>
          <w:color w:val="auto"/>
        </w:rPr>
        <w:t xml:space="preserve">, incorpora técnicas de RAG para retrieval de exemplos e metadados de schema, implementa arquitetura agêntica com LangGraph inspirada em MAC-SQL e CHESS, e aplica </w:t>
      </w:r>
      <w:r>
        <w:rPr>
          <w:rFonts w:hint="default" w:ascii="Arial Italic" w:hAnsi="Arial Italic" w:cs="Arial Italic"/>
          <w:i/>
          <w:iCs/>
          <w:color w:val="auto"/>
        </w:rPr>
        <w:t>prompt engineering</w:t>
      </w:r>
      <w:r>
        <w:rPr>
          <w:color w:val="auto"/>
        </w:rPr>
        <w:t xml:space="preserve"> baseado em DAIL-SQL e DIN-SQL. A contribuição distintiva reside na aplicação deste paradigma integrado a dados governamentais brasileiros (ANTAQ), domínio ainda não explorado em trabalhos internacionais, com atenção específica a requisitos de metodologia oficial e terminologia de domínio especializada.</w:t>
      </w:r>
    </w:p>
    <w:p w14:paraId="2EF353B2">
      <w:pPr>
        <w:pStyle w:val="2"/>
        <w:jc w:val="both"/>
        <w:rPr>
          <w:color w:val="auto"/>
        </w:rPr>
      </w:pPr>
      <w:r>
        <w:rPr>
          <w:color w:val="auto"/>
        </w:rPr>
        <w:t>5. METODOLOGIA</w:t>
      </w:r>
    </w:p>
    <w:p w14:paraId="7DADD0AB">
      <w:pPr>
        <w:pStyle w:val="3"/>
        <w:jc w:val="both"/>
        <w:rPr>
          <w:color w:val="auto"/>
        </w:rPr>
      </w:pPr>
      <w:r>
        <w:rPr>
          <w:color w:val="auto"/>
        </w:rPr>
        <w:t>5.1 Abordagem Metodológica</w:t>
      </w:r>
    </w:p>
    <w:p w14:paraId="4465F585">
      <w:pPr>
        <w:spacing w:after="240"/>
        <w:jc w:val="both"/>
        <w:rPr>
          <w:color w:val="auto"/>
        </w:rPr>
      </w:pPr>
      <w:r>
        <w:rPr>
          <w:color w:val="auto"/>
        </w:rPr>
        <w:t xml:space="preserve">O projeto adota uma abordagem </w:t>
      </w:r>
      <w:r>
        <w:rPr>
          <w:rFonts w:hint="default" w:ascii="Arial Italic" w:hAnsi="Arial Italic" w:cs="Arial Italic"/>
          <w:b w:val="0"/>
          <w:bCs w:val="0"/>
          <w:i/>
          <w:iCs/>
          <w:color w:val="auto"/>
        </w:rPr>
        <w:t>Design Science Research</w:t>
      </w:r>
      <w:r>
        <w:rPr>
          <w:color w:val="auto"/>
        </w:rPr>
        <w:t xml:space="preserve"> (Hevner et al., 2004), caracterizada pela construção e avaliação de artefatos tecnológicos para resolver problemas práticos.</w:t>
      </w:r>
    </w:p>
    <w:p w14:paraId="13ED6154">
      <w:pPr>
        <w:pStyle w:val="3"/>
        <w:jc w:val="both"/>
        <w:rPr>
          <w:color w:val="auto"/>
        </w:rPr>
      </w:pPr>
      <w:r>
        <w:rPr>
          <w:color w:val="auto"/>
        </w:rPr>
        <w:t>5.2 Fases da Pesquisa</w:t>
      </w:r>
    </w:p>
    <w:p w14:paraId="5D5293A5">
      <w:pPr>
        <w:pStyle w:val="4"/>
        <w:jc w:val="both"/>
        <w:rPr>
          <w:color w:val="auto"/>
        </w:rPr>
      </w:pPr>
      <w:r>
        <w:rPr>
          <w:color w:val="auto"/>
        </w:rPr>
        <w:t>Fase 1: Levantamento e Análise (</w:t>
      </w:r>
      <w:r>
        <w:rPr>
          <w:rFonts w:hint="default"/>
          <w:color w:val="auto"/>
          <w:lang w:val="pt-BR"/>
        </w:rPr>
        <w:t xml:space="preserve">etapas </w:t>
      </w:r>
      <w:r>
        <w:rPr>
          <w:color w:val="auto"/>
        </w:rPr>
        <w:t>1-2)</w:t>
      </w:r>
    </w:p>
    <w:p w14:paraId="108E672A">
      <w:pPr>
        <w:spacing w:before="120" w:after="60"/>
        <w:jc w:val="both"/>
        <w:rPr>
          <w:color w:val="auto"/>
        </w:rPr>
      </w:pPr>
      <w:r>
        <w:rPr>
          <w:b/>
          <w:bCs/>
          <w:color w:val="auto"/>
        </w:rPr>
        <w:t>Atividades:</w:t>
      </w:r>
    </w:p>
    <w:p w14:paraId="3247E090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rFonts w:hint="default"/>
          <w:color w:val="auto"/>
          <w:lang w:val="pt-BR"/>
        </w:rPr>
        <w:t xml:space="preserve">Construção do </w:t>
      </w:r>
      <w:r>
        <w:rPr>
          <w:color w:val="auto"/>
        </w:rPr>
        <w:t>BigQuery da ANTAQ</w:t>
      </w:r>
    </w:p>
    <w:p w14:paraId="6E11149E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Entrevistas com usuários dos dados (técnicos e não-técnicos)</w:t>
      </w:r>
    </w:p>
    <w:p w14:paraId="73E8BD3C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Catalogação de consultas SQL típicas</w:t>
      </w:r>
    </w:p>
    <w:p w14:paraId="4AA018B5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Identificação de padrões de análise mais comuns</w:t>
      </w:r>
    </w:p>
    <w:p w14:paraId="44C02B9C">
      <w:pPr>
        <w:spacing w:before="180" w:after="60"/>
        <w:jc w:val="both"/>
        <w:rPr>
          <w:color w:val="auto"/>
        </w:rPr>
      </w:pPr>
      <w:r>
        <w:rPr>
          <w:rFonts w:hint="default"/>
          <w:b/>
          <w:bCs/>
          <w:color w:val="auto"/>
          <w:lang w:val="pt-BR"/>
        </w:rPr>
        <w:t>Entregáveis</w:t>
      </w:r>
      <w:r>
        <w:rPr>
          <w:b/>
          <w:bCs/>
          <w:color w:val="auto"/>
        </w:rPr>
        <w:t>:</w:t>
      </w:r>
    </w:p>
    <w:p w14:paraId="66E88083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Documentação do esquema de dados</w:t>
      </w:r>
    </w:p>
    <w:p w14:paraId="257FD948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Catálogo de metadados semânticos</w:t>
      </w:r>
    </w:p>
    <w:p w14:paraId="74BA15D5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Taxonomia de tipos de consultas</w:t>
      </w:r>
    </w:p>
    <w:p w14:paraId="1F49005E">
      <w:pPr>
        <w:pStyle w:val="4"/>
        <w:jc w:val="both"/>
        <w:rPr>
          <w:color w:val="auto"/>
        </w:rPr>
      </w:pPr>
      <w:r>
        <w:rPr>
          <w:color w:val="auto"/>
        </w:rPr>
        <w:t>Fase 2: Projeto da Arquitetura (</w:t>
      </w:r>
      <w:r>
        <w:rPr>
          <w:rFonts w:hint="default"/>
          <w:color w:val="auto"/>
          <w:lang w:val="pt-BR"/>
        </w:rPr>
        <w:t xml:space="preserve">Etapa </w:t>
      </w:r>
      <w:r>
        <w:rPr>
          <w:color w:val="auto"/>
        </w:rPr>
        <w:t>3)</w:t>
      </w:r>
    </w:p>
    <w:p w14:paraId="3F1D213A">
      <w:pPr>
        <w:spacing w:after="120"/>
        <w:jc w:val="both"/>
        <w:rPr>
          <w:color w:val="auto"/>
        </w:rPr>
      </w:pPr>
      <w:r>
        <w:rPr>
          <w:color w:val="auto"/>
        </w:rPr>
        <w:t>A arquitetura do sistema será composta por camadas hierárquicas inspiradas nos frameworks CHESS e MAC-SQL, incluindo:</w:t>
      </w:r>
    </w:p>
    <w:p w14:paraId="77D9A176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Camada de Apresentação: Interface web usando Streamlit</w:t>
      </w:r>
    </w:p>
    <w:p w14:paraId="17BB2291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Camada do Agente: Orquestração com LangGraph (Setup Schema, Retrieve Examples, Generate SQL, Validate SQL, Execute SQL, Format Answer)</w:t>
      </w:r>
    </w:p>
    <w:p w14:paraId="6064FC7F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Camada de Serviços: Metadata Helper, RAG/Vector Store, Security Validator</w:t>
      </w:r>
    </w:p>
    <w:p w14:paraId="0F07452F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b w:val="0"/>
          <w:bCs w:val="0"/>
          <w:color w:val="auto"/>
        </w:rPr>
        <w:t>Camada de Dados:</w:t>
      </w:r>
      <w:r>
        <w:rPr>
          <w:b/>
          <w:bCs/>
          <w:color w:val="auto"/>
        </w:rPr>
        <w:t xml:space="preserve"> </w:t>
      </w:r>
      <w:r>
        <w:rPr>
          <w:color w:val="auto"/>
        </w:rPr>
        <w:t>BigQuery - ANTAQ Dataset</w:t>
      </w:r>
    </w:p>
    <w:p w14:paraId="4A20C00B">
      <w:pPr>
        <w:pStyle w:val="4"/>
        <w:jc w:val="both"/>
        <w:rPr>
          <w:color w:val="auto"/>
        </w:rPr>
      </w:pPr>
      <w:r>
        <w:rPr>
          <w:color w:val="auto"/>
        </w:rPr>
        <w:t>Fase 3: Implementação do Core (</w:t>
      </w:r>
      <w:r>
        <w:rPr>
          <w:rFonts w:hint="default"/>
          <w:color w:val="auto"/>
          <w:lang w:val="pt-BR"/>
        </w:rPr>
        <w:t xml:space="preserve">Etapas </w:t>
      </w:r>
      <w:r>
        <w:rPr>
          <w:color w:val="auto"/>
        </w:rPr>
        <w:t>4-6)</w:t>
      </w:r>
    </w:p>
    <w:p w14:paraId="58A24931">
      <w:pPr>
        <w:spacing w:before="120" w:after="60"/>
        <w:jc w:val="both"/>
        <w:rPr>
          <w:color w:val="auto"/>
        </w:rPr>
      </w:pPr>
      <w:r>
        <w:rPr>
          <w:b/>
          <w:bCs/>
          <w:color w:val="auto"/>
        </w:rPr>
        <w:t>Módulos Principais:</w:t>
      </w:r>
    </w:p>
    <w:p w14:paraId="77E6DF1D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MetadataHelper: Biblioteca para descrição semântica de schemas inspirada em DAIL-SQL</w:t>
      </w:r>
    </w:p>
    <w:p w14:paraId="4911B8F3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RAG System: Recuperação de exemplos similares usando embeddings com técnicas de Self-RAG</w:t>
      </w:r>
    </w:p>
    <w:p w14:paraId="02B4012B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SQL Validator: Validação sintática e semântica das queries geradas</w:t>
      </w:r>
    </w:p>
    <w:p w14:paraId="50784CA0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b w:val="0"/>
          <w:bCs w:val="0"/>
          <w:color w:val="auto"/>
        </w:rPr>
        <w:t xml:space="preserve">LangGraph Agent: </w:t>
      </w:r>
      <w:r>
        <w:rPr>
          <w:color w:val="auto"/>
        </w:rPr>
        <w:t>Máquina de estados para orquestração do fluxo inspirada em DIN-SQL</w:t>
      </w:r>
    </w:p>
    <w:p w14:paraId="2E1DFD6C">
      <w:pPr>
        <w:pStyle w:val="4"/>
        <w:jc w:val="both"/>
        <w:rPr>
          <w:color w:val="auto"/>
        </w:rPr>
      </w:pPr>
      <w:r>
        <w:rPr>
          <w:color w:val="auto"/>
        </w:rPr>
        <w:t>Fase 4: Interface e Integração (</w:t>
      </w:r>
      <w:r>
        <w:rPr>
          <w:rFonts w:hint="default"/>
          <w:color w:val="auto"/>
          <w:lang w:val="pt-BR"/>
        </w:rPr>
        <w:t xml:space="preserve">Etapa </w:t>
      </w:r>
      <w:r>
        <w:rPr>
          <w:color w:val="auto"/>
        </w:rPr>
        <w:t>7)</w:t>
      </w:r>
    </w:p>
    <w:p w14:paraId="5D1AB978">
      <w:pPr>
        <w:spacing w:after="120"/>
        <w:jc w:val="both"/>
        <w:rPr>
          <w:color w:val="auto"/>
        </w:rPr>
      </w:pPr>
      <w:r>
        <w:rPr>
          <w:color w:val="auto"/>
        </w:rPr>
        <w:t>Desenvolvimento da interface web com Streamlit, incluindo:</w:t>
      </w:r>
    </w:p>
    <w:p w14:paraId="4B05B48C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Interface conversacional para entrada de perguntas</w:t>
      </w:r>
    </w:p>
    <w:p w14:paraId="071EC4B4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Visualização de resultados em tabelas e gráficos</w:t>
      </w:r>
    </w:p>
    <w:p w14:paraId="7230622A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Exibição do SQL gerado para transparência</w:t>
      </w:r>
    </w:p>
    <w:p w14:paraId="560D113F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Sistema de feedback do usuário</w:t>
      </w:r>
    </w:p>
    <w:p w14:paraId="3FD574CD">
      <w:pPr>
        <w:pStyle w:val="4"/>
        <w:jc w:val="both"/>
        <w:rPr>
          <w:color w:val="auto"/>
        </w:rPr>
      </w:pPr>
      <w:r>
        <w:rPr>
          <w:color w:val="auto"/>
        </w:rPr>
        <w:t>Fase 5: Testes e Validação (</w:t>
      </w:r>
      <w:r>
        <w:rPr>
          <w:rFonts w:hint="default"/>
          <w:color w:val="auto"/>
          <w:lang w:val="pt-BR"/>
        </w:rPr>
        <w:t xml:space="preserve">Etapas </w:t>
      </w:r>
      <w:r>
        <w:rPr>
          <w:color w:val="auto"/>
        </w:rPr>
        <w:t>8-10)</w:t>
      </w:r>
    </w:p>
    <w:p w14:paraId="1773B8E7">
      <w:pPr>
        <w:spacing w:before="120" w:after="60"/>
        <w:jc w:val="both"/>
        <w:rPr>
          <w:color w:val="auto"/>
        </w:rPr>
      </w:pPr>
      <w:r>
        <w:rPr>
          <w:b/>
          <w:bCs/>
          <w:color w:val="auto"/>
        </w:rPr>
        <w:t>Métricas de Avaliação:</w:t>
      </w:r>
    </w:p>
    <w:p w14:paraId="7790D4CF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Execution Accuracy: Porcentagem de queries que retornam resultados corretos</w:t>
      </w:r>
    </w:p>
    <w:p w14:paraId="2F9F34BD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Valid Efficiency Score: Métrica do BIRD que considera correção e eficiência</w:t>
      </w:r>
    </w:p>
    <w:p w14:paraId="76AC6904">
      <w:pPr>
        <w:pStyle w:val="17"/>
        <w:numPr>
          <w:ilvl w:val="0"/>
          <w:numId w:val="1"/>
        </w:numPr>
        <w:jc w:val="both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Satisfação do Usuário: Questionários e entrevistas pós-uso</w:t>
      </w:r>
    </w:p>
    <w:p w14:paraId="67B96A44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b w:val="0"/>
          <w:bCs w:val="0"/>
          <w:color w:val="auto"/>
        </w:rPr>
        <w:t>Tempo de Resposta:</w:t>
      </w:r>
      <w:r>
        <w:rPr>
          <w:b/>
          <w:bCs/>
          <w:color w:val="auto"/>
        </w:rPr>
        <w:t xml:space="preserve"> </w:t>
      </w:r>
      <w:r>
        <w:rPr>
          <w:color w:val="auto"/>
        </w:rPr>
        <w:t>Latência média do sistema</w:t>
      </w:r>
    </w:p>
    <w:p w14:paraId="5E8105E2">
      <w:pPr>
        <w:pStyle w:val="4"/>
        <w:jc w:val="both"/>
        <w:rPr>
          <w:color w:val="auto"/>
        </w:rPr>
      </w:pPr>
      <w:r>
        <w:rPr>
          <w:color w:val="auto"/>
        </w:rPr>
        <w:t>Fase 6: Análise e Documentação (</w:t>
      </w:r>
      <w:r>
        <w:rPr>
          <w:rFonts w:hint="default"/>
          <w:color w:val="auto"/>
          <w:lang w:val="pt-BR"/>
        </w:rPr>
        <w:t xml:space="preserve">Etapas </w:t>
      </w:r>
      <w:r>
        <w:rPr>
          <w:color w:val="auto"/>
        </w:rPr>
        <w:t>11-12)</w:t>
      </w:r>
    </w:p>
    <w:p w14:paraId="192EAEEA">
      <w:pPr>
        <w:spacing w:after="120"/>
        <w:jc w:val="both"/>
        <w:rPr>
          <w:color w:val="auto"/>
        </w:rPr>
      </w:pPr>
      <w:r>
        <w:rPr>
          <w:color w:val="auto"/>
        </w:rPr>
        <w:t>Análise dos resultados, refinamento do sistema, redação de artigos científicos e documentação técnica completa.</w:t>
      </w:r>
    </w:p>
    <w:p w14:paraId="65AFA3B9">
      <w:pPr>
        <w:pStyle w:val="3"/>
        <w:jc w:val="both"/>
        <w:rPr>
          <w:color w:val="auto"/>
        </w:rPr>
      </w:pPr>
      <w:r>
        <w:rPr>
          <w:color w:val="auto"/>
        </w:rPr>
        <w:t>5.3 Tecnologias e Ferramentas</w:t>
      </w:r>
    </w:p>
    <w:p w14:paraId="12E8D135">
      <w:pPr>
        <w:spacing w:before="120" w:after="60"/>
        <w:jc w:val="both"/>
        <w:rPr>
          <w:color w:val="auto"/>
        </w:rPr>
      </w:pPr>
      <w:r>
        <w:rPr>
          <w:b/>
          <w:bCs/>
          <w:color w:val="auto"/>
        </w:rPr>
        <w:t>Stack Tecnológico:</w:t>
      </w:r>
    </w:p>
    <w:p w14:paraId="0DD57323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Python 3.11+ (type hints, pattern matching, asyncio)</w:t>
      </w:r>
    </w:p>
    <w:p w14:paraId="5091261D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LangGraph &gt;= 0.2.0 (orquestração de agentes)</w:t>
      </w:r>
    </w:p>
    <w:p w14:paraId="026A0F51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LangChain &gt;= 0.3.0 (framework de agentes)</w:t>
      </w:r>
    </w:p>
    <w:p w14:paraId="23651F98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Gemini 1.5 Flash via Vertex AI (LLM)</w:t>
      </w:r>
    </w:p>
    <w:p w14:paraId="0BB78E55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BigQuery (banco de dados analítico)</w:t>
      </w:r>
    </w:p>
    <w:p w14:paraId="2981850D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BigQuery Vector Store (RAG)</w:t>
      </w:r>
    </w:p>
    <w:p w14:paraId="153CD9D2">
      <w:pPr>
        <w:pStyle w:val="17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Streamlit 1.28+ (interface web)</w:t>
      </w:r>
    </w:p>
    <w:p w14:paraId="07FAE948">
      <w:pPr>
        <w:spacing w:before="180" w:after="60"/>
        <w:jc w:val="both"/>
        <w:rPr>
          <w:color w:val="auto"/>
        </w:rPr>
      </w:pPr>
      <w:r>
        <w:rPr>
          <w:b/>
          <w:bCs/>
          <w:color w:val="auto"/>
        </w:rPr>
        <w:t>Dados Utilizados:</w:t>
      </w:r>
    </w:p>
    <w:p w14:paraId="5F724374">
      <w:pPr>
        <w:jc w:val="both"/>
        <w:rPr>
          <w:color w:val="auto"/>
        </w:rPr>
      </w:pPr>
      <w:r>
        <w:rPr>
          <w:rFonts w:hint="default"/>
          <w:color w:val="auto"/>
          <w:lang w:val="pt-BR"/>
        </w:rPr>
        <w:t>Dados do Estatístico Aquaviário da ANTAQ</w:t>
      </w:r>
      <w:r>
        <w:rPr>
          <w:color w:val="auto"/>
        </w:rPr>
        <w:br w:type="page"/>
      </w:r>
    </w:p>
    <w:p w14:paraId="6D4CC396">
      <w:pPr>
        <w:pStyle w:val="2"/>
        <w:jc w:val="both"/>
        <w:rPr>
          <w:color w:val="auto"/>
        </w:rPr>
      </w:pPr>
      <w:r>
        <w:rPr>
          <w:color w:val="auto"/>
        </w:rPr>
        <w:t>6. CRONOGRAMA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60"/>
        <w:gridCol w:w="5436"/>
        <w:gridCol w:w="2990"/>
      </w:tblGrid>
      <w:tr w14:paraId="4293F933">
        <w:trPr>
          <w:tblHeader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8"/>
          </w:tcPr>
          <w:p w14:paraId="0F759B27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b/>
                <w:bCs/>
                <w:color w:val="auto"/>
                <w:sz w:val="22"/>
                <w:szCs w:val="22"/>
                <w:lang w:val="pt-BR"/>
              </w:rPr>
              <w:t>Etpas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8"/>
          </w:tcPr>
          <w:p w14:paraId="111319AC">
            <w:pPr>
              <w:jc w:val="both"/>
              <w:rPr>
                <w:color w:val="auto"/>
              </w:rPr>
            </w:pPr>
            <w:r>
              <w:rPr>
                <w:b/>
                <w:bCs/>
                <w:color w:val="auto"/>
                <w:sz w:val="22"/>
                <w:szCs w:val="22"/>
              </w:rPr>
              <w:t>Atividade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8"/>
          </w:tcPr>
          <w:p w14:paraId="5A63B19F">
            <w:pPr>
              <w:jc w:val="both"/>
              <w:rPr>
                <w:color w:val="auto"/>
              </w:rPr>
            </w:pPr>
            <w:r>
              <w:rPr>
                <w:b/>
                <w:bCs/>
                <w:color w:val="auto"/>
                <w:sz w:val="22"/>
                <w:szCs w:val="22"/>
              </w:rPr>
              <w:t>Responsável</w:t>
            </w:r>
          </w:p>
        </w:tc>
      </w:tr>
      <w:tr w14:paraId="0F3FAB2D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02BEBEE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1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F232123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Levantamento de requisitos e análise de dados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93DFEB2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</w:t>
            </w:r>
          </w:p>
        </w:tc>
      </w:tr>
      <w:tr w14:paraId="6CF427E2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DF36C1A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2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9B851BA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Projeto da arquitetura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DFB59E1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 + Orientador</w:t>
            </w:r>
          </w:p>
        </w:tc>
      </w:tr>
      <w:tr w14:paraId="266CA036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B572626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3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26EC52A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Implementação MetadataHelper e RAG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C77807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</w:t>
            </w:r>
          </w:p>
        </w:tc>
      </w:tr>
      <w:tr w14:paraId="12DA5EB1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9279D95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4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B60DC34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Implementação LangGraph e validação SQL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0A4C11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</w:t>
            </w:r>
          </w:p>
        </w:tc>
      </w:tr>
      <w:tr w14:paraId="138F8F19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42D70C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5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499A467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Desenvolvimento interface Streamlit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30BDA17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</w:t>
            </w:r>
          </w:p>
        </w:tc>
      </w:tr>
      <w:tr w14:paraId="0C441E08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D52682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6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17BD54C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Testes técnicos e ajustes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EC2EC42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</w:t>
            </w:r>
          </w:p>
        </w:tc>
      </w:tr>
      <w:tr w14:paraId="7F51776A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C99D7B2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7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E32851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Validação com usuários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30D80A3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 + Voluntários</w:t>
            </w:r>
          </w:p>
        </w:tc>
      </w:tr>
      <w:tr w14:paraId="771EEA21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1662F1B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8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9A45094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Análise de resultados e refinamento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5CB5D4CB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 + Orientador</w:t>
            </w:r>
          </w:p>
        </w:tc>
      </w:tr>
      <w:tr w14:paraId="3325E824"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DBCBCA4">
            <w:pPr>
              <w:jc w:val="both"/>
              <w:rPr>
                <w:rFonts w:hint="default"/>
                <w:color w:val="auto"/>
                <w:lang w:val="pt-BR"/>
              </w:rPr>
            </w:pPr>
            <w:r>
              <w:rPr>
                <w:rFonts w:hint="default"/>
                <w:color w:val="auto"/>
                <w:lang w:val="pt-BR"/>
              </w:rPr>
              <w:t>9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F3635B5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Documentação e artigos científicos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3D0C1C">
            <w:pPr>
              <w:jc w:val="both"/>
              <w:rPr>
                <w:color w:val="auto"/>
              </w:rPr>
            </w:pPr>
            <w:r>
              <w:rPr>
                <w:color w:val="auto"/>
              </w:rPr>
              <w:t>Pesquisador + Orientador</w:t>
            </w:r>
          </w:p>
        </w:tc>
      </w:tr>
    </w:tbl>
    <w:p w14:paraId="57E81447">
      <w:pPr>
        <w:jc w:val="both"/>
        <w:rPr>
          <w:color w:val="auto"/>
        </w:rPr>
      </w:pPr>
    </w:p>
    <w:p w14:paraId="584538AE">
      <w:pPr>
        <w:pStyle w:val="2"/>
        <w:jc w:val="both"/>
        <w:rPr>
          <w:color w:val="auto"/>
        </w:rPr>
      </w:pPr>
      <w:r>
        <w:rPr>
          <w:color w:val="auto"/>
        </w:rPr>
        <w:t>7. RESULTADOS ESPERADOS</w:t>
      </w:r>
    </w:p>
    <w:p w14:paraId="4E307386">
      <w:pPr>
        <w:spacing w:after="120"/>
        <w:jc w:val="both"/>
        <w:rPr>
          <w:color w:val="auto"/>
        </w:rPr>
      </w:pPr>
      <w:r>
        <w:rPr>
          <w:color w:val="auto"/>
        </w:rPr>
        <w:t xml:space="preserve">O projeto espera gerar produtos técnicos (sistema funcional, interface web, código </w:t>
      </w:r>
      <w:r>
        <w:rPr>
          <w:rFonts w:hint="default" w:ascii="Arial Italic" w:hAnsi="Arial Italic" w:cs="Arial Italic"/>
          <w:i/>
          <w:iCs/>
          <w:color w:val="auto"/>
        </w:rPr>
        <w:t>open source</w:t>
      </w:r>
      <w:r>
        <w:rPr>
          <w:color w:val="auto"/>
        </w:rPr>
        <w:t xml:space="preserve">), produtos científicos (artigos em periódicos e congressos nacionais/internacionais), e contribuições teóricas (metodologia de engenharia de metadados, arquitetura de agentes especializados para </w:t>
      </w:r>
      <w:r>
        <w:rPr>
          <w:rFonts w:hint="default" w:ascii="Arial Italic" w:hAnsi="Arial Italic" w:cs="Arial Italic"/>
          <w:i/>
          <w:iCs/>
          <w:color w:val="auto"/>
        </w:rPr>
        <w:t>Text-to-SQL</w:t>
      </w:r>
      <w:r>
        <w:rPr>
          <w:color w:val="auto"/>
        </w:rPr>
        <w:t>).</w:t>
      </w:r>
    </w:p>
    <w:p w14:paraId="344F6F78">
      <w:pPr>
        <w:pStyle w:val="2"/>
        <w:jc w:val="both"/>
        <w:rPr>
          <w:color w:val="auto"/>
        </w:rPr>
      </w:pPr>
      <w:r>
        <w:rPr>
          <w:color w:val="auto"/>
        </w:rPr>
        <w:t>8. RISCOS E MITIGAÇÕES</w:t>
      </w:r>
    </w:p>
    <w:p w14:paraId="2D897C99">
      <w:pPr>
        <w:spacing w:after="120"/>
        <w:jc w:val="both"/>
        <w:rPr>
          <w:color w:val="auto"/>
        </w:rPr>
      </w:pPr>
      <w:r>
        <w:rPr>
          <w:color w:val="auto"/>
        </w:rPr>
        <w:t>Os principais riscos incluem: dificuldade do LLM em compreender domínio específico (mitigação via few-shot learning + metadados ricos), geração de queries SQL incorretas (mitigação via validador sintático + semântico), performance insuficiente (mitigação via cache + otimizações de prompt), baixa adoção pelos usuários (mitigação via testes com usuários + UX refinada), e custos elevados de API (mitigação via cache + modelo custo-benefício).</w:t>
      </w:r>
    </w:p>
    <w:p w14:paraId="750D4F69">
      <w:pPr>
        <w:pStyle w:val="2"/>
        <w:jc w:val="both"/>
        <w:rPr>
          <w:color w:val="auto"/>
        </w:rPr>
      </w:pPr>
      <w:r>
        <w:rPr>
          <w:color w:val="auto"/>
        </w:rPr>
        <w:t>9. ASPECTOS ÉTICOS</w:t>
      </w:r>
    </w:p>
    <w:p w14:paraId="7C78457B">
      <w:pPr>
        <w:spacing w:after="120"/>
        <w:jc w:val="both"/>
        <w:rPr>
          <w:color w:val="auto"/>
        </w:rPr>
      </w:pPr>
      <w:r>
        <w:rPr>
          <w:color w:val="auto"/>
        </w:rPr>
        <w:t>Todos os dados utilizados são públicos (governamentais), não há coleta de dados pessoais, e o sistema será transparente sobre suas limitações. A validação de SQL evitará consultas maliciosas, e haverá limitação de recursos (max rows, timeout) para responsabilidade computacional. A interface será em português brasileiro com suporte a linguagem natural.</w:t>
      </w:r>
      <w:r>
        <w:rPr>
          <w:color w:val="auto"/>
        </w:rPr>
        <w:br w:type="page"/>
      </w:r>
    </w:p>
    <w:p w14:paraId="243DBF45">
      <w:pPr>
        <w:pStyle w:val="2"/>
        <w:jc w:val="both"/>
        <w:rPr>
          <w:color w:val="auto"/>
        </w:rPr>
      </w:pPr>
      <w:r>
        <w:rPr>
          <w:color w:val="auto"/>
        </w:rPr>
        <w:t>1</w:t>
      </w:r>
      <w:r>
        <w:rPr>
          <w:rFonts w:hint="default"/>
          <w:color w:val="auto"/>
          <w:lang w:val="pt-BR"/>
        </w:rPr>
        <w:t>0</w:t>
      </w:r>
      <w:r>
        <w:rPr>
          <w:color w:val="auto"/>
        </w:rPr>
        <w:t xml:space="preserve">. REFERÊNCIAS </w:t>
      </w:r>
    </w:p>
    <w:p w14:paraId="6A71686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ANDROUTSOPOULOS, I.; RITCHIE, G. D.; THANISCH, P. </w:t>
      </w:r>
      <w:r>
        <w:rPr>
          <w:rStyle w:val="14"/>
        </w:rPr>
        <w:t>Natural language interfaces to databases: an introduction</w:t>
      </w:r>
      <w:r>
        <w:t>. arXiv preprint cmp-lg/9503016, 1995.</w:t>
      </w:r>
    </w:p>
    <w:p w14:paraId="5970285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ANTAQ. </w:t>
      </w:r>
      <w:r>
        <w:rPr>
          <w:rStyle w:val="14"/>
        </w:rPr>
        <w:t>Anuário estatístico do transporte aquaviário 2023</w:t>
      </w:r>
      <w:r>
        <w:t>. Brasília: ANTAQ, 2023.</w:t>
      </w:r>
    </w:p>
    <w:p w14:paraId="52A7194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ANTAQ. </w:t>
      </w:r>
      <w:r>
        <w:rPr>
          <w:rStyle w:val="14"/>
        </w:rPr>
        <w:t>Estatística aquaviária: metodologia oficial</w:t>
      </w:r>
      <w:r>
        <w:t>. Brasília: ANTAQ, 2024.</w:t>
      </w:r>
    </w:p>
    <w:p w14:paraId="2C9BFD7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ASAI, A. et al. </w:t>
      </w:r>
      <w:r>
        <w:rPr>
          <w:rStyle w:val="14"/>
        </w:rPr>
        <w:t>Self-RAG: learning to retrieve, generate, and critique through self-reflection</w:t>
      </w:r>
      <w:r>
        <w:t>. In: INTERNATIONAL CONFERENCE ON LEARNING REPRESENTATIONS, 2024. Proceedings... [S.l.]: ICLR, 2024.</w:t>
      </w:r>
    </w:p>
    <w:p w14:paraId="4FE43A7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BIGQUERY DOCUMENTATION. </w:t>
      </w:r>
      <w:r>
        <w:rPr>
          <w:rStyle w:val="14"/>
        </w:rPr>
        <w:t>BigQuery documentation</w:t>
      </w:r>
      <w:r>
        <w:t xml:space="preserve">. Disponível em: </w:t>
      </w:r>
      <w:r>
        <w:fldChar w:fldCharType="begin"/>
      </w:r>
      <w:r>
        <w:instrText xml:space="preserve"> HYPERLINK "https://cloud.google.com/bigquery/docs" </w:instrText>
      </w:r>
      <w:r>
        <w:fldChar w:fldCharType="separate"/>
      </w:r>
      <w:r>
        <w:rPr>
          <w:rStyle w:val="12"/>
        </w:rPr>
        <w:t>https://cloud.google.com/bigquery/docs</w:t>
      </w:r>
      <w:r>
        <w:fldChar w:fldCharType="end"/>
      </w:r>
      <w:r>
        <w:t>. Acesso em</w:t>
      </w:r>
      <w:r>
        <w:rPr>
          <w:rFonts w:hint="default"/>
          <w:lang w:val="pt-BR"/>
        </w:rPr>
        <w:t xml:space="preserve"> 12 dez.</w:t>
      </w:r>
      <w:r>
        <w:t xml:space="preserve"> 202</w:t>
      </w:r>
      <w:r>
        <w:rPr>
          <w:rFonts w:hint="default"/>
          <w:lang w:val="pt-BR"/>
        </w:rPr>
        <w:t>5</w:t>
      </w:r>
      <w:r>
        <w:t>.</w:t>
      </w:r>
    </w:p>
    <w:p w14:paraId="6684849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DONG, X. et al. </w:t>
      </w:r>
      <w:r>
        <w:rPr>
          <w:rStyle w:val="14"/>
        </w:rPr>
        <w:t>C3: zero-shot text-to-SQL with ChatGPT</w:t>
      </w:r>
      <w:r>
        <w:t>. arXiv:2307.07306, 2023.</w:t>
      </w:r>
    </w:p>
    <w:p w14:paraId="06663C5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GAO, D. et al. </w:t>
      </w:r>
      <w:r>
        <w:rPr>
          <w:rStyle w:val="14"/>
        </w:rPr>
        <w:t>Text-to-SQL empowered by large language models: a benchmark evaluation</w:t>
      </w:r>
      <w:r>
        <w:t>. In: INTERNATIONAL CONFERENCE ON VERY LARGE DATA BASES, 2024. Proceedings... [S.l.]: VLDB, 2024.</w:t>
      </w:r>
    </w:p>
    <w:p w14:paraId="51EEF65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GAO, Y. et al. </w:t>
      </w:r>
      <w:r>
        <w:rPr>
          <w:rStyle w:val="14"/>
        </w:rPr>
        <w:t>Retrieval-augmented generation for large language models: a survey</w:t>
      </w:r>
      <w:r>
        <w:t>. arXiv:2312.10997, 2024.</w:t>
      </w:r>
    </w:p>
    <w:p w14:paraId="2AD0342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HEVNER, A. R. et al. </w:t>
      </w:r>
      <w:r>
        <w:rPr>
          <w:rStyle w:val="14"/>
        </w:rPr>
        <w:t>Design science in information systems research</w:t>
      </w:r>
      <w:r>
        <w:t>. MIS Quarterly, v. 28, n. 1, p. 75-105, 2004.</w:t>
      </w:r>
    </w:p>
    <w:p w14:paraId="2A22D1C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KATSOGIANNIS-MEIMARAKIS, G.; KOUTRIKA, G. </w:t>
      </w:r>
      <w:r>
        <w:rPr>
          <w:rStyle w:val="14"/>
        </w:rPr>
        <w:t>A survey on deep learning approaches for text-to-SQL</w:t>
      </w:r>
      <w:r>
        <w:t>. The VLDB Journal, v. 32, p. 905-936, 2023.</w:t>
      </w:r>
    </w:p>
    <w:p w14:paraId="0B10B3B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pt-BR"/>
        </w:rPr>
      </w:pPr>
      <w:r>
        <w:t xml:space="preserve">LANGGRAPH DOCUMENTATION. </w:t>
      </w:r>
      <w:r>
        <w:rPr>
          <w:rStyle w:val="14"/>
        </w:rPr>
        <w:t>LangGraph documentation</w:t>
      </w:r>
      <w:r>
        <w:t xml:space="preserve">. Disponível em: </w:t>
      </w:r>
      <w:r>
        <w:fldChar w:fldCharType="begin"/>
      </w:r>
      <w:r>
        <w:instrText xml:space="preserve"> HYPERLINK "https://langchain-ai.github.io/langgraph/" </w:instrText>
      </w:r>
      <w:r>
        <w:fldChar w:fldCharType="separate"/>
      </w:r>
      <w:r>
        <w:rPr>
          <w:rStyle w:val="12"/>
        </w:rPr>
        <w:t>https://langchain-ai.github.io/langgraph/</w:t>
      </w:r>
      <w:r>
        <w:fldChar w:fldCharType="end"/>
      </w:r>
      <w:r>
        <w:t>. Acesso em</w:t>
      </w:r>
      <w:r>
        <w:rPr>
          <w:rFonts w:hint="default"/>
          <w:lang w:val="pt-BR"/>
        </w:rPr>
        <w:t xml:space="preserve"> 18 dez. 2025.</w:t>
      </w:r>
      <w:bookmarkStart w:id="0" w:name="_GoBack"/>
      <w:bookmarkEnd w:id="0"/>
    </w:p>
    <w:p w14:paraId="33B845B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LEI, F. et al. </w:t>
      </w:r>
      <w:r>
        <w:rPr>
          <w:rStyle w:val="14"/>
        </w:rPr>
        <w:t>Spider 2.0: evaluating language models on real-world enterprise text-to-SQL workflows</w:t>
      </w:r>
      <w:r>
        <w:t>. arXiv:2411.07763, 2024.</w:t>
      </w:r>
    </w:p>
    <w:p w14:paraId="165B9FB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LEWIS, P. et al. </w:t>
      </w:r>
      <w:r>
        <w:rPr>
          <w:rStyle w:val="14"/>
        </w:rPr>
        <w:t>Retrieval-augmented generation for knowledge-intensive NLP tasks</w:t>
      </w:r>
      <w:r>
        <w:t>. In: CONFERENCE ON NEURAL INFORMATION PROCESSING SYSTEMS, 2020. Proceedings... [S.l.]: NeurIPS, 2020.</w:t>
      </w:r>
    </w:p>
    <w:p w14:paraId="3921523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LI, H. et al. </w:t>
      </w:r>
      <w:r>
        <w:rPr>
          <w:rStyle w:val="14"/>
        </w:rPr>
        <w:t>CodeS: towards building open-source language models for text-to-SQL</w:t>
      </w:r>
      <w:r>
        <w:t>. In: ACM SIGMOD INTERNATIONAL CONFERENCE ON MANAGEMENT OF DATA, 2024. Proceedings... [S.l.]: SIGMOD, 2024.</w:t>
      </w:r>
    </w:p>
    <w:p w14:paraId="66290DB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LI, H. et al. </w:t>
      </w:r>
      <w:r>
        <w:rPr>
          <w:rStyle w:val="14"/>
        </w:rPr>
        <w:t>RESDSQL: decoupling schema linking and skeleton parsing for text-to-SQL</w:t>
      </w:r>
      <w:r>
        <w:t>. In: AAAI CONFERENCE ON ARTIFICIAL INTELLIGENCE, 2023. Proceedings... [S.l.]: AAAI, 2023.</w:t>
      </w:r>
    </w:p>
    <w:p w14:paraId="72CAFA9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LI, J. et al. </w:t>
      </w:r>
      <w:r>
        <w:rPr>
          <w:rStyle w:val="14"/>
        </w:rPr>
        <w:t>Can LLM already serve as a database interface? A big bench for large-scale database grounded text-to-SQLs</w:t>
      </w:r>
      <w:r>
        <w:t>. In: CONFERENCE ON NEURAL INFORMATION PROCESSING SYSTEMS, 2023. Proceedings... [S.l.]: NeurIPS, 2023.</w:t>
      </w:r>
    </w:p>
    <w:p w14:paraId="018177F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POURREZA, M.; RAFIEI, D. </w:t>
      </w:r>
      <w:r>
        <w:rPr>
          <w:rStyle w:val="14"/>
        </w:rPr>
        <w:t>DIN-SQL: decomposed in-context learning of text-to-SQL with self-correction</w:t>
      </w:r>
      <w:r>
        <w:t>. In: CONFERENCE ON NEURAL INFORMATION PROCESSING SYSTEMS, 2023. Proceedings... [S.l.]: NeurIPS, 2023.</w:t>
      </w:r>
    </w:p>
    <w:p w14:paraId="2F19D96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QIN, B. et al. </w:t>
      </w:r>
      <w:r>
        <w:rPr>
          <w:rStyle w:val="14"/>
        </w:rPr>
        <w:t>A survey on text-to-SQL parsing: concepts, methods, and future directions</w:t>
      </w:r>
      <w:r>
        <w:t>. arXiv:2208.13629, 2022.</w:t>
      </w:r>
    </w:p>
    <w:p w14:paraId="4F84820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SHINN, N. et al. </w:t>
      </w:r>
      <w:r>
        <w:rPr>
          <w:rStyle w:val="14"/>
        </w:rPr>
        <w:t>Reflexion: language agents with verbal reinforcement learning</w:t>
      </w:r>
      <w:r>
        <w:t>. In: CONFERENCE ON NEURAL INFORMATION PROCESSING SYSTEMS, 2023. Proceedings... [S.l.]: NeurIPS, 2023.</w:t>
      </w:r>
    </w:p>
    <w:p w14:paraId="44A884C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TAI, C. Y. et al. </w:t>
      </w:r>
      <w:r>
        <w:rPr>
          <w:rStyle w:val="14"/>
        </w:rPr>
        <w:t>Exploring chain of thought style prompting for text-to-SQL</w:t>
      </w:r>
      <w:r>
        <w:t>. In: CONFERENCE ON EMPIRICAL METHODS IN NATURAL LANGUAGE PROCESSING, 2023. Proceedings... [S.l.]: EMNLP, 2023.</w:t>
      </w:r>
    </w:p>
    <w:p w14:paraId="39F4C66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TALAEI, S. et al. </w:t>
      </w:r>
      <w:r>
        <w:rPr>
          <w:rStyle w:val="14"/>
        </w:rPr>
        <w:t>CHESS: contextual harnessing for efficient SQL synthesis</w:t>
      </w:r>
      <w:r>
        <w:t>. arXiv:2405.16755, 2024.</w:t>
      </w:r>
    </w:p>
    <w:p w14:paraId="4EB0AA3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WANG, B. et al. </w:t>
      </w:r>
      <w:r>
        <w:rPr>
          <w:rStyle w:val="14"/>
        </w:rPr>
        <w:t>MAC-SQL: a multi-agent collaborative framework for text-to-SQL</w:t>
      </w:r>
      <w:r>
        <w:t>. arXiv:2312.11242, 2024.</w:t>
      </w:r>
    </w:p>
    <w:p w14:paraId="1FC6843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WANG, B. et al. </w:t>
      </w:r>
      <w:r>
        <w:rPr>
          <w:rStyle w:val="14"/>
        </w:rPr>
        <w:t>RAT-SQL: relation-aware schema encoding and linking for text-to-SQL parsers</w:t>
      </w:r>
      <w:r>
        <w:t>. In: ANNUAL MEETING OF THE ASSOCIATION FOR COMPUTATIONAL LINGUISTICS, 2020. Proceedings... [S.l.]: ACL, 2020.</w:t>
      </w:r>
    </w:p>
    <w:p w14:paraId="71FE7A3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WEI, J. et al. </w:t>
      </w:r>
      <w:r>
        <w:rPr>
          <w:rStyle w:val="14"/>
        </w:rPr>
        <w:t>Chain-of-thought prompting elicits reasoning in large language models</w:t>
      </w:r>
      <w:r>
        <w:t>. In: CONFERENCE ON NEURAL INFORMATION PROCESSING SYSTEMS, 2022. Proceedings... [S.l.]: NeurIPS, 2022.</w:t>
      </w:r>
    </w:p>
    <w:p w14:paraId="4D28AA3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YAO, S. et al. </w:t>
      </w:r>
      <w:r>
        <w:rPr>
          <w:rStyle w:val="14"/>
        </w:rPr>
        <w:t>ReAct: synergizing reasoning and acting in language models</w:t>
      </w:r>
      <w:r>
        <w:t>. In: INTERNATIONAL CONFERENCE ON LEARNING REPRESENTATIONS, 2023. Proceedings... [S.l.]: ICLR, 2023.</w:t>
      </w:r>
    </w:p>
    <w:p w14:paraId="2B012E9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YU, T. et al. </w:t>
      </w:r>
      <w:r>
        <w:rPr>
          <w:rStyle w:val="14"/>
        </w:rPr>
        <w:t>Spider: a large-scale human-labeled dataset for complex and cross-domain semantic parsing and text-to-SQL task</w:t>
      </w:r>
      <w:r>
        <w:t>. In: CONFERENCE ON EMPIRICAL METHODS IN NATURAL LANGUAGE PROCESSING, 2018. Proceedings... [S.l.]: EMNLP, 2018.</w:t>
      </w:r>
    </w:p>
    <w:p w14:paraId="45D3009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ZHONG, V.; XIONG, C.; SOCHER, R. </w:t>
      </w:r>
      <w:r>
        <w:rPr>
          <w:rStyle w:val="14"/>
        </w:rPr>
        <w:t>Seq2SQL: generating structured queries from natural language using reinforcement learning</w:t>
      </w:r>
      <w:r>
        <w:t>. arXiv:1709.00103, 2017.</w:t>
      </w:r>
    </w:p>
    <w:p w14:paraId="562788D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ZHU, X. et al. </w:t>
      </w:r>
      <w:r>
        <w:rPr>
          <w:rStyle w:val="14"/>
        </w:rPr>
        <w:t>Large language model enhanced text-to-SQL generation: a survey</w:t>
      </w:r>
      <w:r>
        <w:t>. arXiv:2410.06011, 2024.</w:t>
      </w:r>
    </w:p>
    <w:p w14:paraId="43863CDF">
      <w:pPr>
        <w:spacing w:before="120" w:after="240"/>
        <w:jc w:val="both"/>
        <w:rPr>
          <w:color w:val="auto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Italic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DAB64"/>
    <w:multiLevelType w:val="singleLevel"/>
    <w:tmpl w:val="CFEDAB6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C3E3326"/>
    <w:rsid w:val="3BFBE9B7"/>
    <w:rsid w:val="3DCFC53D"/>
    <w:rsid w:val="3F2BFBB5"/>
    <w:rsid w:val="3F6F63EF"/>
    <w:rsid w:val="53FDA254"/>
    <w:rsid w:val="55F7E7C0"/>
    <w:rsid w:val="5CBBE731"/>
    <w:rsid w:val="5ECDED2C"/>
    <w:rsid w:val="5F8FA882"/>
    <w:rsid w:val="66F4D61A"/>
    <w:rsid w:val="69DFC4B8"/>
    <w:rsid w:val="69FF7699"/>
    <w:rsid w:val="6F5F4F68"/>
    <w:rsid w:val="6FEC88F0"/>
    <w:rsid w:val="6FF8A6BF"/>
    <w:rsid w:val="6FFF4FEF"/>
    <w:rsid w:val="723F8E26"/>
    <w:rsid w:val="732EB24B"/>
    <w:rsid w:val="73EF5098"/>
    <w:rsid w:val="77DE0082"/>
    <w:rsid w:val="78F75BDE"/>
    <w:rsid w:val="7B7A6847"/>
    <w:rsid w:val="7BF231BC"/>
    <w:rsid w:val="7BFD2197"/>
    <w:rsid w:val="7DF2E499"/>
    <w:rsid w:val="7E7B9C16"/>
    <w:rsid w:val="7F9744E6"/>
    <w:rsid w:val="7FF87B17"/>
    <w:rsid w:val="95DDEA1B"/>
    <w:rsid w:val="B5FF955B"/>
    <w:rsid w:val="B9FB07D6"/>
    <w:rsid w:val="BFFDA340"/>
    <w:rsid w:val="C9FB0393"/>
    <w:rsid w:val="CF733C6E"/>
    <w:rsid w:val="DBFF1CD0"/>
    <w:rsid w:val="DCFF22A6"/>
    <w:rsid w:val="DD6854EE"/>
    <w:rsid w:val="DDFF09AF"/>
    <w:rsid w:val="EC768FB8"/>
    <w:rsid w:val="EEF6AB3F"/>
    <w:rsid w:val="F1AC5161"/>
    <w:rsid w:val="F33F3066"/>
    <w:rsid w:val="F6A7CE3F"/>
    <w:rsid w:val="F7738DD2"/>
    <w:rsid w:val="F7FE083B"/>
    <w:rsid w:val="F9DFBDC4"/>
    <w:rsid w:val="FBDFC66B"/>
    <w:rsid w:val="FBDFCB77"/>
    <w:rsid w:val="FCBE322B"/>
    <w:rsid w:val="FDE7C5E4"/>
    <w:rsid w:val="FF3D9CAA"/>
    <w:rsid w:val="FFAF7A11"/>
    <w:rsid w:val="FFBE810D"/>
    <w:rsid w:val="FFEF029E"/>
    <w:rsid w:val="FFFE4B42"/>
    <w:rsid w:val="FFFFF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F4E78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Arial" w:hAnsi="Arial" w:eastAsia="Arial" w:cs="Arial"/>
      <w:b/>
      <w:bCs/>
      <w:color w:val="2E75B5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Arial" w:hAnsi="Arial" w:eastAsia="Arial" w:cs="Arial"/>
      <w:b/>
      <w:bCs/>
      <w:color w:val="44546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Normal (Web)"/>
    <w:basedOn w:val="1"/>
    <w:uiPriority w:val="0"/>
    <w:rPr>
      <w:sz w:val="24"/>
      <w:szCs w:val="24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Subtitle"/>
    <w:uiPriority w:val="0"/>
    <w:pPr>
      <w:spacing w:after="240"/>
      <w:jc w:val="center"/>
    </w:pPr>
    <w:rPr>
      <w:rFonts w:ascii="Arial" w:hAnsi="Arial" w:eastAsia="Arial" w:cs="Arial"/>
      <w:i/>
      <w:iCs/>
      <w:color w:val="666666"/>
      <w:sz w:val="22"/>
      <w:szCs w:val="22"/>
    </w:rPr>
  </w:style>
  <w:style w:type="paragraph" w:styleId="16">
    <w:name w:val="Title"/>
    <w:uiPriority w:val="0"/>
    <w:pPr>
      <w:spacing w:before="240" w:after="240"/>
      <w:jc w:val="center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360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Selma Gomes</cp:lastModifiedBy>
  <dcterms:modified xsi:type="dcterms:W3CDTF">2026-01-01T11:48:05Z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292E570374E7B175FA70556955B1DA7C_42</vt:lpwstr>
  </property>
</Properties>
</file>