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70.png" ContentType="image/png"/>
  <Override PartName="/word/media/rId40.png" ContentType="image/png"/>
  <Override PartName="/word/media/rId66.png" ContentType="image/png"/>
  <Override PartName="/word/media/rId36.png" ContentType="image/png"/>
  <Override PartName="/word/media/rId62.png" ContentType="image/png"/>
  <Override PartName="/word/media/rId28.png" ContentType="image/png"/>
  <Override PartName="/word/media/rId54.png" ContentType="image/png"/>
  <Override PartName="/word/media/rId49.png" ContentType="image/png"/>
  <Override PartName="/word/media/rId20.png" ContentType="image/png"/>
  <Override PartName="/word/media/rId32.png" ContentType="image/png"/>
  <Override PartName="/word/media/rId5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Mercado</w:t>
      </w:r>
      <w:r>
        <w:t xml:space="preserve"> </w:t>
      </w:r>
      <w:r>
        <w:t xml:space="preserve">de</w:t>
      </w:r>
      <w:r>
        <w:t xml:space="preserve"> </w:t>
      </w:r>
      <w:r>
        <w:t xml:space="preserve">Trabalho</w:t>
      </w:r>
      <w:r>
        <w:t xml:space="preserve"> </w:t>
      </w:r>
      <w:r>
        <w:t xml:space="preserve">Portuário</w:t>
      </w:r>
    </w:p>
    <w:p>
      <w:pPr>
        <w:pStyle w:val="Subtitle"/>
      </w:pPr>
      <w:r>
        <w:t xml:space="preserve">Agosto</w:t>
      </w:r>
      <w:r>
        <w:t xml:space="preserve"> </w:t>
      </w:r>
      <w:r>
        <w:t xml:space="preserve">de</w:t>
      </w:r>
      <w:r>
        <w:t xml:space="preserve"> </w:t>
      </w:r>
      <w:r>
        <w:t xml:space="preserve">2024</w:t>
      </w:r>
    </w:p>
    <w:p>
      <w:pPr>
        <w:pStyle w:val="Author"/>
      </w:pPr>
      <w:r>
        <w:t xml:space="preserve">Observatório</w:t>
      </w:r>
      <w:r>
        <w:t xml:space="preserve"> </w:t>
      </w:r>
      <w:r>
        <w:t xml:space="preserve">Portuário</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bookmarkStart w:id="48" w:name="Xa499df361cecec2e2cdac81e23ed188dd5cdb1e"/>
    <w:p>
      <w:pPr>
        <w:pStyle w:val="Heading1"/>
      </w:pPr>
      <w:r>
        <w:t xml:space="preserve">1. Dinâmica do Mercado de Trabalho Portuário no Brasil</w:t>
      </w:r>
    </w:p>
    <w:p>
      <w:pPr>
        <w:pStyle w:val="FirstParagraph"/>
      </w:pPr>
      <w:r>
        <w:t xml:space="preserve">O número de admitidos no mês foi de 2448, enquanto o de desligados foi de 1730, o que resultou em um saldo (diferença entre admitidos e desligados ) de 718 postos de trabalho no setor portuário no país.</w:t>
      </w:r>
    </w:p>
    <w:p>
      <w:pPr>
        <w:pStyle w:val="BodyText"/>
      </w:pPr>
      <w:r>
        <w:t xml:space="preserve">Ao considerar as regiões do país, observa-se que o desempenho no Sudeste foi de 473 vínculos de saldo, resultado de 1303 admitidos e 830 desligados. No Nordeste, o saldo total foi de 95 vínculos, com 244 admitidos e 149 desligados.</w:t>
      </w:r>
    </w:p>
    <w:p>
      <w:pPr>
        <w:pStyle w:val="BodyText"/>
      </w:pPr>
      <w:r>
        <w:t xml:space="preserve">Na região Norte, o saldo foi de 66 vínculos, com 511 admitidos e 445 desligados. Já na região Sul, o resultado foi de 60 vínculos, sendo 339 admitidos e 279 desligados. Por fim, a região Centro-Oeste apresentou um saldo de 24 vínculos, com 51 admitidos e 27 desligados.</w:t>
      </w:r>
    </w:p>
    <w:p>
      <w:pPr>
        <w:pStyle w:val="BodyText"/>
      </w:pPr>
      <w:r>
        <w:t xml:space="preserve">Ao considerar o</w:t>
      </w:r>
      <w:r>
        <w:t xml:space="preserve"> </w:t>
      </w:r>
      <w:hyperlink w:anchor="fig-saldo_regiao">
        <w:r>
          <w:rPr>
            <w:rStyle w:val="Hyperlink"/>
          </w:rPr>
          <w:t xml:space="preserve">Gráfico 1</w:t>
        </w:r>
      </w:hyperlink>
      <w:r>
        <w:t xml:space="preserve">, verifica-se as respectivas movimentações de admitidos e desligados por região.</w:t>
      </w:r>
    </w:p>
    <w:tbl>
      <w:tblPr>
        <w:tblStyle w:val="Table"/>
        <w:tblW w:type="pct" w:w="5000"/>
        <w:tblLook w:firstRow="0" w:lastRow="0" w:firstColumn="0" w:lastColumn="0" w:noHBand="0" w:noVBand="0" w:val="0000"/>
        <w:jc w:val="start"/>
        <w:tblLayout w:type="fixed"/>
      </w:tblPr>
      <w:tblGrid>
        <w:gridCol w:w="7920"/>
      </w:tblGrid>
      <w:tr>
        <w:tc>
          <w:tcPr/>
          <w:bookmarkStart w:id="23" w:name="fig-saldo_regiao"/>
          <w:p>
            <w:pPr>
              <w:pStyle w:val="Compact"/>
              <w:jc w:val="center"/>
            </w:pPr>
            <w:r>
              <w:drawing>
                <wp:inline>
                  <wp:extent cx="4620126" cy="3696101"/>
                  <wp:effectExtent b="0" l="0" r="0" t="0"/>
                  <wp:docPr descr="" title="" id="21" name="Picture"/>
                  <a:graphic>
                    <a:graphicData uri="http://schemas.openxmlformats.org/drawingml/2006/picture">
                      <pic:pic>
                        <pic:nvPicPr>
                          <pic:cNvPr descr="caged-portuario-docx_files/figure-docx/fig-saldo_regiao-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 Movimentação de vínculos por região</w:t>
            </w:r>
          </w:p>
          <w:bookmarkEnd w:id="23"/>
        </w:tc>
      </w:tr>
    </w:tbl>
    <w:p>
      <w:pPr>
        <w:pStyle w:val="BodyText"/>
      </w:pPr>
      <w:r>
        <w:t xml:space="preserve">Ao analisar o desempenho por unidade da federação, o</w:t>
      </w:r>
      <w:r>
        <w:t xml:space="preserve"> </w:t>
      </w:r>
      <w:hyperlink w:anchor="fig-saldo_uf">
        <w:r>
          <w:rPr>
            <w:rStyle w:val="Hyperlink"/>
          </w:rPr>
          <w:t xml:space="preserve">Gráfico 2</w:t>
        </w:r>
      </w:hyperlink>
      <w:r>
        <w:t xml:space="preserve"> </w:t>
      </w:r>
      <w:r>
        <w:t xml:space="preserve">mostra o desempenho de cada estado no mês.</w:t>
      </w:r>
    </w:p>
    <w:tbl>
      <w:tblPr>
        <w:tblStyle w:val="Table"/>
        <w:tblW w:type="pct" w:w="5000"/>
        <w:tblLook w:firstRow="0" w:lastRow="0" w:firstColumn="0" w:lastColumn="0" w:noHBand="0" w:noVBand="0" w:val="0000"/>
        <w:jc w:val="start"/>
        <w:tblLayout w:type="fixed"/>
      </w:tblPr>
      <w:tblGrid>
        <w:gridCol w:w="7920"/>
      </w:tblGrid>
      <w:tr>
        <w:tc>
          <w:tcPr/>
          <w:bookmarkStart w:id="27" w:name="fig-saldo_uf"/>
          <w:p>
            <w:pPr>
              <w:pStyle w:val="Compact"/>
              <w:jc w:val="center"/>
            </w:pPr>
            <w:r>
              <w:drawing>
                <wp:inline>
                  <wp:extent cx="4620126" cy="3696101"/>
                  <wp:effectExtent b="0" l="0" r="0" t="0"/>
                  <wp:docPr descr="" title="" id="25" name="Picture"/>
                  <a:graphic>
                    <a:graphicData uri="http://schemas.openxmlformats.org/drawingml/2006/picture">
                      <pic:pic>
                        <pic:nvPicPr>
                          <pic:cNvPr descr="caged-portuario-docx_files/figure-docx/fig-saldo_uf-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2: Saldo por estado</w:t>
            </w:r>
          </w:p>
          <w:bookmarkEnd w:id="27"/>
        </w:tc>
      </w:tr>
    </w:tbl>
    <w:p>
      <w:pPr>
        <w:pStyle w:val="BodyText"/>
      </w:pPr>
      <w:r>
        <w:t xml:space="preserve">Os gráficos acima apresentam a distribuição de movimentações de vínculos em diferentes unidades federativas e em suas respectivas regiões. A análise permite identificar variações na quantidade de movimentações, evidenciando tanto aumentos quanto reduções em cada estado e região. Esse panorama facilita a compreensão do desempenho regional no mês.</w:t>
      </w:r>
    </w:p>
    <w:p>
      <w:pPr>
        <w:pStyle w:val="BodyText"/>
      </w:pPr>
      <w:r>
        <w:t xml:space="preserve">O</w:t>
      </w:r>
      <w:r>
        <w:t xml:space="preserve"> </w:t>
      </w:r>
      <w:hyperlink w:anchor="fig-salarial_regiao">
        <w:r>
          <w:rPr>
            <w:rStyle w:val="Hyperlink"/>
          </w:rPr>
          <w:t xml:space="preserve">Gráfico 3</w:t>
        </w:r>
      </w:hyperlink>
      <w:r>
        <w:t xml:space="preserve">, por sua vez, apresenta a distribuição da mediana salarial mensal para admitidos e desligados nas diferentes regiões do Brasil. Os boxplots permitem visualizar a variação dos salários dentro de cada grupo, destacando a mediana, os quartis e os possíveis valores atípicos. Essa análise comparativa entre admitidos e desligados em cada região oferece uma perspectiva das diferenças salariais, ajudando a identificar tendências regionais.</w:t>
      </w:r>
    </w:p>
    <w:tbl>
      <w:tblPr>
        <w:tblStyle w:val="Table"/>
        <w:tblW w:type="pct" w:w="5000"/>
        <w:tblLook w:firstRow="0" w:lastRow="0" w:firstColumn="0" w:lastColumn="0" w:noHBand="0" w:noVBand="0" w:val="0000"/>
        <w:jc w:val="start"/>
        <w:tblLayout w:type="fixed"/>
      </w:tblPr>
      <w:tblGrid>
        <w:gridCol w:w="7920"/>
      </w:tblGrid>
      <w:tr>
        <w:tc>
          <w:tcPr/>
          <w:bookmarkStart w:id="31" w:name="fig-salarial_regiao"/>
          <w:p>
            <w:pPr>
              <w:pStyle w:val="Compact"/>
              <w:jc w:val="center"/>
            </w:pPr>
            <w:r>
              <w:drawing>
                <wp:inline>
                  <wp:extent cx="4620126" cy="3696101"/>
                  <wp:effectExtent b="0" l="0" r="0" t="0"/>
                  <wp:docPr descr="" title="" id="29" name="Picture"/>
                  <a:graphic>
                    <a:graphicData uri="http://schemas.openxmlformats.org/drawingml/2006/picture">
                      <pic:pic>
                        <pic:nvPicPr>
                          <pic:cNvPr descr="caged-portuario-docx_files/figure-docx/fig-salarial_regiao-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3: Mediana salarial mensal por região (R$)</w:t>
            </w:r>
          </w:p>
          <w:bookmarkEnd w:id="31"/>
        </w:tc>
      </w:tr>
    </w:tbl>
    <w:p>
      <w:pPr>
        <w:pStyle w:val="BodyText"/>
      </w:pPr>
      <w:r>
        <w:t xml:space="preserve">O</w:t>
      </w:r>
      <w:r>
        <w:t xml:space="preserve"> </w:t>
      </w:r>
      <w:hyperlink w:anchor="fig-saldo_sexo_br">
        <w:r>
          <w:rPr>
            <w:rStyle w:val="Hyperlink"/>
          </w:rPr>
          <w:t xml:space="preserve">Gráfico 4</w:t>
        </w:r>
      </w:hyperlink>
      <w:r>
        <w:t xml:space="preserve"> </w:t>
      </w:r>
      <w:r>
        <w:t xml:space="preserve">apresenta a distribuição de admissões e desligamentos no mercado de trabalho pelo recorte de sexo. As barras empilhadas indicam o número total de movimentações, permitindo uma comparação visual entre os grupos de homens e mulheres. Essa visualização facilita a análise das dinâmicas de contratação e desligamento, possibilitando a identificação de tendências de inclusão ou exclusão no mercado de trabalho de acordo com o sexo de cada trabalhador.</w:t>
      </w:r>
    </w:p>
    <w:tbl>
      <w:tblPr>
        <w:tblStyle w:val="Table"/>
        <w:tblW w:type="pct" w:w="5000"/>
        <w:tblLook w:firstRow="0" w:lastRow="0" w:firstColumn="0" w:lastColumn="0" w:noHBand="0" w:noVBand="0" w:val="0000"/>
        <w:jc w:val="start"/>
        <w:tblLayout w:type="fixed"/>
      </w:tblPr>
      <w:tblGrid>
        <w:gridCol w:w="7920"/>
      </w:tblGrid>
      <w:tr>
        <w:tc>
          <w:tcPr/>
          <w:bookmarkStart w:id="35" w:name="fig-saldo_sexo_br"/>
          <w:p>
            <w:pPr>
              <w:pStyle w:val="Compact"/>
              <w:jc w:val="center"/>
            </w:pPr>
            <w:r>
              <w:drawing>
                <wp:inline>
                  <wp:extent cx="4620126" cy="3696101"/>
                  <wp:effectExtent b="0" l="0" r="0" t="0"/>
                  <wp:docPr descr="" title="" id="33" name="Picture"/>
                  <a:graphic>
                    <a:graphicData uri="http://schemas.openxmlformats.org/drawingml/2006/picture">
                      <pic:pic>
                        <pic:nvPicPr>
                          <pic:cNvPr descr="caged-portuario-docx_files/figure-docx/fig-saldo_sexo_br-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4: Saldo de movimentações por sexo</w:t>
            </w:r>
          </w:p>
          <w:bookmarkEnd w:id="35"/>
        </w:tc>
      </w:tr>
    </w:tbl>
    <w:p>
      <w:pPr>
        <w:pStyle w:val="BodyText"/>
      </w:pPr>
      <w:r>
        <w:t xml:space="preserve">O</w:t>
      </w:r>
      <w:r>
        <w:t xml:space="preserve"> </w:t>
      </w:r>
      <w:hyperlink w:anchor="fig-escolaridade_br">
        <w:r>
          <w:rPr>
            <w:rStyle w:val="Hyperlink"/>
          </w:rPr>
          <w:t xml:space="preserve">Gráfico 5</w:t>
        </w:r>
      </w:hyperlink>
      <w:r>
        <w:t xml:space="preserve">, por sua vez, mostra a distribuição de admissões e desligamentos no mercado de trabalho, segmentada por diferentes níveis de escolaridade, no Brasil. As barras empilhadas mostram o total de movimentações para cada nível educacional, permitindo uma análise comparativa sobre como o grau de instrução influencia a dinâmica de contratação e desligamento, o que pode indicar padrões de empregabilidade na força de trabalho.</w:t>
      </w:r>
    </w:p>
    <w:tbl>
      <w:tblPr>
        <w:tblStyle w:val="Table"/>
        <w:tblW w:type="pct" w:w="5000"/>
        <w:tblLook w:firstRow="0" w:lastRow="0" w:firstColumn="0" w:lastColumn="0" w:noHBand="0" w:noVBand="0" w:val="0000"/>
        <w:jc w:val="start"/>
        <w:tblLayout w:type="fixed"/>
      </w:tblPr>
      <w:tblGrid>
        <w:gridCol w:w="7920"/>
      </w:tblGrid>
      <w:tr>
        <w:tc>
          <w:tcPr/>
          <w:bookmarkStart w:id="39" w:name="fig-escolaridade_br"/>
          <w:p>
            <w:pPr>
              <w:pStyle w:val="Compact"/>
              <w:jc w:val="center"/>
            </w:pPr>
            <w:r>
              <w:drawing>
                <wp:inline>
                  <wp:extent cx="4620126" cy="3696101"/>
                  <wp:effectExtent b="0" l="0" r="0" t="0"/>
                  <wp:docPr descr="" title="" id="37" name="Picture"/>
                  <a:graphic>
                    <a:graphicData uri="http://schemas.openxmlformats.org/drawingml/2006/picture">
                      <pic:pic>
                        <pic:nvPicPr>
                          <pic:cNvPr descr="caged-portuario-docx_files/figure-docx/fig-escolaridade_br-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5: Movimentações por grau de escolaridade no país</w:t>
            </w:r>
          </w:p>
          <w:bookmarkEnd w:id="39"/>
        </w:tc>
      </w:tr>
    </w:tbl>
    <w:p>
      <w:pPr>
        <w:pStyle w:val="BodyText"/>
      </w:pPr>
      <w:r>
        <w:t xml:space="preserve">O</w:t>
      </w:r>
      <w:r>
        <w:t xml:space="preserve"> </w:t>
      </w:r>
      <w:hyperlink w:anchor="fig-cbo_saldo_postivo">
        <w:r>
          <w:rPr>
            <w:rStyle w:val="Hyperlink"/>
          </w:rPr>
          <w:t xml:space="preserve">Gráfico 6</w:t>
        </w:r>
      </w:hyperlink>
      <w:r>
        <w:t xml:space="preserve"> </w:t>
      </w:r>
      <w:r>
        <w:t xml:space="preserve">apresenta as 10 ocupações que registraram o maior saldo positivo de movimentações no mês no país, indicando um maior número de admissões em relação aos desligamentos. Cada barra representa uma ocupação e está segmentada em admissões e desligamentos, permitindo uma análise clara das profissões com maior demanda. Isso auxilia na identificação de tendências de crescimento e setores com maior contratação.</w:t>
      </w:r>
    </w:p>
    <w:tbl>
      <w:tblPr>
        <w:tblStyle w:val="Table"/>
        <w:tblW w:type="pct" w:w="5000"/>
        <w:tblLook w:firstRow="0" w:lastRow="0" w:firstColumn="0" w:lastColumn="0" w:noHBand="0" w:noVBand="0" w:val="0000"/>
        <w:jc w:val="start"/>
        <w:tblLayout w:type="fixed"/>
      </w:tblPr>
      <w:tblGrid>
        <w:gridCol w:w="7920"/>
      </w:tblGrid>
      <w:tr>
        <w:tc>
          <w:tcPr/>
          <w:bookmarkStart w:id="43" w:name="fig-cbo_saldo_postivo"/>
          <w:p>
            <w:pPr>
              <w:pStyle w:val="Compact"/>
              <w:jc w:val="center"/>
            </w:pPr>
            <w:r>
              <w:drawing>
                <wp:inline>
                  <wp:extent cx="4620126" cy="3696101"/>
                  <wp:effectExtent b="0" l="0" r="0" t="0"/>
                  <wp:docPr descr="" title="" id="41" name="Picture"/>
                  <a:graphic>
                    <a:graphicData uri="http://schemas.openxmlformats.org/drawingml/2006/picture">
                      <pic:pic>
                        <pic:nvPicPr>
                          <pic:cNvPr descr="caged-portuario-docx_files/figure-docx/fig-cbo_saldo_postivo-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6: 10 ocupações com saldo positivo no mês</w:t>
            </w:r>
          </w:p>
          <w:bookmarkEnd w:id="43"/>
        </w:tc>
      </w:tr>
    </w:tbl>
    <w:p>
      <w:pPr>
        <w:pStyle w:val="BodyText"/>
      </w:pPr>
      <w:r>
        <w:t xml:space="preserve">O</w:t>
      </w:r>
      <w:r>
        <w:t xml:space="preserve"> </w:t>
      </w:r>
      <w:hyperlink w:anchor="fig-cbo_saldo_negativo">
        <w:r>
          <w:rPr>
            <w:rStyle w:val="Hyperlink"/>
          </w:rPr>
          <w:t xml:space="preserve">Gráfico 7</w:t>
        </w:r>
      </w:hyperlink>
      <w:r>
        <w:t xml:space="preserve">, por sua vez, mostra as 10 (dez) ocupações com o maior saldo negativo de movimentações no mês, mostrando profissões onde os desligamentos superaram as admissões. Essa informação é útil para identificar áreas de instabilidade e potencial necessidade de intervenções ou requalificação ou eventuais crises conjunturais.</w:t>
      </w:r>
    </w:p>
    <w:tbl>
      <w:tblPr>
        <w:tblStyle w:val="Table"/>
        <w:tblW w:type="pct" w:w="5000"/>
        <w:tblLook w:firstRow="0" w:lastRow="0" w:firstColumn="0" w:lastColumn="0" w:noHBand="0" w:noVBand="0" w:val="0000"/>
        <w:jc w:val="start"/>
        <w:tblLayout w:type="fixed"/>
      </w:tblPr>
      <w:tblGrid>
        <w:gridCol w:w="7920"/>
      </w:tblGrid>
      <w:tr>
        <w:tc>
          <w:tcPr/>
          <w:bookmarkStart w:id="47" w:name="fig-cbo_saldo_negativo"/>
          <w:p>
            <w:pPr>
              <w:pStyle w:val="Compact"/>
              <w:jc w:val="center"/>
            </w:pPr>
            <w:r>
              <w:drawing>
                <wp:inline>
                  <wp:extent cx="4620126" cy="3696101"/>
                  <wp:effectExtent b="0" l="0" r="0" t="0"/>
                  <wp:docPr descr="" title="" id="45" name="Picture"/>
                  <a:graphic>
                    <a:graphicData uri="http://schemas.openxmlformats.org/drawingml/2006/picture">
                      <pic:pic>
                        <pic:nvPicPr>
                          <pic:cNvPr descr="caged-portuario-docx_files/figure-docx/fig-cbo_saldo_negativo-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7: 10 ocupações com saldo negativo no mês</w:t>
            </w:r>
          </w:p>
          <w:bookmarkEnd w:id="47"/>
        </w:tc>
      </w:tr>
    </w:tbl>
    <w:bookmarkEnd w:id="48"/>
    <w:bookmarkStart w:id="74" w:name="X4436fdc83d8c8acea7d20f342833a1cd90306ae"/>
    <w:p>
      <w:pPr>
        <w:pStyle w:val="Heading1"/>
      </w:pPr>
      <w:r>
        <w:t xml:space="preserve">2. Mercado de Trabalho Portuário no Maranhão</w:t>
      </w:r>
    </w:p>
    <w:p>
      <w:pPr>
        <w:pStyle w:val="FirstParagraph"/>
      </w:pPr>
      <w:r>
        <w:t xml:space="preserve">A movimentação de empregos portuários e aquaviários no estado do Maranhão no mês resultou no saldo de 10 vagas, uma variação de -77.78%, considerando o mês anterior e uma variação de 233.33% no cálculo trimestral, considerando que o saldo há treses foi de 3 vínculos de emprego.</w:t>
      </w:r>
    </w:p>
    <w:p>
      <w:pPr>
        <w:pStyle w:val="BodyText"/>
      </w:pPr>
      <w:r>
        <w:t xml:space="preserve">O</w:t>
      </w:r>
      <w:r>
        <w:t xml:space="preserve"> </w:t>
      </w:r>
      <w:hyperlink w:anchor="fig-saldo-ma">
        <w:r>
          <w:rPr>
            <w:rStyle w:val="Hyperlink"/>
          </w:rPr>
          <w:t xml:space="preserve">Gráfico 8</w:t>
        </w:r>
      </w:hyperlink>
      <w:r>
        <w:t xml:space="preserve"> </w:t>
      </w:r>
      <w:r>
        <w:t xml:space="preserve">mostra a evolução da movimentação e o respectivo saldo de vínculos no estado, mostrando a tendência geral dos processos de admissão e demissão.</w:t>
      </w:r>
    </w:p>
    <w:tbl>
      <w:tblPr>
        <w:tblStyle w:val="Table"/>
        <w:tblW w:type="pct" w:w="5000"/>
        <w:tblLook w:firstRow="0" w:lastRow="0" w:firstColumn="0" w:lastColumn="0" w:noHBand="0" w:noVBand="0" w:val="0000"/>
        <w:jc w:val="start"/>
        <w:tblLayout w:type="fixed"/>
      </w:tblPr>
      <w:tblGrid>
        <w:gridCol w:w="7920"/>
      </w:tblGrid>
      <w:tr>
        <w:tc>
          <w:tcPr/>
          <w:bookmarkStart w:id="52" w:name="fig-saldo-ma"/>
          <w:p>
            <w:pPr>
              <w:pStyle w:val="Compact"/>
              <w:jc w:val="center"/>
            </w:pPr>
            <w:r>
              <w:drawing>
                <wp:inline>
                  <wp:extent cx="4620126" cy="3696101"/>
                  <wp:effectExtent b="0" l="0" r="0" t="0"/>
                  <wp:docPr descr="" title="" id="50" name="Picture"/>
                  <a:graphic>
                    <a:graphicData uri="http://schemas.openxmlformats.org/drawingml/2006/picture">
                      <pic:pic>
                        <pic:nvPicPr>
                          <pic:cNvPr descr="caged-portuario-docx_files/figure-docx/fig-saldo-ma-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8: Evolução dos vínculos no Maranhão</w:t>
            </w:r>
          </w:p>
          <w:bookmarkEnd w:id="52"/>
        </w:tc>
      </w:tr>
    </w:tbl>
    <w:p>
      <w:pPr>
        <w:pStyle w:val="BodyText"/>
      </w:pPr>
      <w:r>
        <w:t xml:space="preserve">A</w:t>
      </w:r>
      <w:r>
        <w:t xml:space="preserve"> </w:t>
      </w:r>
      <w:hyperlink w:anchor="tbl-tabela-ma">
        <w:r>
          <w:rPr>
            <w:rStyle w:val="Hyperlink"/>
          </w:rPr>
          <w:t xml:space="preserve">Tabela 1</w:t>
        </w:r>
      </w:hyperlink>
      <w:r>
        <w:t xml:space="preserve"> </w:t>
      </w:r>
      <w:r>
        <w:t xml:space="preserve">apresenta um resumo das movimentações de admissões e desligamentos no estado do Maranhão ao longo dos últimos 12 meses. Para cada mês, é possível observar a quantidade de desligamentos e admissões, bem como o saldo resultante dessas movimentações. Valores positivos no saldo indicam que houve mais admissões do que desligamentos, sugerindo um crescimento no número de vínculos empregatícios. Já valores negativos revelam que os desligamentos superaram as admissões, refletindo uma redução líquida de postos de trabalho no período. Essa visão mensal permite um acompanhamento das flutuações do mercado de trabalho no estado.</w:t>
      </w:r>
    </w:p>
    <w:tbl>
      <w:tblPr>
        <w:tblStyle w:val="Table"/>
        <w:tblW w:type="pct" w:w="5000"/>
        <w:tblLook w:firstRow="0" w:lastRow="0" w:firstColumn="0" w:lastColumn="0" w:noHBand="0" w:noVBand="0" w:val="0000"/>
        <w:jc w:val="start"/>
        <w:tblLayout w:type="fixed"/>
      </w:tblPr>
      <w:tblGrid>
        <w:gridCol w:w="7920"/>
      </w:tblGrid>
      <w:tr>
        <w:tc>
          <w:tcPr/>
          <w:bookmarkStart w:id="53" w:name="tbl-tabela-ma"/>
          <w:p>
            <w:pPr>
              <w:jc w:val="center"/>
            </w:pPr>
            <w:pPr>
              <w:jc w:val="start"/>
              <w:spacing w:before="200"/>
              <w:pStyle w:val="ImageCaption"/>
            </w:pPr>
            <w:r>
              <w:t xml:space="preserve">Tabela 1: Movimentações nos últimos 12 (doze) meses no Maranhão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40"/>
              <w:gridCol w:w="1584"/>
              <w:gridCol w:w="1486"/>
              <w:gridCol w:w="1010"/>
            </w:tblGrid>
            <w:tr>
              <w:trPr>
                <w:trHeight w:val="614"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Mês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Desligados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Admitidos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Saldo</w:t>
                  </w:r>
                </w:p>
              </w:tc>
            </w:tr>
            <w:tr>
              <w:trPr>
                <w:trHeight w:val="615"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w:t>
                  </w:r>
                </w:p>
              </w:tc>
            </w:tr>
            <w:tr>
              <w:trPr>
                <w:trHeight w:val="571"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mai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0000"/>
                    </w:rPr>
                    <w:t xml:space="preserve">-9</w:t>
                  </w:r>
                </w:p>
              </w:tc>
            </w:tr>
            <w:tr>
              <w:trPr>
                <w:trHeight w:val="572"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abr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30</w:t>
                  </w:r>
                </w:p>
              </w:tc>
            </w:tr>
            <w:tr>
              <w:trPr>
                <w:trHeight w:val="572"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w:t>
                  </w:r>
                </w:p>
              </w:tc>
            </w:tr>
            <w:tr>
              <w:trPr>
                <w:trHeight w:val="574"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fev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w:t>
                  </w:r>
                </w:p>
              </w:tc>
            </w:tr>
            <w:tr>
              <w:trPr>
                <w:trHeight w:val="615"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w:t>
                  </w:r>
                </w:p>
              </w:tc>
            </w:tr>
            <w:tr>
              <w:trPr>
                <w:trHeight w:val="572"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dez 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0000"/>
                    </w:rPr>
                    <w:t xml:space="preserve">-11</w:t>
                  </w:r>
                </w:p>
              </w:tc>
            </w:tr>
            <w:tr>
              <w:trPr>
                <w:trHeight w:val="572"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 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36</w:t>
                  </w:r>
                </w:p>
              </w:tc>
            </w:tr>
            <w:tr>
              <w:trPr>
                <w:trHeight w:val="572"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 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23</w:t>
                  </w:r>
                </w:p>
              </w:tc>
            </w:tr>
            <w:tr>
              <w:trPr>
                <w:trHeight w:val="572"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 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w:t>
                  </w:r>
                </w:p>
              </w:tc>
            </w:tr>
            <w:tr>
              <w:trPr>
                <w:trHeight w:val="615"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ago 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w:t>
                  </w:r>
                </w:p>
              </w:tc>
            </w:tr>
          </w:tbl>
          <w:bookmarkEnd w:id="53"/>
        </w:tc>
      </w:tr>
    </w:tbl>
    <w:p>
      <w:pPr>
        <w:pStyle w:val="BodyText"/>
      </w:pPr>
      <w:r>
        <w:t xml:space="preserve">Por sua vez, observa-se no</w:t>
      </w:r>
      <w:r>
        <w:t xml:space="preserve"> </w:t>
      </w:r>
      <w:hyperlink w:anchor="fig-salario-ma">
        <w:r>
          <w:rPr>
            <w:rStyle w:val="Hyperlink"/>
          </w:rPr>
          <w:t xml:space="preserve">Gráfico 9</w:t>
        </w:r>
      </w:hyperlink>
      <w:r>
        <w:t xml:space="preserve"> </w:t>
      </w:r>
      <w:r>
        <w:t xml:space="preserve">o desempenho do estado do Maranhão no quesito salarial.</w:t>
      </w:r>
    </w:p>
    <w:tbl>
      <w:tblPr>
        <w:tblStyle w:val="Table"/>
        <w:tblW w:type="pct" w:w="5000"/>
        <w:tblLook w:firstRow="0" w:lastRow="0" w:firstColumn="0" w:lastColumn="0" w:noHBand="0" w:noVBand="0" w:val="0000"/>
        <w:jc w:val="start"/>
        <w:tblLayout w:type="fixed"/>
      </w:tblPr>
      <w:tblGrid>
        <w:gridCol w:w="7920"/>
      </w:tblGrid>
      <w:tr>
        <w:tc>
          <w:tcPr/>
          <w:bookmarkStart w:id="57" w:name="fig-salario-ma"/>
          <w:p>
            <w:pPr>
              <w:pStyle w:val="Compact"/>
              <w:jc w:val="center"/>
            </w:pPr>
            <w:r>
              <w:drawing>
                <wp:inline>
                  <wp:extent cx="4620126" cy="3696101"/>
                  <wp:effectExtent b="0" l="0" r="0" t="0"/>
                  <wp:docPr descr="" title="" id="55" name="Picture"/>
                  <a:graphic>
                    <a:graphicData uri="http://schemas.openxmlformats.org/drawingml/2006/picture">
                      <pic:pic>
                        <pic:nvPicPr>
                          <pic:cNvPr descr="caged-portuario-docx_files/figure-docx/fig-salario-ma-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9: Mediana do salário mensal no Maranhão (R$)</w:t>
            </w:r>
          </w:p>
          <w:bookmarkEnd w:id="57"/>
        </w:tc>
      </w:tr>
    </w:tbl>
    <w:p>
      <w:pPr>
        <w:pStyle w:val="BodyText"/>
      </w:pPr>
      <w:r>
        <w:t xml:space="preserve">No</w:t>
      </w:r>
      <w:r>
        <w:t xml:space="preserve"> </w:t>
      </w:r>
      <w:hyperlink w:anchor="fig-saldo_sexo_ma">
        <w:r>
          <w:rPr>
            <w:rStyle w:val="Hyperlink"/>
          </w:rPr>
          <w:t xml:space="preserve">Gráfico 10</w:t>
        </w:r>
      </w:hyperlink>
      <w:r>
        <w:t xml:space="preserve"> </w:t>
      </w:r>
      <w:r>
        <w:t xml:space="preserve">estão os dados das movimentações por sexo para o mês vigente no Maranhão.</w:t>
      </w:r>
    </w:p>
    <w:tbl>
      <w:tblPr>
        <w:tblStyle w:val="Table"/>
        <w:tblW w:type="pct" w:w="5000"/>
        <w:tblLook w:firstRow="0" w:lastRow="0" w:firstColumn="0" w:lastColumn="0" w:noHBand="0" w:noVBand="0" w:val="0000"/>
        <w:jc w:val="start"/>
        <w:tblLayout w:type="fixed"/>
      </w:tblPr>
      <w:tblGrid>
        <w:gridCol w:w="7920"/>
      </w:tblGrid>
      <w:tr>
        <w:tc>
          <w:tcPr/>
          <w:bookmarkStart w:id="61" w:name="fig-saldo_sexo_ma"/>
          <w:p>
            <w:pPr>
              <w:pStyle w:val="Compact"/>
              <w:jc w:val="center"/>
            </w:pPr>
            <w:r>
              <w:drawing>
                <wp:inline>
                  <wp:extent cx="4620126" cy="3696101"/>
                  <wp:effectExtent b="0" l="0" r="0" t="0"/>
                  <wp:docPr descr="" title="" id="59" name="Picture"/>
                  <a:graphic>
                    <a:graphicData uri="http://schemas.openxmlformats.org/drawingml/2006/picture">
                      <pic:pic>
                        <pic:nvPicPr>
                          <pic:cNvPr descr="caged-portuario-docx_files/figure-docx/fig-saldo_sexo_ma-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10: Saldo de movimentações por sexo no Maranhão</w:t>
            </w:r>
          </w:p>
          <w:bookmarkEnd w:id="61"/>
        </w:tc>
      </w:tr>
    </w:tbl>
    <w:p>
      <w:pPr>
        <w:pStyle w:val="BodyText"/>
      </w:pPr>
      <w:r>
        <w:t xml:space="preserve">Ao observar as movimentações por grau de escolaridade, tem-se os valores conforme se observa no</w:t>
      </w:r>
      <w:r>
        <w:t xml:space="preserve"> </w:t>
      </w:r>
      <w:hyperlink w:anchor="fig-escolaridade_ma">
        <w:r>
          <w:rPr>
            <w:rStyle w:val="Hyperlink"/>
          </w:rPr>
          <w:t xml:space="preserve">Gráfico 11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5" w:name="fig-escolaridade_ma"/>
          <w:p>
            <w:pPr>
              <w:pStyle w:val="Compact"/>
              <w:jc w:val="center"/>
            </w:pPr>
            <w:r>
              <w:drawing>
                <wp:inline>
                  <wp:extent cx="4620126" cy="3696101"/>
                  <wp:effectExtent b="0" l="0" r="0" t="0"/>
                  <wp:docPr descr="" title="" id="63" name="Picture"/>
                  <a:graphic>
                    <a:graphicData uri="http://schemas.openxmlformats.org/drawingml/2006/picture">
                      <pic:pic>
                        <pic:nvPicPr>
                          <pic:cNvPr descr="caged-portuario-docx_files/figure-docx/fig-escolaridade_ma-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11: Movimentações por grau de escolaridade no Maranhão</w:t>
            </w:r>
          </w:p>
          <w:bookmarkEnd w:id="65"/>
        </w:tc>
      </w:tr>
    </w:tbl>
    <w:p>
      <w:pPr>
        <w:pStyle w:val="BodyText"/>
      </w:pPr>
      <w:r>
        <w:t xml:space="preserve">O</w:t>
      </w:r>
      <w:r>
        <w:t xml:space="preserve"> </w:t>
      </w:r>
      <w:hyperlink w:anchor="fig-cbo_saldo_postivo_ma">
        <w:r>
          <w:rPr>
            <w:rStyle w:val="Hyperlink"/>
          </w:rPr>
          <w:t xml:space="preserve">Gráfico 12</w:t>
        </w:r>
      </w:hyperlink>
      <w:r>
        <w:t xml:space="preserve"> </w:t>
      </w:r>
      <w:r>
        <w:t xml:space="preserve">mostra as 10 (dez) ocupações com saldo positivo no mês no estado do Maranhão.</w:t>
      </w:r>
    </w:p>
    <w:tbl>
      <w:tblPr>
        <w:tblStyle w:val="Table"/>
        <w:tblW w:type="pct" w:w="5000"/>
        <w:tblLook w:firstRow="0" w:lastRow="0" w:firstColumn="0" w:lastColumn="0" w:noHBand="0" w:noVBand="0" w:val="0000"/>
        <w:jc w:val="start"/>
        <w:tblLayout w:type="fixed"/>
      </w:tblPr>
      <w:tblGrid>
        <w:gridCol w:w="7920"/>
      </w:tblGrid>
      <w:tr>
        <w:tc>
          <w:tcPr/>
          <w:bookmarkStart w:id="69" w:name="fig-cbo_saldo_postivo_ma"/>
          <w:p>
            <w:pPr>
              <w:pStyle w:val="Compact"/>
              <w:jc w:val="center"/>
            </w:pPr>
            <w:r>
              <w:drawing>
                <wp:inline>
                  <wp:extent cx="4620126" cy="3696101"/>
                  <wp:effectExtent b="0" l="0" r="0" t="0"/>
                  <wp:docPr descr="" title="" id="67" name="Picture"/>
                  <a:graphic>
                    <a:graphicData uri="http://schemas.openxmlformats.org/drawingml/2006/picture">
                      <pic:pic>
                        <pic:nvPicPr>
                          <pic:cNvPr descr="caged-portuario-docx_files/figure-docx/fig-cbo_saldo_postivo_ma-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12: 10 ocupações com saldo positivo no mês</w:t>
            </w:r>
          </w:p>
          <w:bookmarkEnd w:id="69"/>
        </w:tc>
      </w:tr>
    </w:tbl>
    <w:p>
      <w:pPr>
        <w:pStyle w:val="BodyText"/>
      </w:pPr>
      <w:r>
        <w:t xml:space="preserve">O</w:t>
      </w:r>
      <w:r>
        <w:t xml:space="preserve"> </w:t>
      </w:r>
      <w:hyperlink w:anchor="fig-cbo_saldo_negativo_ma">
        <w:r>
          <w:rPr>
            <w:rStyle w:val="Hyperlink"/>
          </w:rPr>
          <w:t xml:space="preserve">Gráfico 13</w:t>
        </w:r>
      </w:hyperlink>
      <w:r>
        <w:t xml:space="preserve">, por sua vez, mostra as 10 (dez) ocupações com saldo negativo no mês no Maranhão.</w:t>
      </w:r>
    </w:p>
    <w:tbl>
      <w:tblPr>
        <w:tblStyle w:val="Table"/>
        <w:tblW w:type="pct" w:w="5000"/>
        <w:tblLook w:firstRow="0" w:lastRow="0" w:firstColumn="0" w:lastColumn="0" w:noHBand="0" w:noVBand="0" w:val="0000"/>
        <w:jc w:val="start"/>
        <w:tblLayout w:type="fixed"/>
      </w:tblPr>
      <w:tblGrid>
        <w:gridCol w:w="7920"/>
      </w:tblGrid>
      <w:tr>
        <w:tc>
          <w:tcPr/>
          <w:bookmarkStart w:id="73" w:name="fig-cbo_saldo_negativo_ma"/>
          <w:p>
            <w:pPr>
              <w:pStyle w:val="Compact"/>
              <w:jc w:val="center"/>
            </w:pPr>
            <w:r>
              <w:drawing>
                <wp:inline>
                  <wp:extent cx="4620126" cy="3696101"/>
                  <wp:effectExtent b="0" l="0" r="0" t="0"/>
                  <wp:docPr descr="" title="" id="71" name="Picture"/>
                  <a:graphic>
                    <a:graphicData uri="http://schemas.openxmlformats.org/drawingml/2006/picture">
                      <pic:pic>
                        <pic:nvPicPr>
                          <pic:cNvPr descr="caged-portuario-docx_files/figure-docx/fig-cbo_saldo_negativo_ma-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13: 10 ocupações com saldo negativo no mês</w:t>
            </w:r>
          </w:p>
          <w:bookmarkEnd w:id="73"/>
        </w:tc>
      </w:tr>
    </w:tbl>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70" Target="media/rId70.png" /><Relationship Type="http://schemas.openxmlformats.org/officeDocument/2006/relationships/image" Id="rId40" Target="media/rId40.png" /><Relationship Type="http://schemas.openxmlformats.org/officeDocument/2006/relationships/image" Id="rId66" Target="media/rId66.png" /><Relationship Type="http://schemas.openxmlformats.org/officeDocument/2006/relationships/image" Id="rId36" Target="media/rId36.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Mercado de Trabalho Portuário</dc:title>
  <dc:creator>Observatório Portuário</dc:creator>
  <dc:language>pt</dc:language>
  <cp:keywords/>
  <dcterms:created xsi:type="dcterms:W3CDTF">2024-09-26T14:31:44Z</dcterms:created>
  <dcterms:modified xsi:type="dcterms:W3CDTF">2024-09-26T14:31:44Z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Agosto de 2024</vt:lpwstr>
  </property>
  <property fmtid="{D5CDD505-2E9C-101B-9397-08002B2CF9AE}" pid="12" name="toc-title">
    <vt:lpwstr>Sumário</vt:lpwstr>
  </property>
</Properties>
</file>