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val="0"/>
          <w:sz w:val="22"/>
        </w:rPr>
        <w:t>Tadeu Gomes Teixeira; Fábio Paim; Alexandre Galardinovic; Bruno Gustavo; Rafael Giacomin; Rafael Prata; Thiago Mello</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artigo investiga por que municípios de menor capacidade institucional demandam mais recursos de reconstrução, se o comportamento efetivo de demanda supera o rótulo oficial de capacidade na explicação das decisões e em que medida técnicas de aprendizado de máquina permitem estimar valores de referência e sinalizar gastos atípicos. A metodologia mobiliza classificação, agrupamento, regressão quantílica e detecção de anomalias, aplicadas a 6.385 processos de reconstrução registrados entre 2017 e 2025 (BRASIL, 2017-2025), que somam R$ 27,68 bilhões. Os resultados indicam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 Como solução complementar, disponibiliza-se um motor de previsão da severidade dos desastres</w:t>
      </w:r>
      <w:r>
        <w:rPr>
          <w:vertAlign w:val="superscript"/>
        </w:rPr>
        <w:footnoteReference w:id="2"/>
      </w:r>
      <w:r>
        <w:rPr>
          <w:rFonts w:ascii="Times New Roman" w:hAnsi="Times New Roman" w:cs="Times New Roman"/>
          <w:b w:val="0"/>
          <w:i w:val="0"/>
          <w:sz w:val="24"/>
        </w:rPr>
        <w:t>, que antecipa a magnitude provável dos danos de novos eventos.</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relatórios gerenciais de acompanhamento de processos de reconstrução (BRASIL, 2017-2025) reúnem 6.385 processos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Do trabalho analítico derivam duas soluções complementares de inteligência de dados, ambas disponibilizadas como ferramentas de apoio à decisão. A primeira, um sistema de inteligência para a reconstrução, constitui o eixo central deste artigo e atua na fase de recuperação, ao subsidiar a alocação de recursos e a auditoria dos gastos. A segunda, um motor de previsão da severidade dos desastres, atua nas fases de prevenção e preparação, ao antecipar a magnitude provável dos danos de um novo evento. Tomadas em conjunto, as duas soluções percorrem o ciclo de gestão de riscos estabelecido pela Política Nacional de Proteção e Defesa Civil, razão pela qual a segunda é igualmente apresentada, ainda que o foco da análise recaia sobre a primeira.</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gerenciais de acompanhamento de processos de reconstrução (BRASIL, 2017-2025),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5.444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Fase</w:t>
            </w:r>
          </w:p>
        </w:tc>
        <w:tc>
          <w:tcPr>
            <w:tcW w:type="dxa" w:w="2351"/>
          </w:tcPr>
          <w:p>
            <w:pPr>
              <w:spacing w:line="240" w:lineRule="auto"/>
              <w:ind w:firstLine="0"/>
              <w:jc w:val="center"/>
            </w:pPr>
            <w:r>
              <w:rPr>
                <w:rFonts w:ascii="Times New Roman" w:hAnsi="Times New Roman" w:cs="Times New Roman"/>
                <w:b/>
                <w:i w:val="0"/>
                <w:sz w:val="22"/>
              </w:rPr>
              <w:t>Técnica / Algoritmo</w:t>
            </w:r>
          </w:p>
        </w:tc>
        <w:tc>
          <w:tcPr>
            <w:tcW w:type="dxa" w:w="2351"/>
          </w:tcPr>
          <w:p>
            <w:pPr>
              <w:spacing w:line="240" w:lineRule="auto"/>
              <w:ind w:firstLine="0"/>
              <w:jc w:val="center"/>
            </w:pPr>
            <w:r>
              <w:rPr>
                <w:rFonts w:ascii="Times New Roman" w:hAnsi="Times New Roman" w:cs="Times New Roman"/>
                <w:b/>
                <w:i w:val="0"/>
                <w:sz w:val="22"/>
              </w:rPr>
              <w:t>Objetivo</w:t>
            </w:r>
          </w:p>
        </w:tc>
        <w:tc>
          <w:tcPr>
            <w:tcW w:type="dxa" w:w="2351"/>
          </w:tcPr>
          <w:p>
            <w:pPr>
              <w:spacing w:line="240" w:lineRule="auto"/>
              <w:ind w:firstLine="0"/>
              <w:jc w:val="center"/>
            </w:pPr>
            <w:r>
              <w:rPr>
                <w:rFonts w:ascii="Times New Roman" w:hAnsi="Times New Roman" w:cs="Times New Roman"/>
                <w:b/>
                <w:i w:val="0"/>
                <w:sz w:val="22"/>
              </w:rPr>
              <w:t>Métrica principal</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351"/>
          </w:tcPr>
          <w:p>
            <w:pPr>
              <w:spacing w:line="240" w:lineRule="auto"/>
              <w:ind w:firstLine="0"/>
              <w:jc w:val="center"/>
            </w:pPr>
            <w:r>
              <w:rPr>
                <w:rFonts w:ascii="Times New Roman" w:hAnsi="Times New Roman" w:cs="Times New Roman"/>
                <w:b w:val="0"/>
                <w:i w:val="0"/>
                <w:sz w:val="22"/>
              </w:rPr>
              <w:t>Diagnóstico e hipóteses</w:t>
            </w:r>
          </w:p>
        </w:tc>
        <w:tc>
          <w:tcPr>
            <w:tcW w:type="dxa" w:w="2351"/>
          </w:tcPr>
          <w:p>
            <w:pPr>
              <w:spacing w:line="240" w:lineRule="auto"/>
              <w:ind w:firstLine="0"/>
              <w:jc w:val="center"/>
            </w:pPr>
            <w:r>
              <w:rPr>
                <w:rFonts w:ascii="Times New Roman" w:hAnsi="Times New Roman" w:cs="Times New Roman"/>
                <w:b w:val="0"/>
                <w:i w:val="0"/>
                <w:sz w:val="22"/>
              </w:rPr>
              <w:t>Estatística descritiva</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K-médias (k=4)</w:t>
            </w:r>
          </w:p>
        </w:tc>
        <w:tc>
          <w:tcPr>
            <w:tcW w:type="dxa" w:w="2351"/>
          </w:tcPr>
          <w:p>
            <w:pPr>
              <w:spacing w:line="240" w:lineRule="auto"/>
              <w:ind w:firstLine="0"/>
              <w:jc w:val="center"/>
            </w:pPr>
            <w:r>
              <w:rPr>
                <w:rFonts w:ascii="Times New Roman" w:hAnsi="Times New Roman" w:cs="Times New Roman"/>
                <w:b w:val="0"/>
                <w:i w:val="0"/>
                <w:sz w:val="22"/>
              </w:rPr>
              <w:t>Segmentação comportamental</w:t>
            </w:r>
          </w:p>
        </w:tc>
        <w:tc>
          <w:tcPr>
            <w:tcW w:type="dxa" w:w="2351"/>
          </w:tcPr>
          <w:p>
            <w:pPr>
              <w:spacing w:line="240" w:lineRule="auto"/>
              <w:ind w:firstLine="0"/>
              <w:jc w:val="center"/>
            </w:pPr>
            <w:r>
              <w:rPr>
                <w:rFonts w:ascii="Times New Roman" w:hAnsi="Times New Roman" w:cs="Times New Roman"/>
                <w:b w:val="0"/>
                <w:i w:val="0"/>
                <w:sz w:val="22"/>
              </w:rPr>
              <w:t>Silhueta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Florestas aleatórias</w:t>
            </w:r>
          </w:p>
        </w:tc>
        <w:tc>
          <w:tcPr>
            <w:tcW w:type="dxa" w:w="2351"/>
          </w:tcPr>
          <w:p>
            <w:pPr>
              <w:spacing w:line="240" w:lineRule="auto"/>
              <w:ind w:firstLine="0"/>
              <w:jc w:val="center"/>
            </w:pPr>
            <w:r>
              <w:rPr>
                <w:rFonts w:ascii="Times New Roman" w:hAnsi="Times New Roman" w:cs="Times New Roman"/>
                <w:b w:val="0"/>
                <w:i w:val="0"/>
                <w:sz w:val="22"/>
              </w:rPr>
              <w:t>Previsão de aprovação</w:t>
            </w:r>
          </w:p>
        </w:tc>
        <w:tc>
          <w:tcPr>
            <w:tcW w:type="dxa" w:w="2351"/>
          </w:tcPr>
          <w:p>
            <w:pPr>
              <w:spacing w:line="240" w:lineRule="auto"/>
              <w:ind w:firstLine="0"/>
              <w:jc w:val="center"/>
            </w:pPr>
            <w:r>
              <w:rPr>
                <w:rFonts w:ascii="Times New Roman" w:hAnsi="Times New Roman" w:cs="Times New Roman"/>
                <w:b w:val="0"/>
                <w:i w:val="0"/>
                <w:sz w:val="22"/>
              </w:rPr>
              <w:t>ROC-AUC = 0,7972</w:t>
            </w:r>
          </w:p>
        </w:tc>
      </w:tr>
      <w:tr>
        <w:tc>
          <w:tcPr>
            <w:tcW w:type="dxa" w:w="2351"/>
          </w:tcPr>
          <w:p>
            <w:pPr>
              <w:spacing w:line="240" w:lineRule="auto"/>
              <w:ind w:firstLine="0"/>
              <w:jc w:val="left"/>
            </w:pPr>
            <w:r>
              <w:rPr>
                <w:rFonts w:ascii="Times New Roman" w:hAnsi="Times New Roman" w:cs="Times New Roman"/>
                <w:b w:val="0"/>
                <w:i w:val="0"/>
                <w:sz w:val="22"/>
              </w:rPr>
              <w:t>4</w:t>
            </w:r>
          </w:p>
        </w:tc>
        <w:tc>
          <w:tcPr>
            <w:tcW w:type="dxa" w:w="2351"/>
          </w:tcPr>
          <w:p>
            <w:pPr>
              <w:spacing w:line="240" w:lineRule="auto"/>
              <w:ind w:firstLine="0"/>
              <w:jc w:val="center"/>
            </w:pPr>
            <w:r>
              <w:rPr>
                <w:rFonts w:ascii="Times New Roman" w:hAnsi="Times New Roman" w:cs="Times New Roman"/>
                <w:b w:val="0"/>
                <w:i w:val="0"/>
                <w:sz w:val="22"/>
              </w:rPr>
              <w:t>Gradient boosting quantílico</w:t>
            </w:r>
          </w:p>
        </w:tc>
        <w:tc>
          <w:tcPr>
            <w:tcW w:type="dxa" w:w="2351"/>
          </w:tcPr>
          <w:p>
            <w:pPr>
              <w:spacing w:line="240" w:lineRule="auto"/>
              <w:ind w:firstLine="0"/>
              <w:jc w:val="center"/>
            </w:pPr>
            <w:r>
              <w:rPr>
                <w:rFonts w:ascii="Times New Roman" w:hAnsi="Times New Roman" w:cs="Times New Roman"/>
                <w:b w:val="0"/>
                <w:i w:val="0"/>
                <w:sz w:val="22"/>
              </w:rPr>
              <w:t>Faixa de “valor justo”</w:t>
            </w:r>
          </w:p>
        </w:tc>
        <w:tc>
          <w:tcPr>
            <w:tcW w:type="dxa" w:w="2351"/>
          </w:tcPr>
          <w:p>
            <w:pPr>
              <w:spacing w:line="240" w:lineRule="auto"/>
              <w:ind w:firstLine="0"/>
              <w:jc w:val="center"/>
            </w:pPr>
            <w:r>
              <w:rPr>
                <w:rFonts w:ascii="Times New Roman" w:hAnsi="Times New Roman" w:cs="Times New Roman"/>
                <w:b w:val="0"/>
                <w:i w:val="0"/>
                <w:sz w:val="22"/>
              </w:rPr>
              <w:t>Cobertura P10-P90 = 76,3%</w:t>
            </w:r>
          </w:p>
        </w:tc>
      </w:tr>
      <w:tr>
        <w:tc>
          <w:tcPr>
            <w:tcW w:type="dxa" w:w="2351"/>
          </w:tcPr>
          <w:p>
            <w:pPr>
              <w:spacing w:line="240" w:lineRule="auto"/>
              <w:ind w:firstLine="0"/>
              <w:jc w:val="left"/>
            </w:pPr>
            <w:r>
              <w:rPr>
                <w:rFonts w:ascii="Times New Roman" w:hAnsi="Times New Roman" w:cs="Times New Roman"/>
                <w:b w:val="0"/>
                <w:i w:val="0"/>
                <w:sz w:val="22"/>
              </w:rPr>
              <w:t>5</w:t>
            </w:r>
          </w:p>
        </w:tc>
        <w:tc>
          <w:tcPr>
            <w:tcW w:type="dxa" w:w="2351"/>
          </w:tcPr>
          <w:p>
            <w:pPr>
              <w:spacing w:line="240" w:lineRule="auto"/>
              <w:ind w:firstLine="0"/>
              <w:jc w:val="center"/>
            </w:pPr>
            <w:r>
              <w:rPr>
                <w:rFonts w:ascii="Times New Roman" w:hAnsi="Times New Roman" w:cs="Times New Roman"/>
                <w:b w:val="0"/>
                <w:i w:val="0"/>
                <w:sz w:val="22"/>
              </w:rPr>
              <w:t>Isolation Forest; simulador</w:t>
            </w:r>
          </w:p>
        </w:tc>
        <w:tc>
          <w:tcPr>
            <w:tcW w:type="dxa" w:w="2351"/>
          </w:tcPr>
          <w:p>
            <w:pPr>
              <w:spacing w:line="240" w:lineRule="auto"/>
              <w:ind w:firstLine="0"/>
              <w:jc w:val="center"/>
            </w:pPr>
            <w:r>
              <w:rPr>
                <w:rFonts w:ascii="Times New Roman" w:hAnsi="Times New Roman" w:cs="Times New Roman"/>
                <w:b w:val="0"/>
                <w:i w:val="0"/>
                <w:sz w:val="22"/>
              </w:rPr>
              <w:t>Detecção de anomalias</w:t>
            </w:r>
          </w:p>
        </w:tc>
        <w:tc>
          <w:tcPr>
            <w:tcW w:type="dxa" w:w="2351"/>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com as versões das bibliotecas fixadas, o que permite a verificação independente dos números aqui reportados. Os resultados das cinco fases foram auditados por reexecução dos modelos e reproduzidos de forma exata no ambiente especificado. Registre-se que a regressão quantílica da quarta fase é sensível à versão da biblioteca, uma vez que o comportamento do algoritmo de gradient boosting com perda quantílica se altera a partir da versão 1.9 do scikit-learn; por essa razão, o ambiente de referência foi fixado em versão anterior, na qual a contagem de processos sinalizados reproduz exatamente a aqui reportada.</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A faixa D concentra, ademais,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Faixa</w:t>
            </w:r>
          </w:p>
        </w:tc>
        <w:tc>
          <w:tcPr>
            <w:tcW w:type="dxa" w:w="2351"/>
          </w:tcPr>
          <w:p>
            <w:pPr>
              <w:spacing w:line="240" w:lineRule="auto"/>
              <w:ind w:firstLine="0"/>
              <w:jc w:val="center"/>
            </w:pPr>
            <w:r>
              <w:rPr>
                <w:rFonts w:ascii="Times New Roman" w:hAnsi="Times New Roman" w:cs="Times New Roman"/>
                <w:b/>
                <w:i w:val="0"/>
                <w:sz w:val="22"/>
              </w:rPr>
              <w:t>Capacidade</w:t>
            </w:r>
          </w:p>
        </w:tc>
        <w:tc>
          <w:tcPr>
            <w:tcW w:type="dxa" w:w="2351"/>
          </w:tcPr>
          <w:p>
            <w:pPr>
              <w:spacing w:line="240" w:lineRule="auto"/>
              <w:ind w:firstLine="0"/>
              <w:jc w:val="center"/>
            </w:pPr>
            <w:r>
              <w:rPr>
                <w:rFonts w:ascii="Times New Roman" w:hAnsi="Times New Roman" w:cs="Times New Roman"/>
                <w:b/>
                <w:i w:val="0"/>
                <w:sz w:val="22"/>
              </w:rPr>
              <w:t>Valor médio (R$)</w:t>
            </w:r>
          </w:p>
        </w:tc>
        <w:tc>
          <w:tcPr>
            <w:tcW w:type="dxa" w:w="2351"/>
          </w:tcPr>
          <w:p>
            <w:pPr>
              <w:spacing w:line="240" w:lineRule="auto"/>
              <w:ind w:firstLine="0"/>
              <w:jc w:val="center"/>
            </w:pPr>
            <w:r>
              <w:rPr>
                <w:rFonts w:ascii="Times New Roman" w:hAnsi="Times New Roman" w:cs="Times New Roman"/>
                <w:b/>
                <w:i w:val="0"/>
                <w:sz w:val="22"/>
              </w:rPr>
              <w:t>% do total</w:t>
            </w:r>
          </w:p>
        </w:tc>
      </w:tr>
      <w:tr>
        <w:tc>
          <w:tcPr>
            <w:tcW w:type="dxa" w:w="2351"/>
          </w:tcPr>
          <w:p>
            <w:pPr>
              <w:spacing w:line="240" w:lineRule="auto"/>
              <w:ind w:firstLine="0"/>
              <w:jc w:val="left"/>
            </w:pPr>
            <w:r>
              <w:rPr>
                <w:rFonts w:ascii="Times New Roman" w:hAnsi="Times New Roman" w:cs="Times New Roman"/>
                <w:b w:val="0"/>
                <w:i w:val="0"/>
                <w:sz w:val="22"/>
              </w:rPr>
              <w:t>A</w:t>
            </w:r>
          </w:p>
        </w:tc>
        <w:tc>
          <w:tcPr>
            <w:tcW w:type="dxa" w:w="2351"/>
          </w:tcPr>
          <w:p>
            <w:pPr>
              <w:spacing w:line="240" w:lineRule="auto"/>
              <w:ind w:firstLine="0"/>
              <w:jc w:val="center"/>
            </w:pPr>
            <w:r>
              <w:rPr>
                <w:rFonts w:ascii="Times New Roman" w:hAnsi="Times New Roman" w:cs="Times New Roman"/>
                <w:b w:val="0"/>
                <w:i w:val="0"/>
                <w:sz w:val="22"/>
              </w:rPr>
              <w:t>Alta</w:t>
            </w:r>
          </w:p>
        </w:tc>
        <w:tc>
          <w:tcPr>
            <w:tcW w:type="dxa" w:w="2351"/>
          </w:tcPr>
          <w:p>
            <w:pPr>
              <w:spacing w:line="240" w:lineRule="auto"/>
              <w:ind w:firstLine="0"/>
              <w:jc w:val="center"/>
            </w:pPr>
            <w:r>
              <w:rPr>
                <w:rFonts w:ascii="Times New Roman" w:hAnsi="Times New Roman" w:cs="Times New Roman"/>
                <w:b w:val="0"/>
                <w:i w:val="0"/>
                <w:sz w:val="22"/>
              </w:rPr>
              <w:t>9,74 milhões</w:t>
            </w:r>
          </w:p>
        </w:tc>
        <w:tc>
          <w:tcPr>
            <w:tcW w:type="dxa" w:w="2351"/>
          </w:tcPr>
          <w:p>
            <w:pPr>
              <w:spacing w:line="240" w:lineRule="auto"/>
              <w:ind w:firstLine="0"/>
              <w:jc w:val="center"/>
            </w:pPr>
            <w:r>
              <w:rPr>
                <w:rFonts w:ascii="Times New Roman" w:hAnsi="Times New Roman" w:cs="Times New Roman"/>
                <w:b w:val="0"/>
                <w:i w:val="0"/>
                <w:sz w:val="22"/>
              </w:rPr>
              <w:t>8%</w:t>
            </w:r>
          </w:p>
        </w:tc>
      </w:tr>
      <w:tr>
        <w:tc>
          <w:tcPr>
            <w:tcW w:type="dxa" w:w="2351"/>
          </w:tcPr>
          <w:p>
            <w:pPr>
              <w:spacing w:line="240" w:lineRule="auto"/>
              <w:ind w:firstLine="0"/>
              <w:jc w:val="left"/>
            </w:pPr>
            <w:r>
              <w:rPr>
                <w:rFonts w:ascii="Times New Roman" w:hAnsi="Times New Roman" w:cs="Times New Roman"/>
                <w:b w:val="0"/>
                <w:i w:val="0"/>
                <w:sz w:val="22"/>
              </w:rPr>
              <w:t>B</w:t>
            </w:r>
          </w:p>
        </w:tc>
        <w:tc>
          <w:tcPr>
            <w:tcW w:type="dxa" w:w="2351"/>
          </w:tcPr>
          <w:p>
            <w:pPr>
              <w:spacing w:line="240" w:lineRule="auto"/>
              <w:ind w:firstLine="0"/>
              <w:jc w:val="center"/>
            </w:pPr>
            <w:r>
              <w:rPr>
                <w:rFonts w:ascii="Times New Roman" w:hAnsi="Times New Roman" w:cs="Times New Roman"/>
                <w:b w:val="0"/>
                <w:i w:val="0"/>
                <w:sz w:val="22"/>
              </w:rPr>
              <w:t>Média-alta</w:t>
            </w:r>
          </w:p>
        </w:tc>
        <w:tc>
          <w:tcPr>
            <w:tcW w:type="dxa" w:w="2351"/>
          </w:tcPr>
          <w:p>
            <w:pPr>
              <w:spacing w:line="240" w:lineRule="auto"/>
              <w:ind w:firstLine="0"/>
              <w:jc w:val="center"/>
            </w:pPr>
            <w:r>
              <w:rPr>
                <w:rFonts w:ascii="Times New Roman" w:hAnsi="Times New Roman" w:cs="Times New Roman"/>
                <w:b w:val="0"/>
                <w:i w:val="0"/>
                <w:sz w:val="22"/>
              </w:rPr>
              <w:t>9,79 milhões</w:t>
            </w:r>
          </w:p>
        </w:tc>
        <w:tc>
          <w:tcPr>
            <w:tcW w:type="dxa" w:w="2351"/>
          </w:tcPr>
          <w:p>
            <w:pPr>
              <w:spacing w:line="240" w:lineRule="auto"/>
              <w:ind w:firstLine="0"/>
              <w:jc w:val="center"/>
            </w:pPr>
            <w:r>
              <w:rPr>
                <w:rFonts w:ascii="Times New Roman" w:hAnsi="Times New Roman" w:cs="Times New Roman"/>
                <w:b w:val="0"/>
                <w:i w:val="0"/>
                <w:sz w:val="22"/>
              </w:rPr>
              <w:t>20%</w:t>
            </w:r>
          </w:p>
        </w:tc>
      </w:tr>
      <w:tr>
        <w:tc>
          <w:tcPr>
            <w:tcW w:type="dxa" w:w="2351"/>
          </w:tcPr>
          <w:p>
            <w:pPr>
              <w:spacing w:line="240" w:lineRule="auto"/>
              <w:ind w:firstLine="0"/>
              <w:jc w:val="left"/>
            </w:pPr>
            <w:r>
              <w:rPr>
                <w:rFonts w:ascii="Times New Roman" w:hAnsi="Times New Roman" w:cs="Times New Roman"/>
                <w:b w:val="0"/>
                <w:i w:val="0"/>
                <w:sz w:val="22"/>
              </w:rPr>
              <w:t>C</w:t>
            </w:r>
          </w:p>
        </w:tc>
        <w:tc>
          <w:tcPr>
            <w:tcW w:type="dxa" w:w="2351"/>
          </w:tcPr>
          <w:p>
            <w:pPr>
              <w:spacing w:line="240" w:lineRule="auto"/>
              <w:ind w:firstLine="0"/>
              <w:jc w:val="center"/>
            </w:pPr>
            <w:r>
              <w:rPr>
                <w:rFonts w:ascii="Times New Roman" w:hAnsi="Times New Roman" w:cs="Times New Roman"/>
                <w:b w:val="0"/>
                <w:i w:val="0"/>
                <w:sz w:val="22"/>
              </w:rPr>
              <w:t>Média-baixa</w:t>
            </w:r>
          </w:p>
        </w:tc>
        <w:tc>
          <w:tcPr>
            <w:tcW w:type="dxa" w:w="2351"/>
          </w:tcPr>
          <w:p>
            <w:pPr>
              <w:spacing w:line="240" w:lineRule="auto"/>
              <w:ind w:firstLine="0"/>
              <w:jc w:val="center"/>
            </w:pPr>
            <w:r>
              <w:rPr>
                <w:rFonts w:ascii="Times New Roman" w:hAnsi="Times New Roman" w:cs="Times New Roman"/>
                <w:b w:val="0"/>
                <w:i w:val="0"/>
                <w:sz w:val="22"/>
              </w:rPr>
              <w:t>6,63 milhões</w:t>
            </w:r>
          </w:p>
        </w:tc>
        <w:tc>
          <w:tcPr>
            <w:tcW w:type="dxa" w:w="2351"/>
          </w:tcPr>
          <w:p>
            <w:pPr>
              <w:spacing w:line="240" w:lineRule="auto"/>
              <w:ind w:firstLine="0"/>
              <w:jc w:val="center"/>
            </w:pPr>
            <w:r>
              <w:rPr>
                <w:rFonts w:ascii="Times New Roman" w:hAnsi="Times New Roman" w:cs="Times New Roman"/>
                <w:b w:val="0"/>
                <w:i w:val="0"/>
                <w:sz w:val="22"/>
              </w:rPr>
              <w:t>19%</w:t>
            </w:r>
          </w:p>
        </w:tc>
      </w:tr>
      <w:tr>
        <w:tc>
          <w:tcPr>
            <w:tcW w:type="dxa" w:w="2351"/>
          </w:tcPr>
          <w:p>
            <w:pPr>
              <w:spacing w:line="240" w:lineRule="auto"/>
              <w:ind w:firstLine="0"/>
              <w:jc w:val="left"/>
            </w:pPr>
            <w:r>
              <w:rPr>
                <w:rFonts w:ascii="Times New Roman" w:hAnsi="Times New Roman" w:cs="Times New Roman"/>
                <w:b w:val="0"/>
                <w:i w:val="0"/>
                <w:sz w:val="22"/>
              </w:rPr>
              <w:t>D</w:t>
            </w:r>
          </w:p>
        </w:tc>
        <w:tc>
          <w:tcPr>
            <w:tcW w:type="dxa" w:w="2351"/>
          </w:tcPr>
          <w:p>
            <w:pPr>
              <w:spacing w:line="240" w:lineRule="auto"/>
              <w:ind w:firstLine="0"/>
              <w:jc w:val="center"/>
            </w:pPr>
            <w:r>
              <w:rPr>
                <w:rFonts w:ascii="Times New Roman" w:hAnsi="Times New Roman" w:cs="Times New Roman"/>
                <w:b w:val="0"/>
                <w:i w:val="0"/>
                <w:sz w:val="22"/>
              </w:rPr>
              <w:t>Baixa</w:t>
            </w:r>
          </w:p>
        </w:tc>
        <w:tc>
          <w:tcPr>
            <w:tcW w:type="dxa" w:w="2351"/>
          </w:tcPr>
          <w:p>
            <w:pPr>
              <w:spacing w:line="240" w:lineRule="auto"/>
              <w:ind w:firstLine="0"/>
              <w:jc w:val="center"/>
            </w:pPr>
            <w:r>
              <w:rPr>
                <w:rFonts w:ascii="Times New Roman" w:hAnsi="Times New Roman" w:cs="Times New Roman"/>
                <w:b w:val="0"/>
                <w:i w:val="0"/>
                <w:sz w:val="22"/>
              </w:rPr>
              <w:t>28,68 milhões</w:t>
            </w:r>
          </w:p>
        </w:tc>
        <w:tc>
          <w:tcPr>
            <w:tcW w:type="dxa" w:w="2351"/>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Grupo</w:t>
            </w:r>
          </w:p>
        </w:tc>
        <w:tc>
          <w:tcPr>
            <w:tcW w:type="dxa" w:w="2351"/>
          </w:tcPr>
          <w:p>
            <w:pPr>
              <w:spacing w:line="240" w:lineRule="auto"/>
              <w:ind w:firstLine="0"/>
              <w:jc w:val="center"/>
            </w:pPr>
            <w:r>
              <w:rPr>
                <w:rFonts w:ascii="Times New Roman" w:hAnsi="Times New Roman" w:cs="Times New Roman"/>
                <w:b/>
                <w:i w:val="0"/>
                <w:sz w:val="22"/>
              </w:rPr>
              <w:t>Perfil</w:t>
            </w:r>
          </w:p>
        </w:tc>
        <w:tc>
          <w:tcPr>
            <w:tcW w:type="dxa" w:w="2351"/>
          </w:tcPr>
          <w:p>
            <w:pPr>
              <w:spacing w:line="240" w:lineRule="auto"/>
              <w:ind w:firstLine="0"/>
              <w:jc w:val="center"/>
            </w:pPr>
            <w:r>
              <w:rPr>
                <w:rFonts w:ascii="Times New Roman" w:hAnsi="Times New Roman" w:cs="Times New Roman"/>
                <w:b/>
                <w:i w:val="0"/>
                <w:sz w:val="22"/>
              </w:rPr>
              <w:t>% dos municípios</w:t>
            </w:r>
          </w:p>
        </w:tc>
        <w:tc>
          <w:tcPr>
            <w:tcW w:type="dxa" w:w="2351"/>
          </w:tcPr>
          <w:p>
            <w:pPr>
              <w:spacing w:line="240" w:lineRule="auto"/>
              <w:ind w:firstLine="0"/>
              <w:jc w:val="center"/>
            </w:pPr>
            <w:r>
              <w:rPr>
                <w:rFonts w:ascii="Times New Roman" w:hAnsi="Times New Roman" w:cs="Times New Roman"/>
                <w:b/>
                <w:i w:val="0"/>
                <w:sz w:val="22"/>
              </w:rPr>
              <w:t>Característica</w:t>
            </w:r>
          </w:p>
        </w:tc>
      </w:tr>
      <w:tr>
        <w:tc>
          <w:tcPr>
            <w:tcW w:type="dxa" w:w="2351"/>
          </w:tcPr>
          <w:p>
            <w:pPr>
              <w:spacing w:line="240" w:lineRule="auto"/>
              <w:ind w:firstLine="0"/>
              <w:jc w:val="left"/>
            </w:pPr>
            <w:r>
              <w:rPr>
                <w:rFonts w:ascii="Times New Roman" w:hAnsi="Times New Roman" w:cs="Times New Roman"/>
                <w:b w:val="0"/>
                <w:i w:val="0"/>
                <w:sz w:val="22"/>
              </w:rPr>
              <w:t>0</w:t>
            </w:r>
          </w:p>
        </w:tc>
        <w:tc>
          <w:tcPr>
            <w:tcW w:type="dxa" w:w="2351"/>
          </w:tcPr>
          <w:p>
            <w:pPr>
              <w:spacing w:line="240" w:lineRule="auto"/>
              <w:ind w:firstLine="0"/>
              <w:jc w:val="center"/>
            </w:pPr>
            <w:r>
              <w:rPr>
                <w:rFonts w:ascii="Times New Roman" w:hAnsi="Times New Roman" w:cs="Times New Roman"/>
                <w:b w:val="0"/>
                <w:i w:val="0"/>
                <w:sz w:val="22"/>
              </w:rPr>
              <w:t>Baixo impacto</w:t>
            </w:r>
          </w:p>
        </w:tc>
        <w:tc>
          <w:tcPr>
            <w:tcW w:type="dxa" w:w="2351"/>
          </w:tcPr>
          <w:p>
            <w:pPr>
              <w:spacing w:line="240" w:lineRule="auto"/>
              <w:ind w:firstLine="0"/>
              <w:jc w:val="center"/>
            </w:pPr>
            <w:r>
              <w:rPr>
                <w:rFonts w:ascii="Times New Roman" w:hAnsi="Times New Roman" w:cs="Times New Roman"/>
                <w:b w:val="0"/>
                <w:i w:val="0"/>
                <w:sz w:val="22"/>
              </w:rPr>
              <w:t>76%</w:t>
            </w:r>
          </w:p>
        </w:tc>
        <w:tc>
          <w:tcPr>
            <w:tcW w:type="dxa" w:w="2351"/>
          </w:tcPr>
          <w:p>
            <w:pPr>
              <w:spacing w:line="240" w:lineRule="auto"/>
              <w:ind w:firstLine="0"/>
              <w:jc w:val="center"/>
            </w:pPr>
            <w:r>
              <w:rPr>
                <w:rFonts w:ascii="Times New Roman" w:hAnsi="Times New Roman" w:cs="Times New Roman"/>
                <w:b w:val="0"/>
                <w:i w:val="0"/>
                <w:sz w:val="22"/>
              </w:rPr>
              <w:t>Poucos processos, valores baixos</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Alto custo</w:t>
            </w:r>
          </w:p>
        </w:tc>
        <w:tc>
          <w:tcPr>
            <w:tcW w:type="dxa" w:w="2351"/>
          </w:tcPr>
          <w:p>
            <w:pPr>
              <w:spacing w:line="240" w:lineRule="auto"/>
              <w:ind w:firstLine="0"/>
              <w:jc w:val="center"/>
            </w:pPr>
            <w:r>
              <w:rPr>
                <w:rFonts w:ascii="Times New Roman" w:hAnsi="Times New Roman" w:cs="Times New Roman"/>
                <w:b w:val="0"/>
                <w:i w:val="0"/>
                <w:sz w:val="22"/>
              </w:rPr>
              <w:t>22%</w:t>
            </w:r>
          </w:p>
        </w:tc>
        <w:tc>
          <w:tcPr>
            <w:tcW w:type="dxa" w:w="2351"/>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Alta frequência</w:t>
            </w:r>
          </w:p>
        </w:tc>
        <w:tc>
          <w:tcPr>
            <w:tcW w:type="dxa" w:w="2351"/>
          </w:tcPr>
          <w:p>
            <w:pPr>
              <w:spacing w:line="240" w:lineRule="auto"/>
              <w:ind w:firstLine="0"/>
              <w:jc w:val="center"/>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Atingidos repetidamente</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Outlier extremo</w:t>
            </w:r>
          </w:p>
        </w:tc>
        <w:tc>
          <w:tcPr>
            <w:tcW w:type="dxa" w:w="2351"/>
          </w:tcPr>
          <w:p>
            <w:pPr>
              <w:spacing w:line="240" w:lineRule="auto"/>
              <w:ind w:firstLine="0"/>
              <w:jc w:val="center"/>
            </w:pPr>
            <w:r>
              <w:rPr>
                <w:rFonts w:ascii="Times New Roman" w:hAnsi="Times New Roman" w:cs="Times New Roman"/>
                <w:b w:val="0"/>
                <w:i w:val="0"/>
                <w:sz w:val="22"/>
              </w:rPr>
              <w:t>&lt; 0,1%</w:t>
            </w:r>
          </w:p>
        </w:tc>
        <w:tc>
          <w:tcPr>
            <w:tcW w:type="dxa" w:w="2351"/>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ilustra os limites da análise uniforme.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expõe os determinantes da decisão.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Variável</w:t>
            </w:r>
          </w:p>
        </w:tc>
        <w:tc>
          <w:tcPr>
            <w:tcW w:type="dxa" w:w="4702"/>
          </w:tcPr>
          <w:p>
            <w:pPr>
              <w:spacing w:line="240" w:lineRule="auto"/>
              <w:ind w:firstLine="0"/>
              <w:jc w:val="center"/>
            </w:pPr>
            <w:r>
              <w:rPr>
                <w:rFonts w:ascii="Times New Roman" w:hAnsi="Times New Roman" w:cs="Times New Roman"/>
                <w:b/>
                <w:i w:val="0"/>
                <w:sz w:val="22"/>
              </w:rPr>
              <w:t>Importância</w:t>
            </w:r>
          </w:p>
        </w:tc>
      </w:tr>
      <w:tr>
        <w:tc>
          <w:tcPr>
            <w:tcW w:type="dxa" w:w="4702"/>
          </w:tcPr>
          <w:p>
            <w:pPr>
              <w:spacing w:line="240" w:lineRule="auto"/>
              <w:ind w:firstLine="0"/>
              <w:jc w:val="left"/>
            </w:pPr>
            <w:r>
              <w:rPr>
                <w:rFonts w:ascii="Times New Roman" w:hAnsi="Times New Roman" w:cs="Times New Roman"/>
                <w:b w:val="0"/>
                <w:i w:val="0"/>
                <w:sz w:val="22"/>
              </w:rPr>
              <w:t>Valor solicitado</w:t>
            </w:r>
          </w:p>
        </w:tc>
        <w:tc>
          <w:tcPr>
            <w:tcW w:type="dxa" w:w="4702"/>
          </w:tcPr>
          <w:p>
            <w:pPr>
              <w:spacing w:line="240" w:lineRule="auto"/>
              <w:ind w:firstLine="0"/>
              <w:jc w:val="center"/>
            </w:pPr>
            <w:r>
              <w:rPr>
                <w:rFonts w:ascii="Times New Roman" w:hAnsi="Times New Roman" w:cs="Times New Roman"/>
                <w:b w:val="0"/>
                <w:i w:val="0"/>
                <w:sz w:val="22"/>
              </w:rPr>
              <w:t>63%</w:t>
            </w:r>
          </w:p>
        </w:tc>
      </w:tr>
      <w:tr>
        <w:tc>
          <w:tcPr>
            <w:tcW w:type="dxa" w:w="4702"/>
          </w:tcPr>
          <w:p>
            <w:pPr>
              <w:spacing w:line="240" w:lineRule="auto"/>
              <w:ind w:firstLine="0"/>
              <w:jc w:val="left"/>
            </w:pPr>
            <w:r>
              <w:rPr>
                <w:rFonts w:ascii="Times New Roman" w:hAnsi="Times New Roman" w:cs="Times New Roman"/>
                <w:b w:val="0"/>
                <w:i w:val="0"/>
                <w:sz w:val="22"/>
              </w:rPr>
              <w:t>Faixa populacional + grupo comportamental</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Unidade da federação</w:t>
            </w:r>
          </w:p>
        </w:tc>
        <w:tc>
          <w:tcPr>
            <w:tcW w:type="dxa" w:w="4702"/>
          </w:tcPr>
          <w:p>
            <w:pPr>
              <w:spacing w:line="240" w:lineRule="auto"/>
              <w:ind w:firstLine="0"/>
              <w:jc w:val="center"/>
            </w:pPr>
            <w:r>
              <w:rPr>
                <w:rFonts w:ascii="Times New Roman" w:hAnsi="Times New Roman" w:cs="Times New Roman"/>
                <w:b w:val="0"/>
                <w:i w:val="0"/>
                <w:sz w:val="22"/>
              </w:rPr>
              <w:t>10%</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7%</w:t>
            </w:r>
          </w:p>
        </w:tc>
      </w:tr>
      <w:tr>
        <w:tc>
          <w:tcPr>
            <w:tcW w:type="dxa" w:w="4702"/>
          </w:tcPr>
          <w:p>
            <w:pPr>
              <w:spacing w:line="240" w:lineRule="auto"/>
              <w:ind w:firstLine="0"/>
              <w:jc w:val="left"/>
            </w:pPr>
            <w:r>
              <w:rPr>
                <w:rFonts w:ascii="Times New Roman" w:hAnsi="Times New Roman" w:cs="Times New Roman"/>
                <w:b w:val="0"/>
                <w:i w:val="0"/>
                <w:sz w:val="22"/>
              </w:rPr>
              <w:t>Faixa de capacidade (ICM)</w:t>
            </w:r>
          </w:p>
        </w:tc>
        <w:tc>
          <w:tcPr>
            <w:tcW w:type="dxa" w:w="470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Classificação</w:t>
            </w:r>
          </w:p>
        </w:tc>
        <w:tc>
          <w:tcPr>
            <w:tcW w:type="dxa" w:w="2351"/>
          </w:tcPr>
          <w:p>
            <w:pPr>
              <w:spacing w:line="240" w:lineRule="auto"/>
              <w:ind w:firstLine="0"/>
              <w:jc w:val="center"/>
            </w:pPr>
            <w:r>
              <w:rPr>
                <w:rFonts w:ascii="Times New Roman" w:hAnsi="Times New Roman" w:cs="Times New Roman"/>
                <w:b/>
                <w:i w:val="0"/>
                <w:sz w:val="22"/>
              </w:rPr>
              <w:t>Processos</w:t>
            </w:r>
          </w:p>
        </w:tc>
        <w:tc>
          <w:tcPr>
            <w:tcW w:type="dxa" w:w="2351"/>
          </w:tcPr>
          <w:p>
            <w:pPr>
              <w:spacing w:line="240" w:lineRule="auto"/>
              <w:ind w:firstLine="0"/>
              <w:jc w:val="center"/>
            </w:pPr>
            <w:r>
              <w:rPr>
                <w:rFonts w:ascii="Times New Roman" w:hAnsi="Times New Roman" w:cs="Times New Roman"/>
                <w:b/>
                <w:i w:val="0"/>
                <w:sz w:val="22"/>
              </w:rPr>
              <w:t>%</w:t>
            </w:r>
          </w:p>
        </w:tc>
        <w:tc>
          <w:tcPr>
            <w:tcW w:type="dxa" w:w="2351"/>
          </w:tcPr>
          <w:p>
            <w:pPr>
              <w:spacing w:line="240" w:lineRule="auto"/>
              <w:ind w:firstLine="0"/>
              <w:jc w:val="center"/>
            </w:pPr>
            <w:r>
              <w:rPr>
                <w:rFonts w:ascii="Times New Roman" w:hAnsi="Times New Roman" w:cs="Times New Roman"/>
                <w:b/>
                <w:i w:val="0"/>
                <w:sz w:val="22"/>
              </w:rPr>
              <w:t>Interpretação</w:t>
            </w:r>
          </w:p>
        </w:tc>
      </w:tr>
      <w:tr>
        <w:tc>
          <w:tcPr>
            <w:tcW w:type="dxa" w:w="2351"/>
          </w:tcPr>
          <w:p>
            <w:pPr>
              <w:spacing w:line="240" w:lineRule="auto"/>
              <w:ind w:firstLine="0"/>
              <w:jc w:val="left"/>
            </w:pPr>
            <w:r>
              <w:rPr>
                <w:rFonts w:ascii="Times New Roman" w:hAnsi="Times New Roman" w:cs="Times New Roman"/>
                <w:b w:val="0"/>
                <w:i w:val="0"/>
                <w:sz w:val="22"/>
              </w:rPr>
              <w:t>Normal</w:t>
            </w:r>
          </w:p>
        </w:tc>
        <w:tc>
          <w:tcPr>
            <w:tcW w:type="dxa" w:w="2351"/>
          </w:tcPr>
          <w:p>
            <w:pPr>
              <w:spacing w:line="240" w:lineRule="auto"/>
              <w:ind w:firstLine="0"/>
              <w:jc w:val="center"/>
            </w:pPr>
            <w:r>
              <w:rPr>
                <w:rFonts w:ascii="Times New Roman" w:hAnsi="Times New Roman" w:cs="Times New Roman"/>
                <w:b w:val="0"/>
                <w:i w:val="0"/>
                <w:sz w:val="22"/>
              </w:rPr>
              <w:t>2.556</w:t>
            </w:r>
          </w:p>
        </w:tc>
        <w:tc>
          <w:tcPr>
            <w:tcW w:type="dxa" w:w="2351"/>
          </w:tcPr>
          <w:p>
            <w:pPr>
              <w:spacing w:line="240" w:lineRule="auto"/>
              <w:ind w:firstLine="0"/>
              <w:jc w:val="center"/>
            </w:pPr>
            <w:r>
              <w:rPr>
                <w:rFonts w:ascii="Times New Roman" w:hAnsi="Times New Roman" w:cs="Times New Roman"/>
                <w:b w:val="0"/>
                <w:i w:val="0"/>
                <w:sz w:val="22"/>
              </w:rPr>
              <w:t>66%</w:t>
            </w:r>
          </w:p>
        </w:tc>
        <w:tc>
          <w:tcPr>
            <w:tcW w:type="dxa" w:w="2351"/>
          </w:tcPr>
          <w:p>
            <w:pPr>
              <w:spacing w:line="240" w:lineRule="auto"/>
              <w:ind w:firstLine="0"/>
              <w:jc w:val="center"/>
            </w:pPr>
            <w:r>
              <w:rPr>
                <w:rFonts w:ascii="Times New Roman" w:hAnsi="Times New Roman" w:cs="Times New Roman"/>
                <w:b w:val="0"/>
                <w:i w:val="0"/>
                <w:sz w:val="22"/>
              </w:rPr>
              <w:t>Dentro da faixa esperada</w:t>
            </w:r>
          </w:p>
        </w:tc>
      </w:tr>
      <w:tr>
        <w:tc>
          <w:tcPr>
            <w:tcW w:type="dxa" w:w="2351"/>
          </w:tcPr>
          <w:p>
            <w:pPr>
              <w:spacing w:line="240" w:lineRule="auto"/>
              <w:ind w:firstLine="0"/>
              <w:jc w:val="left"/>
            </w:pPr>
            <w:r>
              <w:rPr>
                <w:rFonts w:ascii="Times New Roman" w:hAnsi="Times New Roman" w:cs="Times New Roman"/>
                <w:b w:val="0"/>
                <w:i w:val="0"/>
                <w:sz w:val="22"/>
              </w:rPr>
              <w:t>Baixo</w:t>
            </w:r>
          </w:p>
        </w:tc>
        <w:tc>
          <w:tcPr>
            <w:tcW w:type="dxa" w:w="2351"/>
          </w:tcPr>
          <w:p>
            <w:pPr>
              <w:spacing w:line="240" w:lineRule="auto"/>
              <w:ind w:firstLine="0"/>
              <w:jc w:val="center"/>
            </w:pPr>
            <w:r>
              <w:rPr>
                <w:rFonts w:ascii="Times New Roman" w:hAnsi="Times New Roman" w:cs="Times New Roman"/>
                <w:b w:val="0"/>
                <w:i w:val="0"/>
                <w:sz w:val="22"/>
              </w:rPr>
              <w:t>757</w:t>
            </w:r>
          </w:p>
        </w:tc>
        <w:tc>
          <w:tcPr>
            <w:tcW w:type="dxa" w:w="2351"/>
          </w:tcPr>
          <w:p>
            <w:pPr>
              <w:spacing w:line="240" w:lineRule="auto"/>
              <w:ind w:firstLine="0"/>
              <w:jc w:val="center"/>
            </w:pPr>
            <w:r>
              <w:rPr>
                <w:rFonts w:ascii="Times New Roman" w:hAnsi="Times New Roman" w:cs="Times New Roman"/>
                <w:b w:val="0"/>
                <w:i w:val="0"/>
                <w:sz w:val="22"/>
              </w:rPr>
              <w:t>19%</w:t>
            </w:r>
          </w:p>
        </w:tc>
        <w:tc>
          <w:tcPr>
            <w:tcW w:type="dxa" w:w="2351"/>
          </w:tcPr>
          <w:p>
            <w:pPr>
              <w:spacing w:line="240" w:lineRule="auto"/>
              <w:ind w:firstLine="0"/>
              <w:jc w:val="center"/>
            </w:pPr>
            <w:r>
              <w:rPr>
                <w:rFonts w:ascii="Times New Roman" w:hAnsi="Times New Roman" w:cs="Times New Roman"/>
                <w:b w:val="0"/>
                <w:i w:val="0"/>
                <w:sz w:val="22"/>
              </w:rPr>
              <w:t>Possível subdimensionamento</w:t>
            </w:r>
          </w:p>
        </w:tc>
      </w:tr>
      <w:tr>
        <w:tc>
          <w:tcPr>
            <w:tcW w:type="dxa" w:w="2351"/>
          </w:tcPr>
          <w:p>
            <w:pPr>
              <w:spacing w:line="240" w:lineRule="auto"/>
              <w:ind w:firstLine="0"/>
              <w:jc w:val="left"/>
            </w:pPr>
            <w:r>
              <w:rPr>
                <w:rFonts w:ascii="Times New Roman" w:hAnsi="Times New Roman" w:cs="Times New Roman"/>
                <w:b w:val="0"/>
                <w:i w:val="0"/>
                <w:sz w:val="22"/>
              </w:rPr>
              <w:t>Alto</w:t>
            </w:r>
          </w:p>
        </w:tc>
        <w:tc>
          <w:tcPr>
            <w:tcW w:type="dxa" w:w="2351"/>
          </w:tcPr>
          <w:p>
            <w:pPr>
              <w:spacing w:line="240" w:lineRule="auto"/>
              <w:ind w:firstLine="0"/>
              <w:jc w:val="center"/>
            </w:pPr>
            <w:r>
              <w:rPr>
                <w:rFonts w:ascii="Times New Roman" w:hAnsi="Times New Roman" w:cs="Times New Roman"/>
                <w:b w:val="0"/>
                <w:i w:val="0"/>
                <w:sz w:val="22"/>
              </w:rPr>
              <w:t>580</w:t>
            </w:r>
          </w:p>
        </w:tc>
        <w:tc>
          <w:tcPr>
            <w:tcW w:type="dxa" w:w="2351"/>
          </w:tcPr>
          <w:p>
            <w:pPr>
              <w:spacing w:line="240" w:lineRule="auto"/>
              <w:ind w:firstLine="0"/>
              <w:jc w:val="center"/>
            </w:pPr>
            <w:r>
              <w:rPr>
                <w:rFonts w:ascii="Times New Roman" w:hAnsi="Times New Roman" w:cs="Times New Roman"/>
                <w:b w:val="0"/>
                <w:i w:val="0"/>
                <w:sz w:val="22"/>
              </w:rPr>
              <w:t>15%</w:t>
            </w:r>
          </w:p>
        </w:tc>
        <w:tc>
          <w:tcPr>
            <w:tcW w:type="dxa" w:w="2351"/>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Município (UF)</w:t>
            </w:r>
          </w:p>
        </w:tc>
        <w:tc>
          <w:tcPr>
            <w:tcW w:type="dxa" w:w="2351"/>
          </w:tcPr>
          <w:p>
            <w:pPr>
              <w:spacing w:line="240" w:lineRule="auto"/>
              <w:ind w:firstLine="0"/>
              <w:jc w:val="center"/>
            </w:pPr>
            <w:r>
              <w:rPr>
                <w:rFonts w:ascii="Times New Roman" w:hAnsi="Times New Roman" w:cs="Times New Roman"/>
                <w:b/>
                <w:i w:val="0"/>
                <w:sz w:val="22"/>
              </w:rPr>
              <w:t>Valor solicitado (R$)</w:t>
            </w:r>
          </w:p>
        </w:tc>
        <w:tc>
          <w:tcPr>
            <w:tcW w:type="dxa" w:w="2351"/>
          </w:tcPr>
          <w:p>
            <w:pPr>
              <w:spacing w:line="240" w:lineRule="auto"/>
              <w:ind w:firstLine="0"/>
              <w:jc w:val="center"/>
            </w:pPr>
            <w:r>
              <w:rPr>
                <w:rFonts w:ascii="Times New Roman" w:hAnsi="Times New Roman" w:cs="Times New Roman"/>
                <w:b/>
                <w:i w:val="0"/>
                <w:sz w:val="22"/>
              </w:rPr>
              <w:t>Limite P90 (R$)</w:t>
            </w:r>
          </w:p>
        </w:tc>
        <w:tc>
          <w:tcPr>
            <w:tcW w:type="dxa" w:w="2351"/>
          </w:tcPr>
          <w:p>
            <w:pPr>
              <w:spacing w:line="240" w:lineRule="auto"/>
              <w:ind w:firstLine="0"/>
              <w:jc w:val="center"/>
            </w:pPr>
            <w:r>
              <w:rPr>
                <w:rFonts w:ascii="Times New Roman" w:hAnsi="Times New Roman" w:cs="Times New Roman"/>
                <w:b/>
                <w:i w:val="0"/>
                <w:sz w:val="22"/>
              </w:rPr>
              <w:t>Desvio</w:t>
            </w:r>
          </w:p>
        </w:tc>
      </w:tr>
      <w:tr>
        <w:tc>
          <w:tcPr>
            <w:tcW w:type="dxa" w:w="2351"/>
          </w:tcPr>
          <w:p>
            <w:pPr>
              <w:spacing w:line="240" w:lineRule="auto"/>
              <w:ind w:firstLine="0"/>
              <w:jc w:val="left"/>
            </w:pPr>
            <w:r>
              <w:rPr>
                <w:rFonts w:ascii="Times New Roman" w:hAnsi="Times New Roman" w:cs="Times New Roman"/>
                <w:b w:val="0"/>
                <w:i w:val="0"/>
                <w:sz w:val="22"/>
              </w:rPr>
              <w:t>Nova Monte Verde (MT)</w:t>
            </w:r>
          </w:p>
        </w:tc>
        <w:tc>
          <w:tcPr>
            <w:tcW w:type="dxa" w:w="2351"/>
          </w:tcPr>
          <w:p>
            <w:pPr>
              <w:spacing w:line="240" w:lineRule="auto"/>
              <w:ind w:firstLine="0"/>
              <w:jc w:val="center"/>
            </w:pPr>
            <w:r>
              <w:rPr>
                <w:rFonts w:ascii="Times New Roman" w:hAnsi="Times New Roman" w:cs="Times New Roman"/>
                <w:b w:val="0"/>
                <w:i w:val="0"/>
                <w:sz w:val="22"/>
              </w:rPr>
              <w:t>2.500.000.000</w:t>
            </w:r>
          </w:p>
        </w:tc>
        <w:tc>
          <w:tcPr>
            <w:tcW w:type="dxa" w:w="2351"/>
          </w:tcPr>
          <w:p>
            <w:pPr>
              <w:spacing w:line="240" w:lineRule="auto"/>
              <w:ind w:firstLine="0"/>
              <w:jc w:val="center"/>
            </w:pPr>
            <w:r>
              <w:rPr>
                <w:rFonts w:ascii="Times New Roman" w:hAnsi="Times New Roman" w:cs="Times New Roman"/>
                <w:b w:val="0"/>
                <w:i w:val="0"/>
                <w:sz w:val="22"/>
              </w:rPr>
              <w:t>3.131.467</w:t>
            </w:r>
          </w:p>
        </w:tc>
        <w:tc>
          <w:tcPr>
            <w:tcW w:type="dxa" w:w="2351"/>
          </w:tcPr>
          <w:p>
            <w:pPr>
              <w:spacing w:line="240" w:lineRule="auto"/>
              <w:ind w:firstLine="0"/>
              <w:jc w:val="center"/>
            </w:pPr>
            <w:r>
              <w:rPr>
                <w:rFonts w:ascii="Times New Roman" w:hAnsi="Times New Roman" w:cs="Times New Roman"/>
                <w:b w:val="0"/>
                <w:i w:val="0"/>
                <w:sz w:val="22"/>
              </w:rPr>
              <w:t>235.558%</w:t>
            </w:r>
          </w:p>
        </w:tc>
      </w:tr>
      <w:tr>
        <w:tc>
          <w:tcPr>
            <w:tcW w:type="dxa" w:w="2351"/>
          </w:tcPr>
          <w:p>
            <w:pPr>
              <w:spacing w:line="240" w:lineRule="auto"/>
              <w:ind w:firstLine="0"/>
              <w:jc w:val="left"/>
            </w:pPr>
            <w:r>
              <w:rPr>
                <w:rFonts w:ascii="Times New Roman" w:hAnsi="Times New Roman" w:cs="Times New Roman"/>
                <w:b w:val="0"/>
                <w:i w:val="0"/>
                <w:sz w:val="22"/>
              </w:rPr>
              <w:t>Jaboatão dos Guararapes (PE)</w:t>
            </w:r>
          </w:p>
        </w:tc>
        <w:tc>
          <w:tcPr>
            <w:tcW w:type="dxa" w:w="2351"/>
          </w:tcPr>
          <w:p>
            <w:pPr>
              <w:spacing w:line="240" w:lineRule="auto"/>
              <w:ind w:firstLine="0"/>
              <w:jc w:val="center"/>
            </w:pPr>
            <w:r>
              <w:rPr>
                <w:rFonts w:ascii="Times New Roman" w:hAnsi="Times New Roman" w:cs="Times New Roman"/>
                <w:b w:val="0"/>
                <w:i w:val="0"/>
                <w:sz w:val="22"/>
              </w:rPr>
              <w:t>402.398.352</w:t>
            </w:r>
          </w:p>
        </w:tc>
        <w:tc>
          <w:tcPr>
            <w:tcW w:type="dxa" w:w="2351"/>
          </w:tcPr>
          <w:p>
            <w:pPr>
              <w:spacing w:line="240" w:lineRule="auto"/>
              <w:ind w:firstLine="0"/>
              <w:jc w:val="center"/>
            </w:pPr>
            <w:r>
              <w:rPr>
                <w:rFonts w:ascii="Times New Roman" w:hAnsi="Times New Roman" w:cs="Times New Roman"/>
                <w:b w:val="0"/>
                <w:i w:val="0"/>
                <w:sz w:val="22"/>
              </w:rPr>
              <w:t>6.514.830</w:t>
            </w:r>
          </w:p>
        </w:tc>
        <w:tc>
          <w:tcPr>
            <w:tcW w:type="dxa" w:w="2351"/>
          </w:tcPr>
          <w:p>
            <w:pPr>
              <w:spacing w:line="240" w:lineRule="auto"/>
              <w:ind w:firstLine="0"/>
              <w:jc w:val="center"/>
            </w:pPr>
            <w:r>
              <w:rPr>
                <w:rFonts w:ascii="Times New Roman" w:hAnsi="Times New Roman" w:cs="Times New Roman"/>
                <w:b w:val="0"/>
                <w:i w:val="0"/>
                <w:sz w:val="22"/>
              </w:rPr>
              <w:t>29.867%</w:t>
            </w:r>
          </w:p>
        </w:tc>
      </w:tr>
      <w:tr>
        <w:tc>
          <w:tcPr>
            <w:tcW w:type="dxa" w:w="2351"/>
          </w:tcPr>
          <w:p>
            <w:pPr>
              <w:spacing w:line="240" w:lineRule="auto"/>
              <w:ind w:firstLine="0"/>
              <w:jc w:val="left"/>
            </w:pPr>
            <w:r>
              <w:rPr>
                <w:rFonts w:ascii="Times New Roman" w:hAnsi="Times New Roman" w:cs="Times New Roman"/>
                <w:b w:val="0"/>
                <w:i w:val="0"/>
                <w:sz w:val="22"/>
              </w:rPr>
              <w:t>Rio de Janeiro (RJ)</w:t>
            </w:r>
          </w:p>
        </w:tc>
        <w:tc>
          <w:tcPr>
            <w:tcW w:type="dxa" w:w="2351"/>
          </w:tcPr>
          <w:p>
            <w:pPr>
              <w:spacing w:line="240" w:lineRule="auto"/>
              <w:ind w:firstLine="0"/>
              <w:jc w:val="center"/>
            </w:pPr>
            <w:r>
              <w:rPr>
                <w:rFonts w:ascii="Times New Roman" w:hAnsi="Times New Roman" w:cs="Times New Roman"/>
                <w:b w:val="0"/>
                <w:i w:val="0"/>
                <w:sz w:val="22"/>
              </w:rPr>
              <w:t>172.431.000</w:t>
            </w:r>
          </w:p>
        </w:tc>
        <w:tc>
          <w:tcPr>
            <w:tcW w:type="dxa" w:w="2351"/>
          </w:tcPr>
          <w:p>
            <w:pPr>
              <w:spacing w:line="240" w:lineRule="auto"/>
              <w:ind w:firstLine="0"/>
              <w:jc w:val="center"/>
            </w:pPr>
            <w:r>
              <w:rPr>
                <w:rFonts w:ascii="Times New Roman" w:hAnsi="Times New Roman" w:cs="Times New Roman"/>
                <w:b w:val="0"/>
                <w:i w:val="0"/>
                <w:sz w:val="22"/>
              </w:rPr>
              <w:t>7.202.435</w:t>
            </w:r>
          </w:p>
        </w:tc>
        <w:tc>
          <w:tcPr>
            <w:tcW w:type="dxa" w:w="2351"/>
          </w:tcPr>
          <w:p>
            <w:pPr>
              <w:spacing w:line="240" w:lineRule="auto"/>
              <w:ind w:firstLine="0"/>
              <w:jc w:val="center"/>
            </w:pPr>
            <w:r>
              <w:rPr>
                <w:rFonts w:ascii="Times New Roman" w:hAnsi="Times New Roman" w:cs="Times New Roman"/>
                <w:b w:val="0"/>
                <w:i w:val="0"/>
                <w:sz w:val="22"/>
              </w:rPr>
              <w:t>10.220%</w:t>
            </w:r>
          </w:p>
        </w:tc>
      </w:tr>
      <w:tr>
        <w:tc>
          <w:tcPr>
            <w:tcW w:type="dxa" w:w="2351"/>
          </w:tcPr>
          <w:p>
            <w:pPr>
              <w:spacing w:line="240" w:lineRule="auto"/>
              <w:ind w:firstLine="0"/>
              <w:jc w:val="left"/>
            </w:pPr>
            <w:r>
              <w:rPr>
                <w:rFonts w:ascii="Times New Roman" w:hAnsi="Times New Roman" w:cs="Times New Roman"/>
                <w:b w:val="0"/>
                <w:i w:val="0"/>
                <w:sz w:val="22"/>
              </w:rPr>
              <w:t>Osasco (SP)</w:t>
            </w:r>
          </w:p>
        </w:tc>
        <w:tc>
          <w:tcPr>
            <w:tcW w:type="dxa" w:w="2351"/>
          </w:tcPr>
          <w:p>
            <w:pPr>
              <w:spacing w:line="240" w:lineRule="auto"/>
              <w:ind w:firstLine="0"/>
              <w:jc w:val="center"/>
            </w:pPr>
            <w:r>
              <w:rPr>
                <w:rFonts w:ascii="Times New Roman" w:hAnsi="Times New Roman" w:cs="Times New Roman"/>
                <w:b w:val="0"/>
                <w:i w:val="0"/>
                <w:sz w:val="22"/>
              </w:rPr>
              <w:t>268.376.257</w:t>
            </w:r>
          </w:p>
        </w:tc>
        <w:tc>
          <w:tcPr>
            <w:tcW w:type="dxa" w:w="2351"/>
          </w:tcPr>
          <w:p>
            <w:pPr>
              <w:spacing w:line="240" w:lineRule="auto"/>
              <w:ind w:firstLine="0"/>
              <w:jc w:val="center"/>
            </w:pPr>
            <w:r>
              <w:rPr>
                <w:rFonts w:ascii="Times New Roman" w:hAnsi="Times New Roman" w:cs="Times New Roman"/>
                <w:b w:val="0"/>
                <w:i w:val="0"/>
                <w:sz w:val="22"/>
              </w:rPr>
              <w:t>13.275.506</w:t>
            </w:r>
          </w:p>
        </w:tc>
        <w:tc>
          <w:tcPr>
            <w:tcW w:type="dxa" w:w="2351"/>
          </w:tcPr>
          <w:p>
            <w:pPr>
              <w:spacing w:line="240" w:lineRule="auto"/>
              <w:ind w:firstLine="0"/>
              <w:jc w:val="center"/>
            </w:pPr>
            <w:r>
              <w:rPr>
                <w:rFonts w:ascii="Times New Roman" w:hAnsi="Times New Roman" w:cs="Times New Roman"/>
                <w:b w:val="0"/>
                <w:i w:val="0"/>
                <w:sz w:val="22"/>
              </w:rPr>
              <w:t>9.160%</w:t>
            </w:r>
          </w:p>
        </w:tc>
      </w:tr>
      <w:tr>
        <w:tc>
          <w:tcPr>
            <w:tcW w:type="dxa" w:w="2351"/>
          </w:tcPr>
          <w:p>
            <w:pPr>
              <w:spacing w:line="240" w:lineRule="auto"/>
              <w:ind w:firstLine="0"/>
              <w:jc w:val="left"/>
            </w:pPr>
            <w:r>
              <w:rPr>
                <w:rFonts w:ascii="Times New Roman" w:hAnsi="Times New Roman" w:cs="Times New Roman"/>
                <w:b w:val="0"/>
                <w:i w:val="0"/>
                <w:sz w:val="22"/>
              </w:rPr>
              <w:t>Roca Sales (RS)</w:t>
            </w:r>
          </w:p>
        </w:tc>
        <w:tc>
          <w:tcPr>
            <w:tcW w:type="dxa" w:w="2351"/>
          </w:tcPr>
          <w:p>
            <w:pPr>
              <w:spacing w:line="240" w:lineRule="auto"/>
              <w:ind w:firstLine="0"/>
              <w:jc w:val="center"/>
            </w:pPr>
            <w:r>
              <w:rPr>
                <w:rFonts w:ascii="Times New Roman" w:hAnsi="Times New Roman" w:cs="Times New Roman"/>
                <w:b w:val="0"/>
                <w:i w:val="0"/>
                <w:sz w:val="22"/>
              </w:rPr>
              <w:t>109.436.648</w:t>
            </w:r>
          </w:p>
        </w:tc>
        <w:tc>
          <w:tcPr>
            <w:tcW w:type="dxa" w:w="2351"/>
          </w:tcPr>
          <w:p>
            <w:pPr>
              <w:spacing w:line="240" w:lineRule="auto"/>
              <w:ind w:firstLine="0"/>
              <w:jc w:val="center"/>
            </w:pPr>
            <w:r>
              <w:rPr>
                <w:rFonts w:ascii="Times New Roman" w:hAnsi="Times New Roman" w:cs="Times New Roman"/>
                <w:b w:val="0"/>
                <w:i w:val="0"/>
                <w:sz w:val="22"/>
              </w:rPr>
              <w:t>6.331.731</w:t>
            </w:r>
          </w:p>
        </w:tc>
        <w:tc>
          <w:tcPr>
            <w:tcW w:type="dxa" w:w="2351"/>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sintetiza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Fator preditivo</w:t>
            </w:r>
          </w:p>
        </w:tc>
        <w:tc>
          <w:tcPr>
            <w:tcW w:type="dxa" w:w="4702"/>
          </w:tcPr>
          <w:p>
            <w:pPr>
              <w:spacing w:line="240" w:lineRule="auto"/>
              <w:ind w:firstLine="0"/>
              <w:jc w:val="center"/>
            </w:pPr>
            <w:r>
              <w:rPr>
                <w:rFonts w:ascii="Times New Roman" w:hAnsi="Times New Roman" w:cs="Times New Roman"/>
                <w:b/>
                <w:i w:val="0"/>
                <w:sz w:val="22"/>
              </w:rPr>
              <w:t>Importância média</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28%</w:t>
            </w:r>
          </w:p>
        </w:tc>
      </w:tr>
      <w:tr>
        <w:tc>
          <w:tcPr>
            <w:tcW w:type="dxa" w:w="4702"/>
          </w:tcPr>
          <w:p>
            <w:pPr>
              <w:spacing w:line="240" w:lineRule="auto"/>
              <w:ind w:firstLine="0"/>
              <w:jc w:val="left"/>
            </w:pPr>
            <w:r>
              <w:rPr>
                <w:rFonts w:ascii="Times New Roman" w:hAnsi="Times New Roman" w:cs="Times New Roman"/>
                <w:b w:val="0"/>
                <w:i w:val="0"/>
                <w:sz w:val="22"/>
              </w:rPr>
              <w:t>Localização do município</w:t>
            </w:r>
          </w:p>
        </w:tc>
        <w:tc>
          <w:tcPr>
            <w:tcW w:type="dxa" w:w="4702"/>
          </w:tcPr>
          <w:p>
            <w:pPr>
              <w:spacing w:line="240" w:lineRule="auto"/>
              <w:ind w:firstLine="0"/>
              <w:jc w:val="center"/>
            </w:pPr>
            <w:r>
              <w:rPr>
                <w:rFonts w:ascii="Times New Roman" w:hAnsi="Times New Roman" w:cs="Times New Roman"/>
                <w:b w:val="0"/>
                <w:i w:val="0"/>
                <w:sz w:val="22"/>
              </w:rPr>
              <w:t>22%</w:t>
            </w:r>
          </w:p>
        </w:tc>
      </w:tr>
      <w:tr>
        <w:tc>
          <w:tcPr>
            <w:tcW w:type="dxa" w:w="4702"/>
          </w:tcPr>
          <w:p>
            <w:pPr>
              <w:spacing w:line="240" w:lineRule="auto"/>
              <w:ind w:firstLine="0"/>
              <w:jc w:val="left"/>
            </w:pPr>
            <w:r>
              <w:rPr>
                <w:rFonts w:ascii="Times New Roman" w:hAnsi="Times New Roman" w:cs="Times New Roman"/>
                <w:b w:val="0"/>
                <w:i w:val="0"/>
                <w:sz w:val="22"/>
              </w:rPr>
              <w:t>População do município</w:t>
            </w:r>
          </w:p>
        </w:tc>
        <w:tc>
          <w:tcPr>
            <w:tcW w:type="dxa" w:w="4702"/>
          </w:tcPr>
          <w:p>
            <w:pPr>
              <w:spacing w:line="240" w:lineRule="auto"/>
              <w:ind w:firstLine="0"/>
              <w:jc w:val="center"/>
            </w:pPr>
            <w:r>
              <w:rPr>
                <w:rFonts w:ascii="Times New Roman" w:hAnsi="Times New Roman" w:cs="Times New Roman"/>
                <w:b w:val="0"/>
                <w:i w:val="0"/>
                <w:sz w:val="22"/>
              </w:rPr>
              <w:t>18%</w:t>
            </w:r>
          </w:p>
        </w:tc>
      </w:tr>
      <w:tr>
        <w:tc>
          <w:tcPr>
            <w:tcW w:type="dxa" w:w="4702"/>
          </w:tcPr>
          <w:p>
            <w:pPr>
              <w:spacing w:line="240" w:lineRule="auto"/>
              <w:ind w:firstLine="0"/>
              <w:jc w:val="left"/>
            </w:pPr>
            <w:r>
              <w:rPr>
                <w:rFonts w:ascii="Times New Roman" w:hAnsi="Times New Roman" w:cs="Times New Roman"/>
                <w:b w:val="0"/>
                <w:i w:val="0"/>
                <w:sz w:val="22"/>
              </w:rPr>
              <w:t>PIB per capita</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Cobertura de atenção básica</w:t>
            </w:r>
          </w:p>
        </w:tc>
        <w:tc>
          <w:tcPr>
            <w:tcW w:type="dxa" w:w="470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da Integração e Desenvolvimento Regional. Secretaria Nacional de Proteção e Defesa Civil. Relatório gerencial de reconstrução: acompanhamento de processos. Brasília, DF: MIDR, 2017-2025. Relatórios anuais. Dados administrativos.</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EQUIPE 5 - INFRAESTRUTURA. Modelo preditivo de severidade de desastres para a defesa civil: aplicação de demonstração. [S. l.], 2025. Disponível em: https://github.com/fabiokp/defesa_civil_deploy.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disponível em: https://github.com/tadeugomes/enap-encontro-infra.</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disponível em: https://github.com/fabiokp/defesa_civil_deploy.</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