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ind w:firstLine="0"/>
        <w:jc w:val="center"/>
      </w:pPr>
      <w:r>
        <w:rPr>
          <w:rFonts w:ascii="Times New Roman" w:hAnsi="Times New Roman" w:cs="Times New Roman"/>
          <w:b/>
          <w:i w:val="0"/>
          <w:sz w:val="24"/>
        </w:rPr>
        <w:t>INTELIGÊNCIA ARTIFICIAL NA GESTÃO DE RECURSOS DE RECONSTRUÇÃO PÓS-DESASTRE: CAPACIDADE MUNICIPAL, COMPORTAMENTO DE DEMANDA E AUDITORIA AUTOMATIZADA DE GASTOS PÚBLICOS NO BRASIL (2017-2025)</w:t>
      </w:r>
      <w:r>
        <w:rPr>
          <w:vertAlign w:val="superscript"/>
        </w:rPr>
        <w:footnoteReference w:id="1"/>
      </w:r>
    </w:p>
    <w:p>
      <w:pPr>
        <w:spacing w:line="360" w:lineRule="auto" w:after="240" w:before="0"/>
        <w:ind w:firstLine="0"/>
        <w:jc w:val="center"/>
      </w:pPr>
      <w:r>
        <w:rPr>
          <w:rFonts w:ascii="Times New Roman" w:hAnsi="Times New Roman" w:cs="Times New Roman"/>
          <w:b w:val="0"/>
          <w:i w:val="0"/>
          <w:sz w:val="22"/>
        </w:rPr>
        <w:t>Tadeu Gomes Teixeira; Fábio Paim; Alexandre Galardinovic; Bruno Gustavo; Rafael Giacomin; Rafael Prata; Thiago Mello</w:t>
      </w:r>
    </w:p>
    <w:p>
      <w:pPr>
        <w:keepNext/>
        <w:spacing w:line="360" w:lineRule="auto" w:before="240" w:after="120"/>
        <w:ind w:firstLine="0"/>
        <w:jc w:val="left"/>
      </w:pPr>
      <w:r>
        <w:rPr>
          <w:rFonts w:ascii="Times New Roman" w:hAnsi="Times New Roman" w:cs="Times New Roman"/>
          <w:b/>
          <w:i w:val="0"/>
          <w:sz w:val="24"/>
        </w:rPr>
        <w:t>Resumo</w:t>
      </w:r>
    </w:p>
    <w:p>
      <w:pPr>
        <w:spacing w:line="360" w:lineRule="auto" w:after="0" w:before="0"/>
        <w:ind w:firstLine="0"/>
        <w:jc w:val="both"/>
      </w:pPr>
      <w:r>
        <w:rPr>
          <w:rFonts w:ascii="Times New Roman" w:hAnsi="Times New Roman" w:cs="Times New Roman"/>
          <w:b w:val="0"/>
          <w:i w:val="0"/>
          <w:sz w:val="24"/>
        </w:rPr>
        <w:t>Entre 2013 e 2024, os desastres provocaram cerca de R$ 732 bilhões em prejuízos no Brasil e atingiram 95% dos municípios, em um contexto de marcada heterogeneidade de capacidades estatais subnacionais. O artigo investiga por que municípios de menor capacidade institucional demandam mais recursos de reconstrução, se o comportamento efetivo de demanda supera o rótulo oficial de capacidade na explicação das decisões e em que medida técnicas de aprendizado de máquina permitem estimar valores de referência e sinalizar gastos atípicos. A metodologia mobiliza classificação, agrupamento, regressão quantílica e detecção de anomalias, aplicadas a 6.385 processos de reconstrução registrados entre 2017 e 2025 (BRASIL, 2025), que somam R$ 27,68 bilhões. Os resultados indicam que municípios de baixa capacidade concentram 51% dos recursos e demandam valor médio 2,94 vezes superior ao dos de alta capacidade; que o comportamento real de demanda supera o rótulo oficial de capacidade; e que um modelo de triagem identificou 580 processos com valores potencialmente superdimensionados, evidenciando o potencial e os limites da auditoria algorítmica no setor público. Como solução complementar, disponibiliza-se um motor de previsão da severidade dos desastres</w:t>
      </w:r>
      <w:r>
        <w:rPr>
          <w:vertAlign w:val="superscript"/>
        </w:rPr>
        <w:footnoteReference w:id="2"/>
      </w:r>
      <w:r>
        <w:rPr>
          <w:rFonts w:ascii="Times New Roman" w:hAnsi="Times New Roman" w:cs="Times New Roman"/>
          <w:b w:val="0"/>
          <w:i w:val="0"/>
          <w:sz w:val="24"/>
        </w:rPr>
        <w:t>, que antecipa a magnitude provável dos danos de novos eventos.</w:t>
      </w:r>
    </w:p>
    <w:p>
      <w:pPr>
        <w:spacing w:line="360" w:lineRule="auto" w:after="0" w:before="120"/>
        <w:ind w:firstLine="0"/>
        <w:jc w:val="both"/>
      </w:pPr>
      <w:r>
        <w:rPr>
          <w:rFonts w:ascii="Times New Roman" w:hAnsi="Times New Roman" w:cs="Times New Roman"/>
          <w:b w:val="0"/>
          <w:i w:val="0"/>
          <w:sz w:val="24"/>
        </w:rPr>
        <w:t>Palavras-chave: capacidade estatal municipal; gestão de desastres; aprendizado de máquina; previsão de desastres; auditoria de gastos públicos.</w:t>
      </w:r>
    </w:p>
    <w:p>
      <w:pPr>
        <w:keepNext/>
        <w:spacing w:line="360" w:lineRule="auto" w:before="240" w:after="120"/>
        <w:ind w:firstLine="0"/>
        <w:jc w:val="left"/>
      </w:pPr>
      <w:r>
        <w:rPr>
          <w:rFonts w:ascii="Times New Roman" w:hAnsi="Times New Roman" w:cs="Times New Roman"/>
          <w:b/>
          <w:i w:val="0"/>
          <w:sz w:val="24"/>
        </w:rPr>
        <w:t>1 Introdução</w:t>
      </w:r>
    </w:p>
    <w:p>
      <w:pPr>
        <w:spacing w:line="360" w:lineRule="auto" w:after="0" w:before="0"/>
        <w:ind w:firstLine="709"/>
        <w:jc w:val="both"/>
      </w:pPr>
      <w:r>
        <w:rPr>
          <w:rFonts w:ascii="Times New Roman" w:hAnsi="Times New Roman" w:cs="Times New Roman"/>
          <w:b w:val="0"/>
          <w:i w:val="0"/>
          <w:sz w:val="24"/>
        </w:rPr>
        <w:t>Os desastres associados a eventos climáticos extremos deixaram de constituir ocorrências excepcionais no Brasil e passaram a integrar a agenda permanente da gestão pública. Inundações, enxurradas, deslizamentos e tempestades convectivas recorrentes impõem, ano após ano, a necessidade de mobilizar recursos federais para a reconstrução de infraestrutura urbana e de serviços essenciais em municípios atingidos. Entre 2017 e 2025, os relatórios gerenciais de acompanhamento de processos de reconstrução (BRASIL, 2025) reúnem 6.385 processos e R$ 27,68 bilhões em valores solicitados, distribuídos por 2.113 municípios e 26 unidades da federação. A magnitude desses números revela que a política de reconstrução pós-desastre opera em escala que exige instrumentos de gestão capazes de conciliar celeridade na resposta, equidade na alocação e controle sobre a aplicação dos recursos. Trata-se, portanto, de um campo em que as decisões administrativas produzem efeitos imediatos sobre populações fragilizadas, o que torna especialmente sensível qualquer ineficiência ou irregularidade na destinação dos valores.</w:t>
      </w:r>
    </w:p>
    <w:p>
      <w:pPr>
        <w:spacing w:line="360" w:lineRule="auto" w:after="0" w:before="0"/>
        <w:ind w:firstLine="709"/>
        <w:jc w:val="both"/>
      </w:pPr>
      <w:r>
        <w:rPr>
          <w:rFonts w:ascii="Times New Roman" w:hAnsi="Times New Roman" w:cs="Times New Roman"/>
          <w:b w:val="0"/>
          <w:i w:val="0"/>
          <w:sz w:val="24"/>
        </w:rPr>
        <w:t>A dimensão do problema, no plano nacional, é expressiva. Segundo o Panorama dos Desastres no Brasil, da Confederação Nacional de Municípios, entre 2013 e 2024 os desastres provocaram cerca de R$ 732,2 bilhões em prejuízos econômicos e atingiram 95% dos municípios brasileiros, que registraram 70.361 decretos de situação de emergência ou de calamidade pública (CONFEDERAÇÃO NACIONAL DE MUNICÍPIOS, 2025). No mesmo período, as decretações de anormalidade cresceram 64%, mesmo quando excluídos os registros associados à pandemia de Covid-19. O impacto humano acompanha essa escala: foram contabilizados 2.978 óbitos, mais de um milhão de desabrigados e cerca de cinco milhões de desalojados, com os danos econômicos concentrados em dois extremos climáticos, a seca e o excesso de chuvas, que respondem, somados, por 68,9% das decretações de anormalidade no país.</w:t>
      </w:r>
    </w:p>
    <w:p>
      <w:pPr>
        <w:spacing w:line="360" w:lineRule="auto" w:after="0" w:before="0"/>
        <w:ind w:firstLine="709"/>
        <w:jc w:val="both"/>
      </w:pPr>
      <w:r>
        <w:rPr>
          <w:rFonts w:ascii="Times New Roman" w:hAnsi="Times New Roman" w:cs="Times New Roman"/>
          <w:b w:val="0"/>
          <w:i w:val="0"/>
          <w:sz w:val="24"/>
        </w:rPr>
        <w:t>A despeito da existência de uma política nacional estruturada, persiste um abismo entre o dano registrado e a ação executada. Dos R$ 732,2 bilhões em prejuízos, a União repassou cerca de R$ 5,3 bilhões para ações de gestão de risco e prevenção de desastres, montante que corresponde a apenas 39,8% do orçamento federal autorizado para esse fim no período. A esse descompasso soma-se um problema de informação: somente 48,3% dos municípios que decretaram anormalidade informaram os valores dos prejuízos ao sistema federal, o que indica que os custos reais são significativamente subdimensionados. Diante desse quadro, a qualificação da alocação e do controle dos recursos, bem como a antecipação da severidade dos eventos, constituem desafios cuja superação depende, em larga medida, da capacidade de extrair inteligência dos dados disponíveis.</w:t>
      </w:r>
    </w:p>
    <w:p>
      <w:pPr>
        <w:spacing w:line="360" w:lineRule="auto" w:after="0" w:before="0"/>
        <w:ind w:firstLine="709"/>
        <w:jc w:val="both"/>
      </w:pPr>
      <w:r>
        <w:rPr>
          <w:rFonts w:ascii="Times New Roman" w:hAnsi="Times New Roman" w:cs="Times New Roman"/>
          <w:b w:val="0"/>
          <w:i w:val="0"/>
          <w:sz w:val="24"/>
        </w:rPr>
        <w:t>A capacidade de um município responder a um desastre, contudo, não se distribui de maneira uniforme pelo território nacional. A literatura sobre capacidades estatais subnacionais tem demonstrado que os municípios brasileiros apresentam dotações muito desiguais de recursos administrativos, fiscais e técnicos, o que condiciona sua aptidão para formular projetos, executar obras e prestar contas (GRIN; ABRUCIO, 2018; MARENCO; STROHSCHOEN; JONER, 2017). Essa heterogeneidade é relevante porque os mecanismos de transferência voluntária de recursos pressupõem, em alguma medida, que o ente subnacional disponha de estrutura para acessar e operar os instrumentos disponíveis. Nesse sentido, a desigualdade de capacidades pode reproduzir, no momento da reconstrução, as mesmas assimetrias que tornaram certos municípios mais vulneráveis, de modo que o desastre opera menos como um evento puramente natural e mais como o desfecho de processos sociais e institucionais de longa duração.</w:t>
      </w:r>
    </w:p>
    <w:p>
      <w:pPr>
        <w:spacing w:line="360" w:lineRule="auto" w:after="0" w:before="0"/>
        <w:ind w:firstLine="709"/>
        <w:jc w:val="both"/>
      </w:pPr>
      <w:r>
        <w:rPr>
          <w:rFonts w:ascii="Times New Roman" w:hAnsi="Times New Roman" w:cs="Times New Roman"/>
          <w:b w:val="0"/>
          <w:i w:val="0"/>
          <w:sz w:val="24"/>
        </w:rPr>
        <w:t>O reconhecimento dessa desigualdade motivou a construção de indicadores sintéticos de capacidade institucional, entre os quais o Índice de Capacidade Municipal (ICM), que classifica os municípios em faixas e busca orientar a focalização de políticas de fortalecimento. A pergunta que organiza este artigo emerge do cruzamento entre esse indicador e os dados de demanda por reconstrução: por que municípios classificados em faixas de menor capacidade demandam, em média, volumes de recursos superiores aos solicitados por municípios de maior capacidade? A questão não é trivial, pois contraria a intuição de que maior capacidade institucional estaria associada a maior acesso a recursos, e abre espaço para hipóteses concorrentes sobre vulnerabilidade física, exposição a eventos severos e qualidade dos dados administrativos. Cada uma dessas hipóteses remete a um arranjo distinto de causas e, por consequência, a diferentes recomendações de política, o que confere à pergunta relevância que ultrapassa o interesse descritivo.</w:t>
      </w:r>
    </w:p>
    <w:p>
      <w:pPr>
        <w:spacing w:line="360" w:lineRule="auto" w:after="0" w:before="0"/>
        <w:ind w:firstLine="709"/>
        <w:jc w:val="both"/>
      </w:pPr>
      <w:r>
        <w:rPr>
          <w:rFonts w:ascii="Times New Roman" w:hAnsi="Times New Roman" w:cs="Times New Roman"/>
          <w:b w:val="0"/>
          <w:i w:val="0"/>
          <w:sz w:val="24"/>
        </w:rPr>
        <w:t>Diante disso, o objetivo geral deste trabalho é analisar a relação entre a capacidade institucional municipal e o comportamento de demanda por recursos de reconstrução, bem como avaliar a viabilidade de utilizar técnicas de aprendizado de máquina para apoiar a auditoria desses gastos. Como objetivos específicos, busca-se: caracterizar a distribuição dos valores solicitados segundo as faixas de capacidade; segmentar os municípios a partir do comportamento efetivo de demanda, e não apenas do rótulo oficial; estimar a probabilidade de aprovação dos processos e identificar seus determinantes; e construir um mecanismo de triagem capaz de sinalizar valores potencialmente superdimensionados. Trata-se, portanto, de articular um diagnóstico empírico a uma proposta instrumental de governança, de maneira que a análise dos dados não se encerre na descrição do fenômeno, mas se traduza em ferramentas utilizáveis pelos gestores responsáveis pela política.</w:t>
      </w:r>
    </w:p>
    <w:p>
      <w:pPr>
        <w:spacing w:line="360" w:lineRule="auto" w:after="0" w:before="0"/>
        <w:ind w:firstLine="709"/>
        <w:jc w:val="both"/>
      </w:pPr>
      <w:r>
        <w:rPr>
          <w:rFonts w:ascii="Times New Roman" w:hAnsi="Times New Roman" w:cs="Times New Roman"/>
          <w:b w:val="0"/>
          <w:i w:val="0"/>
          <w:sz w:val="24"/>
        </w:rPr>
        <w:t>Do trabalho analítico derivam duas soluções complementares de inteligência de dados, ambas disponibilizadas como ferramentas de apoio à decisão. A primeira, um sistema de inteligência para a reconstrução, constitui o eixo central deste artigo e atua na fase de recuperação, ao subsidiar a alocação de recursos e a auditoria dos gastos. A segunda, um motor de previsão da severidade dos desastres, atua nas fases de prevenção e preparação, ao antecipar a magnitude provável dos danos de um novo evento. Tomadas em conjunto, as duas soluções percorrem o ciclo de gestão de riscos estabelecido pela Política Nacional de Proteção e Defesa Civil, razão pela qual a segunda é igualmente apresentada, ainda que o foco da análise recaia sobre a primeira.</w:t>
      </w:r>
    </w:p>
    <w:p>
      <w:pPr>
        <w:spacing w:line="360" w:lineRule="auto" w:after="0" w:before="0"/>
        <w:ind w:firstLine="709"/>
        <w:jc w:val="both"/>
      </w:pPr>
      <w:r>
        <w:rPr>
          <w:rFonts w:ascii="Times New Roman" w:hAnsi="Times New Roman" w:cs="Times New Roman"/>
          <w:b w:val="0"/>
          <w:i w:val="0"/>
          <w:sz w:val="24"/>
        </w:rPr>
        <w:t>A justificativa do estudo assenta-se em duas ordens de consideração. Do ponto de vista acadêmico, a articulação entre a literatura de capacidades estatais e as técnicas de ciência de dados ainda é incipiente no Brasil, de modo que a aplicação desse instrumental a um problema concreto de política pública contribui para um campo em formação. Do ponto de vista prático, o volume de recursos envolvidos e a recorrência crescente dos desastres tornam imperativo dispor de mecanismos capazes de qualificar tanto a alocação quanto o controle dos gastos. A análise individualizada de milhares de processos excede a capacidade operacional dos órgãos de controle, o que recoloca, em novos termos, a velha tensão entre a amplitude da fiscalização e a escassez dos meios disponíveis para exercê-la.</w:t>
      </w:r>
    </w:p>
    <w:p>
      <w:pPr>
        <w:spacing w:line="360" w:lineRule="auto" w:after="0" w:before="0"/>
        <w:ind w:firstLine="709"/>
        <w:jc w:val="both"/>
      </w:pPr>
      <w:r>
        <w:rPr>
          <w:rFonts w:ascii="Times New Roman" w:hAnsi="Times New Roman" w:cs="Times New Roman"/>
          <w:b w:val="0"/>
          <w:i w:val="0"/>
          <w:sz w:val="24"/>
        </w:rPr>
        <w:t>O argumento desenvolvido ao longo do texto sustenta que os indicadores formais de capacidade, embora úteis para a focalização de políticas, capturam de modo apenas parcial o comportamento real dos municípios diante dos desastres, e que a observação desse comportamento por meio de dados transacionais oferece subsídios mais precisos tanto para a alocação quanto para o controle. Esse argumento será sustentado pela convergência de resultados de fases analíticas distintas, que apontam, de maneira independente, para a limitação explicativa do rótulo oficial quando confrontado com o comportamento observado. Cabe registrar que o estudo se apoia em dados administrativos secundários, com as limitações inerentes a essa natureza, e que os modelos aqui apresentados são concebidos como instrumentos de apoio à decisão, e não como substitutos do julgamento técnico.</w:t>
      </w:r>
    </w:p>
    <w:p>
      <w:pPr>
        <w:spacing w:line="360" w:lineRule="auto" w:after="0" w:before="0"/>
        <w:ind w:firstLine="709"/>
        <w:jc w:val="both"/>
      </w:pPr>
      <w:r>
        <w:rPr>
          <w:rFonts w:ascii="Times New Roman" w:hAnsi="Times New Roman" w:cs="Times New Roman"/>
          <w:b w:val="0"/>
          <w:i w:val="0"/>
          <w:sz w:val="24"/>
        </w:rPr>
        <w:t>O artigo está organizado em seis seções, além desta introdução. A segunda seção apresenta o referencial teórico, que articula a discussão sobre capacidades estatais municipais e desastres, a literatura sobre governança e controle de gastos públicos e os fundamentos das técnicas de aprendizado de máquina mobilizadas. A terceira seção descreve a metodologia, detalhando as fontes de dados, os procedimentos de tratamento e o desenho analítico em cinco fases. A quarta seção expõe os resultados, organizados segundo os objetivos específicos. A quinta seção discute os achados à luz do referencial teórico e explicita as limitações do estudo. A sexta seção, por fim, sintetiza as contribuições e propõe uma agenda de pesquisa.</w:t>
      </w:r>
    </w:p>
    <w:p>
      <w:pPr>
        <w:keepNext/>
        <w:spacing w:line="360" w:lineRule="auto" w:before="240" w:after="120"/>
        <w:ind w:firstLine="0"/>
        <w:jc w:val="left"/>
      </w:pPr>
      <w:r>
        <w:rPr>
          <w:rFonts w:ascii="Times New Roman" w:hAnsi="Times New Roman" w:cs="Times New Roman"/>
          <w:b/>
          <w:i w:val="0"/>
          <w:sz w:val="24"/>
        </w:rPr>
        <w:t>2 Referencial teórico</w:t>
      </w:r>
    </w:p>
    <w:p>
      <w:pPr>
        <w:keepNext/>
        <w:spacing w:line="360" w:lineRule="auto" w:before="240" w:after="120"/>
        <w:ind w:firstLine="0"/>
        <w:jc w:val="left"/>
      </w:pPr>
      <w:r>
        <w:rPr>
          <w:rFonts w:ascii="Times New Roman" w:hAnsi="Times New Roman" w:cs="Times New Roman"/>
          <w:b/>
          <w:i w:val="0"/>
          <w:sz w:val="24"/>
        </w:rPr>
        <w:t>2.1 Capacidade estatal municipal e desastres</w:t>
      </w:r>
    </w:p>
    <w:p>
      <w:pPr>
        <w:spacing w:line="360" w:lineRule="auto" w:after="0" w:before="0"/>
        <w:ind w:firstLine="709"/>
        <w:jc w:val="both"/>
      </w:pPr>
      <w:r>
        <w:rPr>
          <w:rFonts w:ascii="Times New Roman" w:hAnsi="Times New Roman" w:cs="Times New Roman"/>
          <w:b w:val="0"/>
          <w:i w:val="0"/>
          <w:sz w:val="24"/>
        </w:rPr>
        <w:t>O conceito de capacidade estatal tem sido mobilizado para descrever a aptidão das organizações governamentais para implementar suas decisões e alcançar os objetivos que se propõem. No plano subnacional, essa noção ganha contornos específicos, pois os municípios brasileiros acumularam, a partir da Constituição de 1988, um amplo conjunto de competências sem que houvesse correspondente equalização de recursos administrativos e fiscais (ABRUCIO, 2005). Verifica-se, assim, um descompasso entre a responsabilidade atribuída ao ente local e os meios de que dispõe para exercê-la, descompasso que se manifesta com particular nitidez em situações de emergência, quando a demanda por respostas rápidas e tecnicamente qualificadas se intensifica. Em tais momentos, a fragilidade das estruturas locais não apenas retarda a resposta, mas pode comprometer a própria capacidade de acessar os recursos federais disponíveis, gerando um efeito que aprofunda as desigualdades preexistentes.</w:t>
      </w:r>
    </w:p>
    <w:p>
      <w:pPr>
        <w:spacing w:line="360" w:lineRule="auto" w:after="0" w:before="0"/>
        <w:ind w:firstLine="709"/>
        <w:jc w:val="both"/>
      </w:pPr>
      <w:r>
        <w:rPr>
          <w:rFonts w:ascii="Times New Roman" w:hAnsi="Times New Roman" w:cs="Times New Roman"/>
          <w:b w:val="0"/>
          <w:i w:val="0"/>
          <w:sz w:val="24"/>
        </w:rPr>
        <w:t>A literatura recente sobre capacidades estatais municipais tem buscado mensurar essa heterogeneidade por meio de indicadores que combinam dimensões administrativas, fiscais e de pessoal (MARENCO; STROHSCHOEN; JONER, 2017; GRIN; ABRUCIO, 2018). Esses estudos evidenciam que a capacidade se concentra em municípios de maior porte e renda, ao passo que os municípios menores e mais pobres, frequentemente os mais expostos a riscos, dispõem de estruturas mais frágeis. Dessa forma, a capacidade institucional opera como variável mediadora entre a ocorrência de um evento adverso e a efetividade da resposta pública, condicionando desde a elaboração de planos de trabalho até a prestação de contas. O Índice de Capacidade Municipal utilizado neste estudo inscreve-se nessa tradição, ao sintetizar múltiplas dimensões em uma classificação por faixas que pretende ordenar os municípios segundo sua aptidão institucional.</w:t>
      </w:r>
    </w:p>
    <w:p>
      <w:pPr>
        <w:spacing w:line="360" w:lineRule="auto" w:after="0" w:before="0"/>
        <w:ind w:firstLine="709"/>
        <w:jc w:val="both"/>
      </w:pPr>
      <w:r>
        <w:rPr>
          <w:rFonts w:ascii="Times New Roman" w:hAnsi="Times New Roman" w:cs="Times New Roman"/>
          <w:b w:val="0"/>
          <w:i w:val="0"/>
          <w:sz w:val="24"/>
        </w:rPr>
        <w:t>No campo específico da gestão de desastres, a Política Nacional de Proteção e Defesa Civil, instituída pela Lei nº 12.608, de 2012, estabeleceu diretrizes para a atuação integrada dos entes federativos em ações de prevenção, mitigação, preparação, resposta e recuperação. A norma consagrou a perspectiva de gestão de riscos, deslocando o foco da resposta emergencial para o ciclo completo que inclui a prevenção, e atribuiu responsabilidades específicas a cada nível de governo. Em complemento, o Plano Nacional de Adaptação à Mudança do Clima incorporou a gestão de risco de desastres como estratégia setorial, ao reconhecer a relação entre a intensificação dos eventos extremos e as mudanças climáticas (BRASIL, 2016). A literatura sociológica sobre o tema, por sua vez, tem insistido em que os desastres não constituem fenômenos puramente naturais, mas resultam da interação entre ameaças e vulnerabilidades socialmente produzidas (VALENCIO, 2009). Sob essa perspectiva, a maior demanda por recursos observada em municípios vulneráveis pode ser lida como expressão de vulnerabilidades acumuladas, e não como mera consequência da intensidade física dos eventos.</w:t>
      </w:r>
    </w:p>
    <w:p>
      <w:pPr>
        <w:spacing w:line="360" w:lineRule="auto" w:after="0" w:before="0"/>
        <w:ind w:firstLine="709"/>
        <w:jc w:val="both"/>
      </w:pPr>
      <w:r>
        <w:rPr>
          <w:rFonts w:ascii="Times New Roman" w:hAnsi="Times New Roman" w:cs="Times New Roman"/>
          <w:b w:val="0"/>
          <w:i w:val="0"/>
          <w:sz w:val="24"/>
        </w:rPr>
        <w:t>Essa distinção entre ameaça e vulnerabilidade é central para a interpretação dos resultados que se seguem. Se o dano decorresse apenas da intensidade física do evento, seria de esperar que a demanda por recursos se distribuísse de modo relativamente independente da capacidade institucional. A constatação de uma associação sistemática entre baixa capacidade e maior demanda sugere, ao contrário, que a vulnerabilidade social e institucional desempenha papel ativo na determinação dos danos. Diante disso, o estudo da reconstrução pós-desastre não pode prescindir de uma leitura que articule as condições materiais de cada município à sua trajetória institucional, sob pena de reduzir um fenômeno social complexo a uma questão meramente técnica de dimensionamento de obras.</w:t>
      </w:r>
    </w:p>
    <w:p>
      <w:pPr>
        <w:spacing w:line="360" w:lineRule="auto" w:after="0" w:before="0"/>
        <w:ind w:firstLine="709"/>
        <w:jc w:val="both"/>
      </w:pPr>
      <w:r>
        <w:rPr>
          <w:rFonts w:ascii="Times New Roman" w:hAnsi="Times New Roman" w:cs="Times New Roman"/>
          <w:b w:val="0"/>
          <w:i w:val="0"/>
          <w:sz w:val="24"/>
        </w:rPr>
        <w:t>A organização federativa brasileira acrescenta complexidade ao quadro. As transferências de recursos para reconstrução articulam competências da União, dos estados e dos municípios, em um arranjo no qual a responsabilidade pela execução recai, em última instância, sobre o ente local, ainda que os recursos e os critérios de elegibilidade sejam definidos em âmbito federal. Esse desenho pressupõe que o município disponha de burocracia capaz de traduzir a necessidade local na linguagem técnica exigida pelos instrumentos de transferência, o que recoloca a questão da capacidade estatal no centro da política. Diante disso, a análise da demanda por reconstrução não pode dissociar-se das condições institucionais em que essa demanda é formulada, sob risco de atribuir ao comportamento do município características que, na verdade, decorrem das regras e dos constrangimentos do próprio arranjo federativo.</w:t>
      </w:r>
    </w:p>
    <w:p>
      <w:pPr>
        <w:keepNext/>
        <w:spacing w:line="360" w:lineRule="auto" w:before="240" w:after="120"/>
        <w:ind w:firstLine="0"/>
        <w:jc w:val="left"/>
      </w:pPr>
      <w:r>
        <w:rPr>
          <w:rFonts w:ascii="Times New Roman" w:hAnsi="Times New Roman" w:cs="Times New Roman"/>
          <w:b/>
          <w:i w:val="0"/>
          <w:sz w:val="24"/>
        </w:rPr>
        <w:t>2.2 Governança, transparência e controle de gastos públicos</w:t>
      </w:r>
    </w:p>
    <w:p>
      <w:pPr>
        <w:spacing w:line="360" w:lineRule="auto" w:after="0" w:before="0"/>
        <w:ind w:firstLine="709"/>
        <w:jc w:val="both"/>
      </w:pPr>
      <w:r>
        <w:rPr>
          <w:rFonts w:ascii="Times New Roman" w:hAnsi="Times New Roman" w:cs="Times New Roman"/>
          <w:b w:val="0"/>
          <w:i w:val="0"/>
          <w:sz w:val="24"/>
        </w:rPr>
        <w:t>A alocação de recursos para reconstrução insere-se em um arranjo de governança que envolve a União, os estados e os municípios, e que mobiliza instrumentos de transferência condicionados à apresentação de planos de trabalho e à comprovação da aplicação dos valores. Nesse arranjo, a transparência e o controle assumem papel central, tanto para assegurar a regularidade dos gastos quanto para sustentar a confiança pública na política. A literatura sobre controle da administração pública tem destacado a complementaridade entre os controles interno, externo e social, bem como a importância de mecanismos que permitam identificar irregularidades sem comprometer a celeridade da resposta (SPECK, 2002). Essa tensão entre controle e celeridade é particularmente aguda no caso dos desastres, em que a demora na liberação dos recursos pode agravar o sofrimento das populações atingidas, mas a liberação sem o devido escrutínio abre margem para o desperdício e a apropriação indevida.</w:t>
      </w:r>
    </w:p>
    <w:p>
      <w:pPr>
        <w:spacing w:line="360" w:lineRule="auto" w:after="0" w:before="0"/>
        <w:ind w:firstLine="709"/>
        <w:jc w:val="both"/>
      </w:pPr>
      <w:r>
        <w:rPr>
          <w:rFonts w:ascii="Times New Roman" w:hAnsi="Times New Roman" w:cs="Times New Roman"/>
          <w:b w:val="0"/>
          <w:i w:val="0"/>
          <w:sz w:val="24"/>
        </w:rPr>
        <w:t>O exame de grandes volumes de processos, contudo, esbarra em limites práticos do controle tradicional, fundado na análise individualizada de cada solicitação. Diante de milhares de processos e bilhões de reais, a capacidade de escrutínio dos órgãos de controle é necessariamente seletiva, o que reforça a relevância de instrumentos capazes de priorizar casos a partir de critérios objetivos. Sendo assim, a detecção de anomalias em dados de gasto público desponta como estratégia para direcionar a atenção dos auditores aos processos que mais se afastam dos padrões esperados, otimizando o uso de recursos escassos de fiscalização. Essa abordagem não substitui o controle convencional, mas o qualifica, ao permitir que o esforço humano de verificação se concentre nos casos de maior risco potencial, em vez de dispersar-se de modo uniforme por todo o universo de processos.</w:t>
      </w:r>
    </w:p>
    <w:p>
      <w:pPr>
        <w:spacing w:line="360" w:lineRule="auto" w:after="0" w:before="0"/>
        <w:ind w:firstLine="709"/>
        <w:jc w:val="both"/>
      </w:pPr>
      <w:r>
        <w:rPr>
          <w:rFonts w:ascii="Times New Roman" w:hAnsi="Times New Roman" w:cs="Times New Roman"/>
          <w:b w:val="0"/>
          <w:i w:val="0"/>
          <w:sz w:val="24"/>
        </w:rPr>
        <w:t>Importa, no entanto, situar os limites dessa estratégia. A sinalização de um processo como atípico não equivale a um juízo de irregularidade, pois o desvio em relação ao padrão pode decorrer de circunstâncias legítimas, de erros de registro ou, de fato, de práticas irregulares. A confusão entre essas possibilidades pode produzir tanto a estigmatização indevida de gestores honestos quanto a falsa sensação de que o controle algorítmico dispensa o julgamento técnico. Dessa maneira, a incorporação de ferramentas automatizadas ao controle de gastos exige que se preserve, em todas as etapas, o caráter de apoio à decisão, reservando-se ao auditor humano a competência para distinguir, no exame dos casos priorizados, entre o que é apenas incomum e o que é efetivamente irregular.</w:t>
      </w:r>
    </w:p>
    <w:p>
      <w:pPr>
        <w:keepNext/>
        <w:spacing w:line="360" w:lineRule="auto" w:before="240" w:after="120"/>
        <w:ind w:firstLine="0"/>
        <w:jc w:val="left"/>
      </w:pPr>
      <w:r>
        <w:rPr>
          <w:rFonts w:ascii="Times New Roman" w:hAnsi="Times New Roman" w:cs="Times New Roman"/>
          <w:b/>
          <w:i w:val="0"/>
          <w:sz w:val="24"/>
        </w:rPr>
        <w:t>2.3 Aprendizado de máquina aplicado ao setor público</w:t>
      </w:r>
    </w:p>
    <w:p>
      <w:pPr>
        <w:spacing w:line="360" w:lineRule="auto" w:after="0" w:before="0"/>
        <w:ind w:firstLine="709"/>
        <w:jc w:val="both"/>
      </w:pPr>
      <w:r>
        <w:rPr>
          <w:rFonts w:ascii="Times New Roman" w:hAnsi="Times New Roman" w:cs="Times New Roman"/>
          <w:b w:val="0"/>
          <w:i w:val="0"/>
          <w:sz w:val="24"/>
        </w:rPr>
        <w:t>A incorporação de técnicas de aprendizado de máquina à gestão pública tem se expandido, com aplicações que vão da previsão de demanda por serviços à detecção de fraudes em transações governamentais. Os algoritmos mobilizados neste estudo pertencem a famílias consolidadas na literatura estatística e computacional. O agrupamento por k-médias, formalizado por MacQueen (1967), permite segmentar observações em grupos internamente homogêneos sem rótulos prévios, sendo particularmente útil quando se deseja descobrir padrões latentes em dados não rotulados. As florestas aleatórias, propostas por Breiman (2001), combinam múltiplas árvores de decisão para produzir classificações robustas e estimativas de importância de variáveis, característica que as torna especialmente valiosas em contextos nos quais a interpretabilidade dos determinantes importa tanto quanto a acurácia da predição.</w:t>
      </w:r>
    </w:p>
    <w:p>
      <w:pPr>
        <w:spacing w:line="360" w:lineRule="auto" w:after="0" w:before="0"/>
        <w:ind w:firstLine="709"/>
        <w:jc w:val="both"/>
      </w:pPr>
      <w:r>
        <w:rPr>
          <w:rFonts w:ascii="Times New Roman" w:hAnsi="Times New Roman" w:cs="Times New Roman"/>
          <w:b w:val="0"/>
          <w:i w:val="0"/>
          <w:sz w:val="24"/>
        </w:rPr>
        <w:t>Para os objetivos de auditoria, duas técnicas merecem destaque. A regressão quantílica, introduzida por Koenker e Bassett (1978), estima diferentes quantis da distribuição condicional da variável resposta, o que possibilita construir faixas de valores esperados em vez de uma única previsão pontual. Essa propriedade é decisiva para a auditoria, pois permite definir limites inferior e superior dentro dos quais um valor pode ser considerado compatível com casos semelhantes. O gradient boosting, sistematizado por Friedman (2001), constrói modelos preditivos por meio da adição sequencial de estimadores fracos, e pode ser combinado à perda quantílica para gerar tais faixas. A floresta de isolamento, proposta por Liu, Ting e Zhou (2008), identifica observações anômalas a partir da facilidade com que são isoladas em partições aleatórias do espaço de atributos, oferecendo uma via independente para a detecção de casos atípicos.</w:t>
      </w:r>
    </w:p>
    <w:p>
      <w:pPr>
        <w:spacing w:line="360" w:lineRule="auto" w:after="0" w:before="0"/>
        <w:ind w:firstLine="709"/>
        <w:jc w:val="both"/>
      </w:pPr>
      <w:r>
        <w:rPr>
          <w:rFonts w:ascii="Times New Roman" w:hAnsi="Times New Roman" w:cs="Times New Roman"/>
          <w:b w:val="0"/>
          <w:i w:val="0"/>
          <w:sz w:val="24"/>
        </w:rPr>
        <w:t>A combinação dessas abordagens permite tratar a auditoria não como um juízo binário sobre cada processo, mas como um exercício de posicionamento de cada solicitação em relação a um padrão estimado a partir de casos comparáveis. Cabe ressalvar, todavia, que a aplicação desses métodos ao setor público requer cautela interpretativa. A qualidade dos dados administrativos e a presença de erros de registro podem afetar de modo expressivo os resultados, e a opacidade de certos modelos pode dificultar a prestação de contas sobre as decisões por eles apoiadas. Por essa razão, privilegiaram-se, neste estudo, técnicas que oferecem alguma medida de interpretabilidade, como a importância de variáveis das florestas aleatórias e as faixas explícitas da regressão quantílica, de maneira a permitir que os achados sejam escrutinados e contestados.</w:t>
      </w:r>
    </w:p>
    <w:p>
      <w:pPr>
        <w:spacing w:line="360" w:lineRule="auto" w:after="0" w:before="0"/>
        <w:ind w:firstLine="709"/>
        <w:jc w:val="both"/>
      </w:pPr>
      <w:r>
        <w:rPr>
          <w:rFonts w:ascii="Times New Roman" w:hAnsi="Times New Roman" w:cs="Times New Roman"/>
          <w:b w:val="0"/>
          <w:i w:val="0"/>
          <w:sz w:val="24"/>
        </w:rPr>
        <w:t>No contexto brasileiro, a adoção de técnicas analíticas pela administração pública tem avançado de modo desigual, concentrando-se em órgãos de controle e em iniciativas pontuais de modernização da gestão. Experiências de mineração de dados em tribunais de contas e em órgãos de fiscalização têm demonstrado o potencial dessas ferramentas para a identificação de padrões suspeitos em contratações e transferências, ao mesmo tempo em que evidenciam os desafios de integração de bases de dados fragmentadas e de qualificação das equipes responsáveis. O presente estudo inscreve-se nesse movimento, ao aplicar um conjunto de técnicas consolidadas a um domínio específico de política pública, com a preocupação de articular o rigor metodológico à utilidade prática para os gestores e os órgãos de controle.</w:t>
      </w:r>
    </w:p>
    <w:p>
      <w:pPr>
        <w:keepNext/>
        <w:spacing w:line="360" w:lineRule="auto" w:before="240" w:after="120"/>
        <w:ind w:firstLine="0"/>
        <w:jc w:val="left"/>
      </w:pPr>
      <w:r>
        <w:rPr>
          <w:rFonts w:ascii="Times New Roman" w:hAnsi="Times New Roman" w:cs="Times New Roman"/>
          <w:b/>
          <w:i w:val="0"/>
          <w:sz w:val="24"/>
        </w:rPr>
        <w:t>3 Metodologia</w:t>
      </w:r>
    </w:p>
    <w:p>
      <w:pPr>
        <w:keepNext/>
        <w:spacing w:line="360" w:lineRule="auto" w:before="240" w:after="120"/>
        <w:ind w:firstLine="0"/>
        <w:jc w:val="left"/>
      </w:pPr>
      <w:r>
        <w:rPr>
          <w:rFonts w:ascii="Times New Roman" w:hAnsi="Times New Roman" w:cs="Times New Roman"/>
          <w:b/>
          <w:i w:val="0"/>
          <w:sz w:val="24"/>
        </w:rPr>
        <w:t>3.1 Fontes de dados e tratamento</w:t>
      </w:r>
    </w:p>
    <w:p>
      <w:pPr>
        <w:spacing w:line="360" w:lineRule="auto" w:after="0" w:before="0"/>
        <w:ind w:firstLine="709"/>
        <w:jc w:val="both"/>
      </w:pPr>
      <w:r>
        <w:rPr>
          <w:rFonts w:ascii="Times New Roman" w:hAnsi="Times New Roman" w:cs="Times New Roman"/>
          <w:b w:val="0"/>
          <w:i w:val="0"/>
          <w:sz w:val="24"/>
        </w:rPr>
        <w:t>O estudo apoia-se em duas bases de dados administrativos. A primeira corresponde aos relatórios gerenciais de acompanhamento de processos de reconstrução (BRASIL, 2025), abrangendo o período de 2017 a 2025, e reúne informações sobre unidade da federação, município, tipo de desastre, valor solicitado, situação do processo e datas de criação e solicitação. Após a consolidação, essa base totaliza 6.385 processos, distribuídos por 2.113 municípios, 26 unidades da federação e 29 tipos de desastre, somando R$ 27,68 bilhões em valores solicitados. A segunda base corresponde ao Índice de Capacidade Municipal (ICM), que classifica os municípios em quatro faixas de capacidade institucional, designadas de A (alta) a D (baixa), e que, após a limpeza, contempla 5.444 municípios. A natureza secundária e administrativa desses dados impõe que se reconheça, desde o início, a dependência do estudo em relação à qualidade do registro original.</w:t>
      </w:r>
    </w:p>
    <w:p>
      <w:pPr>
        <w:spacing w:line="360" w:lineRule="auto" w:after="0" w:before="0"/>
        <w:ind w:firstLine="709"/>
        <w:jc w:val="both"/>
      </w:pPr>
      <w:r>
        <w:rPr>
          <w:rFonts w:ascii="Times New Roman" w:hAnsi="Times New Roman" w:cs="Times New Roman"/>
          <w:b w:val="0"/>
          <w:i w:val="0"/>
          <w:sz w:val="24"/>
        </w:rPr>
        <w:t>O cruzamento das duas bases exigiu um conjunto de procedimentos de tratamento. A consolidação dos arquivos originais foi seguida da padronização dos nomes de municípios e da conversão dos valores monetários, originalmente registrados como texto, para formato numérico. Constatou-se a presença de 152 municípios duplicados com faixas de capacidade conflitantes, situação tratada pela adoção do critério de benefício, segundo o qual, em caso de conflito, atribuiu-se ao município a melhor faixa identificada. Essa escolha metodológica, embora conservadora, busca evitar a penalização indevida de municípios em razão de inconsistências de registro. Após esses procedimentos, o conjunto integrado alcançou cobertura de 97,7% dos municípios com processos, com apenas 2,3% sem correspondência no índice de capacidade, o que assegura ampla representatividade ao cruzamento.</w:t>
      </w:r>
    </w:p>
    <w:p>
      <w:pPr>
        <w:spacing w:line="360" w:lineRule="auto" w:after="0" w:before="0"/>
        <w:ind w:firstLine="709"/>
        <w:jc w:val="both"/>
      </w:pPr>
      <w:r>
        <w:rPr>
          <w:rFonts w:ascii="Times New Roman" w:hAnsi="Times New Roman" w:cs="Times New Roman"/>
          <w:b w:val="0"/>
          <w:i w:val="0"/>
          <w:sz w:val="24"/>
        </w:rPr>
        <w:t>A etapa de engenharia de atributos preparou as variáveis para os modelos. Os valores monetários, marcados por forte assimetria, foram transformados pela função logarítmica (log1p), de modo a aproximar sua distribuição da normalidade e a reduzir o peso desproporcional dos valores extremos. As variáveis categóricas, como unidade da federação e tipo de desastre, foram codificadas numericamente, ao passo que a faixa de capacidade recebeu codificação ordinal, preservando a ordenação entre as faixas. Para a agregação por município, computaram-se o número de processos, o valor total e o valor médio, atributos que sintetizam o comportamento de demanda. A depender do algoritmo, aplicaram-se padronização por escala robusta, mais adequada na presença de valores atípicos, ou padronização convencional, escolha orientada pela sensibilidade de cada técnica aos valores extremos.</w:t>
      </w:r>
    </w:p>
    <w:p>
      <w:pPr>
        <w:keepNext/>
        <w:spacing w:line="360" w:lineRule="auto" w:before="240" w:after="120"/>
        <w:ind w:firstLine="0"/>
        <w:jc w:val="left"/>
      </w:pPr>
      <w:r>
        <w:rPr>
          <w:rFonts w:ascii="Times New Roman" w:hAnsi="Times New Roman" w:cs="Times New Roman"/>
          <w:b/>
          <w:i w:val="0"/>
          <w:sz w:val="24"/>
        </w:rPr>
        <w:t>3.2 Desenho analítico em cinco fases</w:t>
      </w:r>
    </w:p>
    <w:p>
      <w:pPr>
        <w:spacing w:line="360" w:lineRule="auto" w:after="0" w:before="0"/>
        <w:ind w:firstLine="709"/>
        <w:jc w:val="both"/>
      </w:pPr>
      <w:r>
        <w:rPr>
          <w:rFonts w:ascii="Times New Roman" w:hAnsi="Times New Roman" w:cs="Times New Roman"/>
          <w:b w:val="0"/>
          <w:i w:val="0"/>
          <w:sz w:val="24"/>
        </w:rPr>
        <w:t>O desenho analítico estrutura-se em um pipeline de cinco fases, concebidas para responder, de modo progressivo, aos objetivos do estudo. A primeira fase consiste em diagnóstico e regressão exploratória, voltada a caracterizar a distribuição dos valores por faixa de capacidade e a testar a hipótese de associação entre vulnerabilidade institucional e magnitude da demanda. A segunda fase aplica agrupamento por k-médias para segmentar os municípios segundo o comportamento efetivo de demanda. A terceira fase emprega um classificador para estimar a probabilidade de aprovação dos processos e identificar seus determinantes. A quarta fase recorre à regressão quantílica para estimar faixas de valor esperado e sinalizar desvios. A quinta fase, complementar, mobiliza a detecção de anomalias e projeta um simulador de alertas. Essa organização sequencial permite que cada fase se beneficie dos achados das anteriores, de modo que os grupos comportamentais identificados na segunda fase, por exemplo, tornem-se atributos das fases subsequentes.</w:t>
      </w:r>
    </w:p>
    <w:p>
      <w:pPr>
        <w:spacing w:line="360" w:lineRule="auto" w:after="0" w:before="0"/>
        <w:ind w:firstLine="709"/>
        <w:jc w:val="both"/>
      </w:pPr>
      <w:r>
        <w:rPr>
          <w:rFonts w:ascii="Times New Roman" w:hAnsi="Times New Roman" w:cs="Times New Roman"/>
          <w:b w:val="0"/>
          <w:i w:val="0"/>
          <w:sz w:val="24"/>
        </w:rPr>
        <w:t>Na fase de agrupamento, optou-se por quatro grupos, número escolhido para permitir comparação direta com as quatro faixas do índice de capacidade, tendo a métrica de silhueta orientado a avaliação da coesão dos grupos. Os atributos utilizados foram o logaritmo do valor total, o logaritmo do valor médio e o número de processos por município, sobre os quais se aplicou padronização por escala robusta. Na fase de classificação, a variável resposta foi definida de modo binário, distinguindo os processos com recurso transferido (aprovados) daqueles indeferidos, excluídos ou sobrestados (reprovados), enquanto os processos ainda em análise foram excluídos do treinamento. Adotou-se o classificador de florestas aleatórias, com cem estimadores e profundidade máxima limitada, partição dos dados em 80% para treino e 20% para teste, estratificação da variável resposta e ponderação das classes para mitigar o desequilíbrio entre aprovados e reprovados.</w:t>
      </w:r>
    </w:p>
    <w:p>
      <w:pPr>
        <w:spacing w:line="360" w:lineRule="auto" w:after="0" w:before="0"/>
        <w:ind w:firstLine="709"/>
        <w:jc w:val="both"/>
      </w:pPr>
      <w:r>
        <w:rPr>
          <w:rFonts w:ascii="Times New Roman" w:hAnsi="Times New Roman" w:cs="Times New Roman"/>
          <w:b w:val="0"/>
          <w:i w:val="0"/>
          <w:sz w:val="24"/>
        </w:rPr>
        <w:t>Na fase de regressão preditiva, empregou-se o gradient boosting com perda quantílica para estimar os quantis P10, P50 e P90 do valor solicitado, condicionados à unidade da federação, ao tipo de desastre, à faixa de capacidade, ao grupo comportamental e à faixa populacional. A variável resposta foi o logaritmo do valor, e a análise restringiu-se aos processos aprovados com valores superiores a R$ 1.000, de modo a evitar a contaminação das estimativas por registros residuais. A partir das faixas estimadas, cada processo foi classificado como normal, quando situado entre os limites P10 e P90; baixo, quando inferior ao P10; ou alto, quando superior ao P90, hipótese que sinaliza valor potencialmente superdimensionado. A floresta de isolamento, por fim, foi parametrizada para uma contaminação esperada de 5%, com pré-processamento que combinou padronização e codificação das variáveis categóricas. O quadro a seguir sintetiza as fases, os algoritmos e as métricas de avaliação.</w:t>
      </w:r>
    </w:p>
    <w:p>
      <w:pPr>
        <w:spacing w:before="160" w:after="40" w:line="240" w:lineRule="auto"/>
        <w:ind w:firstLine="0"/>
      </w:pPr>
      <w:r>
        <w:rPr>
          <w:rFonts w:ascii="Times New Roman" w:hAnsi="Times New Roman" w:cs="Times New Roman"/>
          <w:b/>
          <w:i w:val="0"/>
          <w:sz w:val="22"/>
        </w:rPr>
        <w:t>Quadro 1 - Síntese do pipeline analítico em cinco fases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Fase</w:t>
            </w:r>
          </w:p>
        </w:tc>
        <w:tc>
          <w:tcPr>
            <w:tcW w:type="dxa" w:w="2351"/>
          </w:tcPr>
          <w:p>
            <w:pPr>
              <w:spacing w:line="240" w:lineRule="auto"/>
              <w:ind w:firstLine="0"/>
              <w:jc w:val="center"/>
            </w:pPr>
            <w:r>
              <w:rPr>
                <w:rFonts w:ascii="Times New Roman" w:hAnsi="Times New Roman" w:cs="Times New Roman"/>
                <w:b/>
                <w:i w:val="0"/>
                <w:sz w:val="22"/>
              </w:rPr>
              <w:t>Técnica / Algoritmo</w:t>
            </w:r>
          </w:p>
        </w:tc>
        <w:tc>
          <w:tcPr>
            <w:tcW w:type="dxa" w:w="2351"/>
          </w:tcPr>
          <w:p>
            <w:pPr>
              <w:spacing w:line="240" w:lineRule="auto"/>
              <w:ind w:firstLine="0"/>
              <w:jc w:val="center"/>
            </w:pPr>
            <w:r>
              <w:rPr>
                <w:rFonts w:ascii="Times New Roman" w:hAnsi="Times New Roman" w:cs="Times New Roman"/>
                <w:b/>
                <w:i w:val="0"/>
                <w:sz w:val="22"/>
              </w:rPr>
              <w:t>Objetivo</w:t>
            </w:r>
          </w:p>
        </w:tc>
        <w:tc>
          <w:tcPr>
            <w:tcW w:type="dxa" w:w="2351"/>
          </w:tcPr>
          <w:p>
            <w:pPr>
              <w:spacing w:line="240" w:lineRule="auto"/>
              <w:ind w:firstLine="0"/>
              <w:jc w:val="center"/>
            </w:pPr>
            <w:r>
              <w:rPr>
                <w:rFonts w:ascii="Times New Roman" w:hAnsi="Times New Roman" w:cs="Times New Roman"/>
                <w:b/>
                <w:i w:val="0"/>
                <w:sz w:val="22"/>
              </w:rPr>
              <w:t>Métrica principal</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Regressão exploratória; Isolation Forest</w:t>
            </w:r>
          </w:p>
        </w:tc>
        <w:tc>
          <w:tcPr>
            <w:tcW w:type="dxa" w:w="2351"/>
          </w:tcPr>
          <w:p>
            <w:pPr>
              <w:spacing w:line="240" w:lineRule="auto"/>
              <w:ind w:firstLine="0"/>
              <w:jc w:val="center"/>
            </w:pPr>
            <w:r>
              <w:rPr>
                <w:rFonts w:ascii="Times New Roman" w:hAnsi="Times New Roman" w:cs="Times New Roman"/>
                <w:b w:val="0"/>
                <w:i w:val="0"/>
                <w:sz w:val="22"/>
              </w:rPr>
              <w:t>Diagnóstico e hipóteses</w:t>
            </w:r>
          </w:p>
        </w:tc>
        <w:tc>
          <w:tcPr>
            <w:tcW w:type="dxa" w:w="2351"/>
          </w:tcPr>
          <w:p>
            <w:pPr>
              <w:spacing w:line="240" w:lineRule="auto"/>
              <w:ind w:firstLine="0"/>
              <w:jc w:val="center"/>
            </w:pPr>
            <w:r>
              <w:rPr>
                <w:rFonts w:ascii="Times New Roman" w:hAnsi="Times New Roman" w:cs="Times New Roman"/>
                <w:b w:val="0"/>
                <w:i w:val="0"/>
                <w:sz w:val="22"/>
              </w:rPr>
              <w:t>Estatística descritiva</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K-médias (k=4)</w:t>
            </w:r>
          </w:p>
        </w:tc>
        <w:tc>
          <w:tcPr>
            <w:tcW w:type="dxa" w:w="2351"/>
          </w:tcPr>
          <w:p>
            <w:pPr>
              <w:spacing w:line="240" w:lineRule="auto"/>
              <w:ind w:firstLine="0"/>
              <w:jc w:val="center"/>
            </w:pPr>
            <w:r>
              <w:rPr>
                <w:rFonts w:ascii="Times New Roman" w:hAnsi="Times New Roman" w:cs="Times New Roman"/>
                <w:b w:val="0"/>
                <w:i w:val="0"/>
                <w:sz w:val="22"/>
              </w:rPr>
              <w:t>Segmentação comportamental</w:t>
            </w:r>
          </w:p>
        </w:tc>
        <w:tc>
          <w:tcPr>
            <w:tcW w:type="dxa" w:w="2351"/>
          </w:tcPr>
          <w:p>
            <w:pPr>
              <w:spacing w:line="240" w:lineRule="auto"/>
              <w:ind w:firstLine="0"/>
              <w:jc w:val="center"/>
            </w:pPr>
            <w:r>
              <w:rPr>
                <w:rFonts w:ascii="Times New Roman" w:hAnsi="Times New Roman" w:cs="Times New Roman"/>
                <w:b w:val="0"/>
                <w:i w:val="0"/>
                <w:sz w:val="22"/>
              </w:rPr>
              <w:t>Silhueta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Florestas aleatórias</w:t>
            </w:r>
          </w:p>
        </w:tc>
        <w:tc>
          <w:tcPr>
            <w:tcW w:type="dxa" w:w="2351"/>
          </w:tcPr>
          <w:p>
            <w:pPr>
              <w:spacing w:line="240" w:lineRule="auto"/>
              <w:ind w:firstLine="0"/>
              <w:jc w:val="center"/>
            </w:pPr>
            <w:r>
              <w:rPr>
                <w:rFonts w:ascii="Times New Roman" w:hAnsi="Times New Roman" w:cs="Times New Roman"/>
                <w:b w:val="0"/>
                <w:i w:val="0"/>
                <w:sz w:val="22"/>
              </w:rPr>
              <w:t>Previsão de aprovação</w:t>
            </w:r>
          </w:p>
        </w:tc>
        <w:tc>
          <w:tcPr>
            <w:tcW w:type="dxa" w:w="2351"/>
          </w:tcPr>
          <w:p>
            <w:pPr>
              <w:spacing w:line="240" w:lineRule="auto"/>
              <w:ind w:firstLine="0"/>
              <w:jc w:val="center"/>
            </w:pPr>
            <w:r>
              <w:rPr>
                <w:rFonts w:ascii="Times New Roman" w:hAnsi="Times New Roman" w:cs="Times New Roman"/>
                <w:b w:val="0"/>
                <w:i w:val="0"/>
                <w:sz w:val="22"/>
              </w:rPr>
              <w:t>ROC-AUC = 0,7972</w:t>
            </w:r>
          </w:p>
        </w:tc>
      </w:tr>
      <w:tr>
        <w:tc>
          <w:tcPr>
            <w:tcW w:type="dxa" w:w="2351"/>
          </w:tcPr>
          <w:p>
            <w:pPr>
              <w:spacing w:line="240" w:lineRule="auto"/>
              <w:ind w:firstLine="0"/>
              <w:jc w:val="left"/>
            </w:pPr>
            <w:r>
              <w:rPr>
                <w:rFonts w:ascii="Times New Roman" w:hAnsi="Times New Roman" w:cs="Times New Roman"/>
                <w:b w:val="0"/>
                <w:i w:val="0"/>
                <w:sz w:val="22"/>
              </w:rPr>
              <w:t>4</w:t>
            </w:r>
          </w:p>
        </w:tc>
        <w:tc>
          <w:tcPr>
            <w:tcW w:type="dxa" w:w="2351"/>
          </w:tcPr>
          <w:p>
            <w:pPr>
              <w:spacing w:line="240" w:lineRule="auto"/>
              <w:ind w:firstLine="0"/>
              <w:jc w:val="center"/>
            </w:pPr>
            <w:r>
              <w:rPr>
                <w:rFonts w:ascii="Times New Roman" w:hAnsi="Times New Roman" w:cs="Times New Roman"/>
                <w:b w:val="0"/>
                <w:i w:val="0"/>
                <w:sz w:val="22"/>
              </w:rPr>
              <w:t>Gradient boosting quantílico</w:t>
            </w:r>
          </w:p>
        </w:tc>
        <w:tc>
          <w:tcPr>
            <w:tcW w:type="dxa" w:w="2351"/>
          </w:tcPr>
          <w:p>
            <w:pPr>
              <w:spacing w:line="240" w:lineRule="auto"/>
              <w:ind w:firstLine="0"/>
              <w:jc w:val="center"/>
            </w:pPr>
            <w:r>
              <w:rPr>
                <w:rFonts w:ascii="Times New Roman" w:hAnsi="Times New Roman" w:cs="Times New Roman"/>
                <w:b w:val="0"/>
                <w:i w:val="0"/>
                <w:sz w:val="22"/>
              </w:rPr>
              <w:t>Faixa de “valor justo”</w:t>
            </w:r>
          </w:p>
        </w:tc>
        <w:tc>
          <w:tcPr>
            <w:tcW w:type="dxa" w:w="2351"/>
          </w:tcPr>
          <w:p>
            <w:pPr>
              <w:spacing w:line="240" w:lineRule="auto"/>
              <w:ind w:firstLine="0"/>
              <w:jc w:val="center"/>
            </w:pPr>
            <w:r>
              <w:rPr>
                <w:rFonts w:ascii="Times New Roman" w:hAnsi="Times New Roman" w:cs="Times New Roman"/>
                <w:b w:val="0"/>
                <w:i w:val="0"/>
                <w:sz w:val="22"/>
              </w:rPr>
              <w:t>Cobertura P10-P90 = 76,3%</w:t>
            </w:r>
          </w:p>
        </w:tc>
      </w:tr>
      <w:tr>
        <w:tc>
          <w:tcPr>
            <w:tcW w:type="dxa" w:w="2351"/>
          </w:tcPr>
          <w:p>
            <w:pPr>
              <w:spacing w:line="240" w:lineRule="auto"/>
              <w:ind w:firstLine="0"/>
              <w:jc w:val="left"/>
            </w:pPr>
            <w:r>
              <w:rPr>
                <w:rFonts w:ascii="Times New Roman" w:hAnsi="Times New Roman" w:cs="Times New Roman"/>
                <w:b w:val="0"/>
                <w:i w:val="0"/>
                <w:sz w:val="22"/>
              </w:rPr>
              <w:t>5</w:t>
            </w:r>
          </w:p>
        </w:tc>
        <w:tc>
          <w:tcPr>
            <w:tcW w:type="dxa" w:w="2351"/>
          </w:tcPr>
          <w:p>
            <w:pPr>
              <w:spacing w:line="240" w:lineRule="auto"/>
              <w:ind w:firstLine="0"/>
              <w:jc w:val="center"/>
            </w:pPr>
            <w:r>
              <w:rPr>
                <w:rFonts w:ascii="Times New Roman" w:hAnsi="Times New Roman" w:cs="Times New Roman"/>
                <w:b w:val="0"/>
                <w:i w:val="0"/>
                <w:sz w:val="22"/>
              </w:rPr>
              <w:t>Isolation Forest; simulador</w:t>
            </w:r>
          </w:p>
        </w:tc>
        <w:tc>
          <w:tcPr>
            <w:tcW w:type="dxa" w:w="2351"/>
          </w:tcPr>
          <w:p>
            <w:pPr>
              <w:spacing w:line="240" w:lineRule="auto"/>
              <w:ind w:firstLine="0"/>
              <w:jc w:val="center"/>
            </w:pPr>
            <w:r>
              <w:rPr>
                <w:rFonts w:ascii="Times New Roman" w:hAnsi="Times New Roman" w:cs="Times New Roman"/>
                <w:b w:val="0"/>
                <w:i w:val="0"/>
                <w:sz w:val="22"/>
              </w:rPr>
              <w:t>Detecção de anomalias</w:t>
            </w:r>
          </w:p>
        </w:tc>
        <w:tc>
          <w:tcPr>
            <w:tcW w:type="dxa" w:w="2351"/>
          </w:tcPr>
          <w:p>
            <w:pPr>
              <w:spacing w:line="240" w:lineRule="auto"/>
              <w:ind w:firstLine="0"/>
              <w:jc w:val="center"/>
            </w:pPr>
            <w:r>
              <w:rPr>
                <w:rFonts w:ascii="Times New Roman" w:hAnsi="Times New Roman" w:cs="Times New Roman"/>
                <w:b w:val="0"/>
                <w:i w:val="0"/>
                <w:sz w:val="22"/>
              </w:rPr>
              <w:t>320 anomalias</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As métricas de avaliação foram escolhidas conforme a natureza de cada tarefa. Para a classificação, privilegiou-se a área sob a curva ROC, métrica robusta ao desequilíbrio entre classes e adequada à comparação entre a capacidade de discriminação do modelo e o acaso. Para a regressão quantílica, adotou-se a cobertura do intervalo entre os quantis estimados, que mede a proporção de observações efetivamente contidas na faixa prevista, complementada pelo coeficiente de determinação no espaço logarítmico. Para o agrupamento, a métrica de silhueta avaliou a coesão interna e a separação entre os grupos. Essa diversidade de métricas reflete a heterogeneidade das tarefas e previne a avaliação inadequada de um modelo por critérios concebidos para outra finalidade.</w:t>
      </w:r>
    </w:p>
    <w:p>
      <w:pPr>
        <w:keepNext/>
        <w:spacing w:line="360" w:lineRule="auto" w:before="240" w:after="120"/>
        <w:ind w:firstLine="0"/>
        <w:jc w:val="left"/>
      </w:pPr>
      <w:r>
        <w:rPr>
          <w:rFonts w:ascii="Times New Roman" w:hAnsi="Times New Roman" w:cs="Times New Roman"/>
          <w:b/>
          <w:i w:val="0"/>
          <w:sz w:val="24"/>
        </w:rPr>
        <w:t>3.3 O motor de previsão de severidade</w:t>
      </w:r>
    </w:p>
    <w:p>
      <w:pPr>
        <w:spacing w:line="360" w:lineRule="auto" w:after="0" w:before="0"/>
        <w:ind w:firstLine="709"/>
        <w:jc w:val="both"/>
      </w:pPr>
      <w:r>
        <w:rPr>
          <w:rFonts w:ascii="Times New Roman" w:hAnsi="Times New Roman" w:cs="Times New Roman"/>
          <w:b w:val="0"/>
          <w:i w:val="0"/>
          <w:sz w:val="24"/>
        </w:rPr>
        <w:t>A solução de previsão, complementar ao pipeline de reconstrução, apoia-se em um modelo de aprendizado de máquina treinado com dados históricos do Atlas Brasileiro de Desastres Naturais (CEPED/UFSC, 2023), de bases do Instituto Brasileiro de Geografia e Estatística referentes ao produto interno bruto municipal e à hierarquia urbana (IBGE, 2020, 2023) e de indicadores de cobertura da atenção básica do Departamento de Informática do Sistema Único de Saúde (BRASIL, 2024), com o propósito de antecipar o impacto de um novo evento. O modelo prevê quatro categorias de dano. A ocorrência de vítimas é tratada como classificação binária, orientada a maximizar a detecção de eventos com vítimas fatais ou feridos. Os danos humanos totais, os danos materiais e os prejuízos econômicos são tratados como classificação multiclasse em três níveis, designados nenhum, baixo e alto, de modo a estimar, respectivamente, a magnitude das pessoas afetadas, o nível de destruição de infraestrutura e o impacto financeiro para os setores público e privado.</w:t>
      </w:r>
    </w:p>
    <w:p>
      <w:pPr>
        <w:spacing w:line="360" w:lineRule="auto" w:after="0" w:before="0"/>
        <w:ind w:firstLine="709"/>
        <w:jc w:val="both"/>
      </w:pPr>
      <w:r>
        <w:rPr>
          <w:rFonts w:ascii="Times New Roman" w:hAnsi="Times New Roman" w:cs="Times New Roman"/>
          <w:b w:val="0"/>
          <w:i w:val="0"/>
          <w:sz w:val="24"/>
        </w:rPr>
        <w:t>A escolha por classificações em níveis, em vez de previsões pontuais, responde à elevada variabilidade dos danos e à finalidade de triagem da ferramenta, que se destina a ordenar eventos por gravidade provável, e não a estimar valores exatos. A solução foi disponibilizada em ambiente de demonstração de acesso público, o que permite a consulta interativa das previsões e evidencia a viabilidade técnica de sua incorporação à rotina dos órgãos de defesa civil.</w:t>
      </w:r>
    </w:p>
    <w:p>
      <w:pPr>
        <w:keepNext/>
        <w:spacing w:line="360" w:lineRule="auto" w:before="240" w:after="120"/>
        <w:ind w:firstLine="0"/>
        <w:jc w:val="left"/>
      </w:pPr>
      <w:r>
        <w:rPr>
          <w:rFonts w:ascii="Times New Roman" w:hAnsi="Times New Roman" w:cs="Times New Roman"/>
          <w:b/>
          <w:i w:val="0"/>
          <w:sz w:val="24"/>
        </w:rPr>
        <w:t>3.4 Reprodutibilidade</w:t>
      </w:r>
    </w:p>
    <w:p>
      <w:pPr>
        <w:spacing w:line="360" w:lineRule="auto" w:after="0" w:before="0"/>
        <w:ind w:firstLine="709"/>
        <w:jc w:val="both"/>
      </w:pPr>
      <w:r>
        <w:rPr>
          <w:rFonts w:ascii="Times New Roman" w:hAnsi="Times New Roman" w:cs="Times New Roman"/>
          <w:b w:val="0"/>
          <w:i w:val="0"/>
          <w:sz w:val="24"/>
        </w:rPr>
        <w:t>Todas as análises foram implementadas em Python, com o uso das bibliotecas pandas, NumPy e scikit-learn, e com sementes aleatórias fixas (random_state = 42) em todos os modelos, de modo a assegurar a reprodutibilidade dos resultados. O código-fonte, os dados de trabalho e os artefatos de saída encontram-se disponíveis no repositório do projeto, com as versões das bibliotecas fixadas, o que permite a verificação independente dos números aqui reportados. Os resultados das cinco fases foram auditados por reexecução dos modelos e reproduzidos de forma exata no ambiente especificado. Registre-se que a regressão quantílica da quarta fase é sensível à versão da biblioteca, uma vez que o comportamento do algoritmo de gradient boosting com perda quantílica se altera a partir da versão 1.9 do scikit-learn; por essa razão, o ambiente de referência foi fixado em versão anterior, na qual a contagem de processos sinalizados reproduz exatamente a aqui reportada.</w:t>
      </w:r>
    </w:p>
    <w:p>
      <w:pPr>
        <w:keepNext/>
        <w:spacing w:line="360" w:lineRule="auto" w:before="240" w:after="120"/>
        <w:ind w:firstLine="0"/>
        <w:jc w:val="left"/>
      </w:pPr>
      <w:r>
        <w:rPr>
          <w:rFonts w:ascii="Times New Roman" w:hAnsi="Times New Roman" w:cs="Times New Roman"/>
          <w:b/>
          <w:i w:val="0"/>
          <w:sz w:val="24"/>
        </w:rPr>
        <w:t>4 Resultados</w:t>
      </w:r>
    </w:p>
    <w:p>
      <w:pPr>
        <w:keepNext/>
        <w:spacing w:line="360" w:lineRule="auto" w:before="240" w:after="120"/>
        <w:ind w:firstLine="0"/>
        <w:jc w:val="left"/>
      </w:pPr>
      <w:r>
        <w:rPr>
          <w:rFonts w:ascii="Times New Roman" w:hAnsi="Times New Roman" w:cs="Times New Roman"/>
          <w:b/>
          <w:i w:val="0"/>
          <w:sz w:val="24"/>
        </w:rPr>
        <w:t>4.1 O paradoxo da capacidade institucional</w:t>
      </w:r>
    </w:p>
    <w:p>
      <w:pPr>
        <w:spacing w:line="360" w:lineRule="auto" w:after="0" w:before="0"/>
        <w:ind w:firstLine="709"/>
        <w:jc w:val="both"/>
      </w:pPr>
      <w:r>
        <w:rPr>
          <w:rFonts w:ascii="Times New Roman" w:hAnsi="Times New Roman" w:cs="Times New Roman"/>
          <w:b w:val="0"/>
          <w:i w:val="0"/>
          <w:sz w:val="24"/>
        </w:rPr>
        <w:t>A análise da distribuição dos valores por faixa de capacidade revela um padrão que contraria a intuição inicial. Os municípios classificados na faixa D, de baixa capacidade institucional, apresentam valor médio solicitado de R$ 28,68 milhões, ao passo que os municípios da faixa A, de alta capacidade, solicitam, em média, R$ 9,74 milhões. A razão entre os dois valores é de 2,94, o que significa que os municípios mais vulneráveis demandam, em média, quase três vezes mais recursos por processo do que os mais bem estruturados. A faixa D concentra, ademais, 51% do total de recursos solicitados, embora reúna cerca de um quarto dos municípios analisados. Esse achado, que se poderia denominar paradoxo da capacidade institucional, constitui o ponto de partida das análises subsequentes.</w:t>
      </w:r>
    </w:p>
    <w:p>
      <w:pPr>
        <w:spacing w:before="160" w:after="40" w:line="240" w:lineRule="auto"/>
        <w:ind w:firstLine="0"/>
      </w:pPr>
      <w:r>
        <w:rPr>
          <w:rFonts w:ascii="Times New Roman" w:hAnsi="Times New Roman" w:cs="Times New Roman"/>
          <w:b/>
          <w:i w:val="0"/>
          <w:sz w:val="22"/>
        </w:rPr>
        <w:t>Tabela 1 - Valor médio solicitado e participação no total por faixa de capacidade</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Faixa</w:t>
            </w:r>
          </w:p>
        </w:tc>
        <w:tc>
          <w:tcPr>
            <w:tcW w:type="dxa" w:w="2351"/>
          </w:tcPr>
          <w:p>
            <w:pPr>
              <w:spacing w:line="240" w:lineRule="auto"/>
              <w:ind w:firstLine="0"/>
              <w:jc w:val="center"/>
            </w:pPr>
            <w:r>
              <w:rPr>
                <w:rFonts w:ascii="Times New Roman" w:hAnsi="Times New Roman" w:cs="Times New Roman"/>
                <w:b/>
                <w:i w:val="0"/>
                <w:sz w:val="22"/>
              </w:rPr>
              <w:t>Capacidade</w:t>
            </w:r>
          </w:p>
        </w:tc>
        <w:tc>
          <w:tcPr>
            <w:tcW w:type="dxa" w:w="2351"/>
          </w:tcPr>
          <w:p>
            <w:pPr>
              <w:spacing w:line="240" w:lineRule="auto"/>
              <w:ind w:firstLine="0"/>
              <w:jc w:val="center"/>
            </w:pPr>
            <w:r>
              <w:rPr>
                <w:rFonts w:ascii="Times New Roman" w:hAnsi="Times New Roman" w:cs="Times New Roman"/>
                <w:b/>
                <w:i w:val="0"/>
                <w:sz w:val="22"/>
              </w:rPr>
              <w:t>Valor médio (R$)</w:t>
            </w:r>
          </w:p>
        </w:tc>
        <w:tc>
          <w:tcPr>
            <w:tcW w:type="dxa" w:w="2351"/>
          </w:tcPr>
          <w:p>
            <w:pPr>
              <w:spacing w:line="240" w:lineRule="auto"/>
              <w:ind w:firstLine="0"/>
              <w:jc w:val="center"/>
            </w:pPr>
            <w:r>
              <w:rPr>
                <w:rFonts w:ascii="Times New Roman" w:hAnsi="Times New Roman" w:cs="Times New Roman"/>
                <w:b/>
                <w:i w:val="0"/>
                <w:sz w:val="22"/>
              </w:rPr>
              <w:t>% do total</w:t>
            </w:r>
          </w:p>
        </w:tc>
      </w:tr>
      <w:tr>
        <w:tc>
          <w:tcPr>
            <w:tcW w:type="dxa" w:w="2351"/>
          </w:tcPr>
          <w:p>
            <w:pPr>
              <w:spacing w:line="240" w:lineRule="auto"/>
              <w:ind w:firstLine="0"/>
              <w:jc w:val="left"/>
            </w:pPr>
            <w:r>
              <w:rPr>
                <w:rFonts w:ascii="Times New Roman" w:hAnsi="Times New Roman" w:cs="Times New Roman"/>
                <w:b w:val="0"/>
                <w:i w:val="0"/>
                <w:sz w:val="22"/>
              </w:rPr>
              <w:t>A</w:t>
            </w:r>
          </w:p>
        </w:tc>
        <w:tc>
          <w:tcPr>
            <w:tcW w:type="dxa" w:w="2351"/>
          </w:tcPr>
          <w:p>
            <w:pPr>
              <w:spacing w:line="240" w:lineRule="auto"/>
              <w:ind w:firstLine="0"/>
              <w:jc w:val="center"/>
            </w:pPr>
            <w:r>
              <w:rPr>
                <w:rFonts w:ascii="Times New Roman" w:hAnsi="Times New Roman" w:cs="Times New Roman"/>
                <w:b w:val="0"/>
                <w:i w:val="0"/>
                <w:sz w:val="22"/>
              </w:rPr>
              <w:t>Alta</w:t>
            </w:r>
          </w:p>
        </w:tc>
        <w:tc>
          <w:tcPr>
            <w:tcW w:type="dxa" w:w="2351"/>
          </w:tcPr>
          <w:p>
            <w:pPr>
              <w:spacing w:line="240" w:lineRule="auto"/>
              <w:ind w:firstLine="0"/>
              <w:jc w:val="center"/>
            </w:pPr>
            <w:r>
              <w:rPr>
                <w:rFonts w:ascii="Times New Roman" w:hAnsi="Times New Roman" w:cs="Times New Roman"/>
                <w:b w:val="0"/>
                <w:i w:val="0"/>
                <w:sz w:val="22"/>
              </w:rPr>
              <w:t>9,74 milhões</w:t>
            </w:r>
          </w:p>
        </w:tc>
        <w:tc>
          <w:tcPr>
            <w:tcW w:type="dxa" w:w="2351"/>
          </w:tcPr>
          <w:p>
            <w:pPr>
              <w:spacing w:line="240" w:lineRule="auto"/>
              <w:ind w:firstLine="0"/>
              <w:jc w:val="center"/>
            </w:pPr>
            <w:r>
              <w:rPr>
                <w:rFonts w:ascii="Times New Roman" w:hAnsi="Times New Roman" w:cs="Times New Roman"/>
                <w:b w:val="0"/>
                <w:i w:val="0"/>
                <w:sz w:val="22"/>
              </w:rPr>
              <w:t>8%</w:t>
            </w:r>
          </w:p>
        </w:tc>
      </w:tr>
      <w:tr>
        <w:tc>
          <w:tcPr>
            <w:tcW w:type="dxa" w:w="2351"/>
          </w:tcPr>
          <w:p>
            <w:pPr>
              <w:spacing w:line="240" w:lineRule="auto"/>
              <w:ind w:firstLine="0"/>
              <w:jc w:val="left"/>
            </w:pPr>
            <w:r>
              <w:rPr>
                <w:rFonts w:ascii="Times New Roman" w:hAnsi="Times New Roman" w:cs="Times New Roman"/>
                <w:b w:val="0"/>
                <w:i w:val="0"/>
                <w:sz w:val="22"/>
              </w:rPr>
              <w:t>B</w:t>
            </w:r>
          </w:p>
        </w:tc>
        <w:tc>
          <w:tcPr>
            <w:tcW w:type="dxa" w:w="2351"/>
          </w:tcPr>
          <w:p>
            <w:pPr>
              <w:spacing w:line="240" w:lineRule="auto"/>
              <w:ind w:firstLine="0"/>
              <w:jc w:val="center"/>
            </w:pPr>
            <w:r>
              <w:rPr>
                <w:rFonts w:ascii="Times New Roman" w:hAnsi="Times New Roman" w:cs="Times New Roman"/>
                <w:b w:val="0"/>
                <w:i w:val="0"/>
                <w:sz w:val="22"/>
              </w:rPr>
              <w:t>Média-alta</w:t>
            </w:r>
          </w:p>
        </w:tc>
        <w:tc>
          <w:tcPr>
            <w:tcW w:type="dxa" w:w="2351"/>
          </w:tcPr>
          <w:p>
            <w:pPr>
              <w:spacing w:line="240" w:lineRule="auto"/>
              <w:ind w:firstLine="0"/>
              <w:jc w:val="center"/>
            </w:pPr>
            <w:r>
              <w:rPr>
                <w:rFonts w:ascii="Times New Roman" w:hAnsi="Times New Roman" w:cs="Times New Roman"/>
                <w:b w:val="0"/>
                <w:i w:val="0"/>
                <w:sz w:val="22"/>
              </w:rPr>
              <w:t>9,79 milhões</w:t>
            </w:r>
          </w:p>
        </w:tc>
        <w:tc>
          <w:tcPr>
            <w:tcW w:type="dxa" w:w="2351"/>
          </w:tcPr>
          <w:p>
            <w:pPr>
              <w:spacing w:line="240" w:lineRule="auto"/>
              <w:ind w:firstLine="0"/>
              <w:jc w:val="center"/>
            </w:pPr>
            <w:r>
              <w:rPr>
                <w:rFonts w:ascii="Times New Roman" w:hAnsi="Times New Roman" w:cs="Times New Roman"/>
                <w:b w:val="0"/>
                <w:i w:val="0"/>
                <w:sz w:val="22"/>
              </w:rPr>
              <w:t>20%</w:t>
            </w:r>
          </w:p>
        </w:tc>
      </w:tr>
      <w:tr>
        <w:tc>
          <w:tcPr>
            <w:tcW w:type="dxa" w:w="2351"/>
          </w:tcPr>
          <w:p>
            <w:pPr>
              <w:spacing w:line="240" w:lineRule="auto"/>
              <w:ind w:firstLine="0"/>
              <w:jc w:val="left"/>
            </w:pPr>
            <w:r>
              <w:rPr>
                <w:rFonts w:ascii="Times New Roman" w:hAnsi="Times New Roman" w:cs="Times New Roman"/>
                <w:b w:val="0"/>
                <w:i w:val="0"/>
                <w:sz w:val="22"/>
              </w:rPr>
              <w:t>C</w:t>
            </w:r>
          </w:p>
        </w:tc>
        <w:tc>
          <w:tcPr>
            <w:tcW w:type="dxa" w:w="2351"/>
          </w:tcPr>
          <w:p>
            <w:pPr>
              <w:spacing w:line="240" w:lineRule="auto"/>
              <w:ind w:firstLine="0"/>
              <w:jc w:val="center"/>
            </w:pPr>
            <w:r>
              <w:rPr>
                <w:rFonts w:ascii="Times New Roman" w:hAnsi="Times New Roman" w:cs="Times New Roman"/>
                <w:b w:val="0"/>
                <w:i w:val="0"/>
                <w:sz w:val="22"/>
              </w:rPr>
              <w:t>Média-baixa</w:t>
            </w:r>
          </w:p>
        </w:tc>
        <w:tc>
          <w:tcPr>
            <w:tcW w:type="dxa" w:w="2351"/>
          </w:tcPr>
          <w:p>
            <w:pPr>
              <w:spacing w:line="240" w:lineRule="auto"/>
              <w:ind w:firstLine="0"/>
              <w:jc w:val="center"/>
            </w:pPr>
            <w:r>
              <w:rPr>
                <w:rFonts w:ascii="Times New Roman" w:hAnsi="Times New Roman" w:cs="Times New Roman"/>
                <w:b w:val="0"/>
                <w:i w:val="0"/>
                <w:sz w:val="22"/>
              </w:rPr>
              <w:t>6,63 milhões</w:t>
            </w:r>
          </w:p>
        </w:tc>
        <w:tc>
          <w:tcPr>
            <w:tcW w:type="dxa" w:w="2351"/>
          </w:tcPr>
          <w:p>
            <w:pPr>
              <w:spacing w:line="240" w:lineRule="auto"/>
              <w:ind w:firstLine="0"/>
              <w:jc w:val="center"/>
            </w:pPr>
            <w:r>
              <w:rPr>
                <w:rFonts w:ascii="Times New Roman" w:hAnsi="Times New Roman" w:cs="Times New Roman"/>
                <w:b w:val="0"/>
                <w:i w:val="0"/>
                <w:sz w:val="22"/>
              </w:rPr>
              <w:t>19%</w:t>
            </w:r>
          </w:p>
        </w:tc>
      </w:tr>
      <w:tr>
        <w:tc>
          <w:tcPr>
            <w:tcW w:type="dxa" w:w="2351"/>
          </w:tcPr>
          <w:p>
            <w:pPr>
              <w:spacing w:line="240" w:lineRule="auto"/>
              <w:ind w:firstLine="0"/>
              <w:jc w:val="left"/>
            </w:pPr>
            <w:r>
              <w:rPr>
                <w:rFonts w:ascii="Times New Roman" w:hAnsi="Times New Roman" w:cs="Times New Roman"/>
                <w:b w:val="0"/>
                <w:i w:val="0"/>
                <w:sz w:val="22"/>
              </w:rPr>
              <w:t>D</w:t>
            </w:r>
          </w:p>
        </w:tc>
        <w:tc>
          <w:tcPr>
            <w:tcW w:type="dxa" w:w="2351"/>
          </w:tcPr>
          <w:p>
            <w:pPr>
              <w:spacing w:line="240" w:lineRule="auto"/>
              <w:ind w:firstLine="0"/>
              <w:jc w:val="center"/>
            </w:pPr>
            <w:r>
              <w:rPr>
                <w:rFonts w:ascii="Times New Roman" w:hAnsi="Times New Roman" w:cs="Times New Roman"/>
                <w:b w:val="0"/>
                <w:i w:val="0"/>
                <w:sz w:val="22"/>
              </w:rPr>
              <w:t>Baixa</w:t>
            </w:r>
          </w:p>
        </w:tc>
        <w:tc>
          <w:tcPr>
            <w:tcW w:type="dxa" w:w="2351"/>
          </w:tcPr>
          <w:p>
            <w:pPr>
              <w:spacing w:line="240" w:lineRule="auto"/>
              <w:ind w:firstLine="0"/>
              <w:jc w:val="center"/>
            </w:pPr>
            <w:r>
              <w:rPr>
                <w:rFonts w:ascii="Times New Roman" w:hAnsi="Times New Roman" w:cs="Times New Roman"/>
                <w:b w:val="0"/>
                <w:i w:val="0"/>
                <w:sz w:val="22"/>
              </w:rPr>
              <w:t>28,68 milhões</w:t>
            </w:r>
          </w:p>
        </w:tc>
        <w:tc>
          <w:tcPr>
            <w:tcW w:type="dxa" w:w="2351"/>
          </w:tcPr>
          <w:p>
            <w:pPr>
              <w:spacing w:line="240" w:lineRule="auto"/>
              <w:ind w:firstLine="0"/>
              <w:jc w:val="center"/>
            </w:pPr>
            <w:r>
              <w:rPr>
                <w:rFonts w:ascii="Times New Roman" w:hAnsi="Times New Roman" w:cs="Times New Roman"/>
                <w:b w:val="0"/>
                <w:i w:val="0"/>
                <w:sz w:val="22"/>
              </w:rPr>
              <w:t>51%</w:t>
            </w:r>
          </w:p>
        </w:tc>
      </w:tr>
    </w:tbl>
    <w:p>
      <w:pPr>
        <w:spacing w:after="160" w:line="240" w:lineRule="auto"/>
        <w:ind w:firstLine="0"/>
      </w:pPr>
      <w:r>
        <w:rPr>
          <w:rFonts w:ascii="Times New Roman" w:hAnsi="Times New Roman" w:cs="Times New Roman"/>
          <w:b w:val="0"/>
          <w:i w:val="0"/>
          <w:sz w:val="20"/>
        </w:rPr>
        <w:t>Fonte: elaboração própria a partir dos dados de acompanhamento e do ICM.</w:t>
      </w:r>
    </w:p>
    <w:p>
      <w:pPr>
        <w:spacing w:line="360" w:lineRule="auto" w:after="0" w:before="0"/>
        <w:ind w:firstLine="709"/>
        <w:jc w:val="both"/>
      </w:pPr>
      <w:r>
        <w:rPr>
          <w:rFonts w:ascii="Times New Roman" w:hAnsi="Times New Roman" w:cs="Times New Roman"/>
          <w:b w:val="0"/>
          <w:i w:val="0"/>
          <w:sz w:val="24"/>
        </w:rPr>
        <w:t>A leitura desses números, contudo, exige cautela analítica. A mediana dos valores na faixa D situa-se em patamar inferior ao das demais faixas, o que indica que a média elevada é fortemente influenciada por um pequeno número de processos de valor muito alto. Verifica-se, portanto, que a distribuição na faixa D combina grande quantidade de solicitações modestas com poucos casos extremos, responsáveis por puxar a média para cima. Esse achado tem dupla implicação: por um lado, sugere que a vulnerabilidade institucional pode estar associada a eventos de impacto financeiro elevado; por outro, adverte contra interpretações que tomem a média como representativa do município típico da faixa, uma vez que os valores extremos podem refletir tanto desastres genuinamente severos quanto erros de registro ou superfaturamentos a investigar. A distinção entre essas possibilidades, retomada nas fases posteriores, é decisiva para a interpretação adequada do paradoxo.</w:t>
      </w:r>
    </w:p>
    <w:p>
      <w:pPr>
        <w:spacing w:line="360" w:lineRule="auto" w:after="0" w:before="0"/>
        <w:ind w:firstLine="709"/>
        <w:jc w:val="both"/>
      </w:pPr>
      <w:r>
        <w:rPr>
          <w:rFonts w:ascii="Times New Roman" w:hAnsi="Times New Roman" w:cs="Times New Roman"/>
          <w:b w:val="0"/>
          <w:i w:val="0"/>
          <w:sz w:val="24"/>
        </w:rPr>
        <w:t>O exame da série temporal reforça a relevância do tema. O ano de 2024 concentrou o maior volume de toda a série histórica, com 1.490 processos e cerca de R$ 8,6 bilhões em valores solicitados, em patamar muito superior ao dos anos anteriores. Esse pico, ainda que demande análise adicional, é compatível com a hipótese de intensificação dos eventos climáticos extremos e com a concentração de ocorrências em determinadas regiões, com destaque para o Rio Grande do Sul, que figura entre as unidades da federação com maior número de processos. A concentração regional e temporal das ocorrências sugere que a política de reconstrução opera sob pressão crescente e desigual, o que torna ainda mais premente a disponibilidade de instrumentos capazes de qualificar a alocação dos recursos.</w:t>
      </w:r>
    </w:p>
    <w:p>
      <w:pPr>
        <w:spacing w:line="360" w:lineRule="auto" w:after="0" w:before="0"/>
        <w:ind w:firstLine="709"/>
        <w:jc w:val="both"/>
      </w:pPr>
      <w:r>
        <w:rPr>
          <w:rFonts w:ascii="Times New Roman" w:hAnsi="Times New Roman" w:cs="Times New Roman"/>
          <w:b w:val="0"/>
          <w:i w:val="0"/>
          <w:sz w:val="24"/>
        </w:rPr>
        <w:t>O paradoxo da capacidade, longe de constituir mera curiosidade estatística, recoloca uma questão central para o desenho das políticas de reconstrução. Se os municípios de menor capacidade são precisamente os que demandam mais recursos, então a política tende a operar de modo reativo, transferindo volumes elevados a entes que dispõem de menor estrutura para aplicá-los de maneira eficiente e para prestar contas. Dessa forma, o achado aponta para a necessidade de articular a política de reconstrução a uma política de fortalecimento institucional, sob pena de que os recursos transferidos não se convertam em capacidade efetiva de resposta e prevenção. Essa articulação, contudo, depende de uma compreensão mais fina do comportamento dos municípios, que a mera classificação por faixas não é capaz de oferecer.</w:t>
      </w:r>
    </w:p>
    <w:p>
      <w:pPr>
        <w:spacing w:line="360" w:lineRule="auto" w:after="0" w:before="0"/>
        <w:ind w:firstLine="709"/>
        <w:jc w:val="both"/>
      </w:pPr>
      <w:r>
        <w:rPr>
          <w:rFonts w:ascii="Times New Roman" w:hAnsi="Times New Roman" w:cs="Times New Roman"/>
          <w:b w:val="0"/>
          <w:i w:val="0"/>
          <w:sz w:val="24"/>
        </w:rPr>
        <w:t>A dimensão regional do fenômeno adiciona uma camada interpretativa que merece atenção. A concentração de processos em determinadas unidades da federação, com destaque para o Rio Grande do Sul, sugere que os eventos extremos não se distribuem aleatoriamente pelo território, mas seguem padrões geográficos e climáticos que tendem a recair, de modo recorrente, sobre as mesmas regiões. Essa recorrência territorial dialoga com o achado do grupo de alta frequência, identificado na segmentação comportamental, e aponta para a existência de áreas que demandam não apenas respostas reativas a cada desastre, mas estratégias estruturais de prevenção e adaptação. Diante disso, a política de reconstrução, se considerada de forma isolada, arrisca-se a operar como um ciclo de transferências repetidas a territórios cuja vulnerabilidade permanece, no essencial, inalterada entre um evento e o seguinte.</w:t>
      </w:r>
    </w:p>
    <w:p>
      <w:pPr>
        <w:keepNext/>
        <w:spacing w:line="360" w:lineRule="auto" w:before="240" w:after="120"/>
        <w:ind w:firstLine="0"/>
        <w:jc w:val="left"/>
      </w:pPr>
      <w:r>
        <w:rPr>
          <w:rFonts w:ascii="Times New Roman" w:hAnsi="Times New Roman" w:cs="Times New Roman"/>
          <w:b/>
          <w:i w:val="0"/>
          <w:sz w:val="24"/>
        </w:rPr>
        <w:t>4.2 Comportamento de demanda e segmentação dos municípios</w:t>
      </w:r>
    </w:p>
    <w:p>
      <w:pPr>
        <w:spacing w:line="360" w:lineRule="auto" w:after="0" w:before="0"/>
        <w:ind w:firstLine="709"/>
        <w:jc w:val="both"/>
      </w:pPr>
      <w:r>
        <w:rPr>
          <w:rFonts w:ascii="Times New Roman" w:hAnsi="Times New Roman" w:cs="Times New Roman"/>
          <w:b w:val="0"/>
          <w:i w:val="0"/>
          <w:sz w:val="24"/>
        </w:rPr>
        <w:t>A segunda fase buscou superar os limites da classificação oficial ao agrupar os municípios segundo o comportamento efetivo de demanda. O agrupamento por k-médias produziu quatro perfis nitidamente distintos. O primeiro grupo, de baixo impacto, reúne 76% dos municípios e caracteriza-se por poucos processos e valores reduzidos. O segundo grupo, de alto custo, agrega 22% dos municípios e combina desastres de elevado valor com frequência intermediária. O terceiro grupo, de alta frequência, reúne apenas 1% dos municípios, atingidos de forma repetida ao longo do período. O quarto grupo isola um único caso extremo, o do município de Porto Alegre, cujo padrão de demanda destoa de todos os demais e cuja presença como grupo autônomo ilustra a sensibilidade da técnica à existência de observações genuinamente excepcionais.</w:t>
      </w:r>
    </w:p>
    <w:p>
      <w:pPr>
        <w:spacing w:line="360" w:lineRule="auto" w:after="0" w:before="0"/>
        <w:ind w:firstLine="709"/>
        <w:jc w:val="both"/>
      </w:pPr>
      <w:r>
        <w:rPr>
          <w:rFonts w:ascii="Times New Roman" w:hAnsi="Times New Roman" w:cs="Times New Roman"/>
          <w:b w:val="0"/>
          <w:i w:val="0"/>
          <w:sz w:val="24"/>
        </w:rPr>
        <w:t>O cruzamento entre os grupos comportamentais e as faixas de capacidade produziu o achado mais relevante desta fase. Constatou-se que 81% dos municípios classificados na faixa D pertencem ao grupo de baixo impacto, ao passo que diversos municípios da faixa A integram o grupo de alto custo. Dessa forma, evidencia-se que a faixa oficial de capacidade não determina o comportamento real de demanda: a vulnerabilidade institucional não implica, necessariamente, demanda crônica por recursos, tampouco a alta capacidade protege o município da ocorrência de desastres custosos. Esse descompasso entre o rótulo formal e o comportamento observado sustenta o argumento de que os dados transacionais oferecem informação complementar e, em certos aspectos, mais precisa para a gestão, na medida em que registram o que de fato ocorre, e não apenas o que se esperaria a partir das características estruturais do município.</w:t>
      </w:r>
    </w:p>
    <w:p>
      <w:pPr>
        <w:spacing w:before="160" w:after="40" w:line="240" w:lineRule="auto"/>
        <w:ind w:firstLine="0"/>
      </w:pPr>
      <w:r>
        <w:rPr>
          <w:rFonts w:ascii="Times New Roman" w:hAnsi="Times New Roman" w:cs="Times New Roman"/>
          <w:b/>
          <w:i w:val="0"/>
          <w:sz w:val="22"/>
        </w:rPr>
        <w:t>Tabela 2 - Perfis comportamentais identificados pelo agrupamento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Grupo</w:t>
            </w:r>
          </w:p>
        </w:tc>
        <w:tc>
          <w:tcPr>
            <w:tcW w:type="dxa" w:w="2351"/>
          </w:tcPr>
          <w:p>
            <w:pPr>
              <w:spacing w:line="240" w:lineRule="auto"/>
              <w:ind w:firstLine="0"/>
              <w:jc w:val="center"/>
            </w:pPr>
            <w:r>
              <w:rPr>
                <w:rFonts w:ascii="Times New Roman" w:hAnsi="Times New Roman" w:cs="Times New Roman"/>
                <w:b/>
                <w:i w:val="0"/>
                <w:sz w:val="22"/>
              </w:rPr>
              <w:t>Perfil</w:t>
            </w:r>
          </w:p>
        </w:tc>
        <w:tc>
          <w:tcPr>
            <w:tcW w:type="dxa" w:w="2351"/>
          </w:tcPr>
          <w:p>
            <w:pPr>
              <w:spacing w:line="240" w:lineRule="auto"/>
              <w:ind w:firstLine="0"/>
              <w:jc w:val="center"/>
            </w:pPr>
            <w:r>
              <w:rPr>
                <w:rFonts w:ascii="Times New Roman" w:hAnsi="Times New Roman" w:cs="Times New Roman"/>
                <w:b/>
                <w:i w:val="0"/>
                <w:sz w:val="22"/>
              </w:rPr>
              <w:t>% dos municípios</w:t>
            </w:r>
          </w:p>
        </w:tc>
        <w:tc>
          <w:tcPr>
            <w:tcW w:type="dxa" w:w="2351"/>
          </w:tcPr>
          <w:p>
            <w:pPr>
              <w:spacing w:line="240" w:lineRule="auto"/>
              <w:ind w:firstLine="0"/>
              <w:jc w:val="center"/>
            </w:pPr>
            <w:r>
              <w:rPr>
                <w:rFonts w:ascii="Times New Roman" w:hAnsi="Times New Roman" w:cs="Times New Roman"/>
                <w:b/>
                <w:i w:val="0"/>
                <w:sz w:val="22"/>
              </w:rPr>
              <w:t>Característica</w:t>
            </w:r>
          </w:p>
        </w:tc>
      </w:tr>
      <w:tr>
        <w:tc>
          <w:tcPr>
            <w:tcW w:type="dxa" w:w="2351"/>
          </w:tcPr>
          <w:p>
            <w:pPr>
              <w:spacing w:line="240" w:lineRule="auto"/>
              <w:ind w:firstLine="0"/>
              <w:jc w:val="left"/>
            </w:pPr>
            <w:r>
              <w:rPr>
                <w:rFonts w:ascii="Times New Roman" w:hAnsi="Times New Roman" w:cs="Times New Roman"/>
                <w:b w:val="0"/>
                <w:i w:val="0"/>
                <w:sz w:val="22"/>
              </w:rPr>
              <w:t>0</w:t>
            </w:r>
          </w:p>
        </w:tc>
        <w:tc>
          <w:tcPr>
            <w:tcW w:type="dxa" w:w="2351"/>
          </w:tcPr>
          <w:p>
            <w:pPr>
              <w:spacing w:line="240" w:lineRule="auto"/>
              <w:ind w:firstLine="0"/>
              <w:jc w:val="center"/>
            </w:pPr>
            <w:r>
              <w:rPr>
                <w:rFonts w:ascii="Times New Roman" w:hAnsi="Times New Roman" w:cs="Times New Roman"/>
                <w:b w:val="0"/>
                <w:i w:val="0"/>
                <w:sz w:val="22"/>
              </w:rPr>
              <w:t>Baixo impacto</w:t>
            </w:r>
          </w:p>
        </w:tc>
        <w:tc>
          <w:tcPr>
            <w:tcW w:type="dxa" w:w="2351"/>
          </w:tcPr>
          <w:p>
            <w:pPr>
              <w:spacing w:line="240" w:lineRule="auto"/>
              <w:ind w:firstLine="0"/>
              <w:jc w:val="center"/>
            </w:pPr>
            <w:r>
              <w:rPr>
                <w:rFonts w:ascii="Times New Roman" w:hAnsi="Times New Roman" w:cs="Times New Roman"/>
                <w:b w:val="0"/>
                <w:i w:val="0"/>
                <w:sz w:val="22"/>
              </w:rPr>
              <w:t>76%</w:t>
            </w:r>
          </w:p>
        </w:tc>
        <w:tc>
          <w:tcPr>
            <w:tcW w:type="dxa" w:w="2351"/>
          </w:tcPr>
          <w:p>
            <w:pPr>
              <w:spacing w:line="240" w:lineRule="auto"/>
              <w:ind w:firstLine="0"/>
              <w:jc w:val="center"/>
            </w:pPr>
            <w:r>
              <w:rPr>
                <w:rFonts w:ascii="Times New Roman" w:hAnsi="Times New Roman" w:cs="Times New Roman"/>
                <w:b w:val="0"/>
                <w:i w:val="0"/>
                <w:sz w:val="22"/>
              </w:rPr>
              <w:t>Poucos processos, valores baixos</w:t>
            </w:r>
          </w:p>
        </w:tc>
      </w:tr>
      <w:tr>
        <w:tc>
          <w:tcPr>
            <w:tcW w:type="dxa" w:w="2351"/>
          </w:tcPr>
          <w:p>
            <w:pPr>
              <w:spacing w:line="240" w:lineRule="auto"/>
              <w:ind w:firstLine="0"/>
              <w:jc w:val="left"/>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Alto custo</w:t>
            </w:r>
          </w:p>
        </w:tc>
        <w:tc>
          <w:tcPr>
            <w:tcW w:type="dxa" w:w="2351"/>
          </w:tcPr>
          <w:p>
            <w:pPr>
              <w:spacing w:line="240" w:lineRule="auto"/>
              <w:ind w:firstLine="0"/>
              <w:jc w:val="center"/>
            </w:pPr>
            <w:r>
              <w:rPr>
                <w:rFonts w:ascii="Times New Roman" w:hAnsi="Times New Roman" w:cs="Times New Roman"/>
                <w:b w:val="0"/>
                <w:i w:val="0"/>
                <w:sz w:val="22"/>
              </w:rPr>
              <w:t>22%</w:t>
            </w:r>
          </w:p>
        </w:tc>
        <w:tc>
          <w:tcPr>
            <w:tcW w:type="dxa" w:w="2351"/>
          </w:tcPr>
          <w:p>
            <w:pPr>
              <w:spacing w:line="240" w:lineRule="auto"/>
              <w:ind w:firstLine="0"/>
              <w:jc w:val="center"/>
            </w:pPr>
            <w:r>
              <w:rPr>
                <w:rFonts w:ascii="Times New Roman" w:hAnsi="Times New Roman" w:cs="Times New Roman"/>
                <w:b w:val="0"/>
                <w:i w:val="0"/>
                <w:sz w:val="22"/>
              </w:rPr>
              <w:t>Desastres caros, frequência média</w:t>
            </w:r>
          </w:p>
        </w:tc>
      </w:tr>
      <w:tr>
        <w:tc>
          <w:tcPr>
            <w:tcW w:type="dxa" w:w="2351"/>
          </w:tcPr>
          <w:p>
            <w:pPr>
              <w:spacing w:line="240" w:lineRule="auto"/>
              <w:ind w:firstLine="0"/>
              <w:jc w:val="left"/>
            </w:pPr>
            <w:r>
              <w:rPr>
                <w:rFonts w:ascii="Times New Roman" w:hAnsi="Times New Roman" w:cs="Times New Roman"/>
                <w:b w:val="0"/>
                <w:i w:val="0"/>
                <w:sz w:val="22"/>
              </w:rPr>
              <w:t>3</w:t>
            </w:r>
          </w:p>
        </w:tc>
        <w:tc>
          <w:tcPr>
            <w:tcW w:type="dxa" w:w="2351"/>
          </w:tcPr>
          <w:p>
            <w:pPr>
              <w:spacing w:line="240" w:lineRule="auto"/>
              <w:ind w:firstLine="0"/>
              <w:jc w:val="center"/>
            </w:pPr>
            <w:r>
              <w:rPr>
                <w:rFonts w:ascii="Times New Roman" w:hAnsi="Times New Roman" w:cs="Times New Roman"/>
                <w:b w:val="0"/>
                <w:i w:val="0"/>
                <w:sz w:val="22"/>
              </w:rPr>
              <w:t>Alta frequência</w:t>
            </w:r>
          </w:p>
        </w:tc>
        <w:tc>
          <w:tcPr>
            <w:tcW w:type="dxa" w:w="2351"/>
          </w:tcPr>
          <w:p>
            <w:pPr>
              <w:spacing w:line="240" w:lineRule="auto"/>
              <w:ind w:firstLine="0"/>
              <w:jc w:val="center"/>
            </w:pPr>
            <w:r>
              <w:rPr>
                <w:rFonts w:ascii="Times New Roman" w:hAnsi="Times New Roman" w:cs="Times New Roman"/>
                <w:b w:val="0"/>
                <w:i w:val="0"/>
                <w:sz w:val="22"/>
              </w:rPr>
              <w:t>1%</w:t>
            </w:r>
          </w:p>
        </w:tc>
        <w:tc>
          <w:tcPr>
            <w:tcW w:type="dxa" w:w="2351"/>
          </w:tcPr>
          <w:p>
            <w:pPr>
              <w:spacing w:line="240" w:lineRule="auto"/>
              <w:ind w:firstLine="0"/>
              <w:jc w:val="center"/>
            </w:pPr>
            <w:r>
              <w:rPr>
                <w:rFonts w:ascii="Times New Roman" w:hAnsi="Times New Roman" w:cs="Times New Roman"/>
                <w:b w:val="0"/>
                <w:i w:val="0"/>
                <w:sz w:val="22"/>
              </w:rPr>
              <w:t>Atingidos repetidamente</w:t>
            </w:r>
          </w:p>
        </w:tc>
      </w:tr>
      <w:tr>
        <w:tc>
          <w:tcPr>
            <w:tcW w:type="dxa" w:w="2351"/>
          </w:tcPr>
          <w:p>
            <w:pPr>
              <w:spacing w:line="240" w:lineRule="auto"/>
              <w:ind w:firstLine="0"/>
              <w:jc w:val="left"/>
            </w:pPr>
            <w:r>
              <w:rPr>
                <w:rFonts w:ascii="Times New Roman" w:hAnsi="Times New Roman" w:cs="Times New Roman"/>
                <w:b w:val="0"/>
                <w:i w:val="0"/>
                <w:sz w:val="22"/>
              </w:rPr>
              <w:t>2</w:t>
            </w:r>
          </w:p>
        </w:tc>
        <w:tc>
          <w:tcPr>
            <w:tcW w:type="dxa" w:w="2351"/>
          </w:tcPr>
          <w:p>
            <w:pPr>
              <w:spacing w:line="240" w:lineRule="auto"/>
              <w:ind w:firstLine="0"/>
              <w:jc w:val="center"/>
            </w:pPr>
            <w:r>
              <w:rPr>
                <w:rFonts w:ascii="Times New Roman" w:hAnsi="Times New Roman" w:cs="Times New Roman"/>
                <w:b w:val="0"/>
                <w:i w:val="0"/>
                <w:sz w:val="22"/>
              </w:rPr>
              <w:t>Outlier extremo</w:t>
            </w:r>
          </w:p>
        </w:tc>
        <w:tc>
          <w:tcPr>
            <w:tcW w:type="dxa" w:w="2351"/>
          </w:tcPr>
          <w:p>
            <w:pPr>
              <w:spacing w:line="240" w:lineRule="auto"/>
              <w:ind w:firstLine="0"/>
              <w:jc w:val="center"/>
            </w:pPr>
            <w:r>
              <w:rPr>
                <w:rFonts w:ascii="Times New Roman" w:hAnsi="Times New Roman" w:cs="Times New Roman"/>
                <w:b w:val="0"/>
                <w:i w:val="0"/>
                <w:sz w:val="22"/>
              </w:rPr>
              <w:t>&lt; 0,1%</w:t>
            </w:r>
          </w:p>
        </w:tc>
        <w:tc>
          <w:tcPr>
            <w:tcW w:type="dxa" w:w="2351"/>
          </w:tcPr>
          <w:p>
            <w:pPr>
              <w:spacing w:line="240" w:lineRule="auto"/>
              <w:ind w:firstLine="0"/>
              <w:jc w:val="center"/>
            </w:pPr>
            <w:r>
              <w:rPr>
                <w:rFonts w:ascii="Times New Roman" w:hAnsi="Times New Roman" w:cs="Times New Roman"/>
                <w:b w:val="0"/>
                <w:i w:val="0"/>
                <w:sz w:val="22"/>
              </w:rPr>
              <w:t>Caso único (Porto Alegre)</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A relevância desse descompasso para a gestão pode ser apreendida em dois planos. No plano da focalização, a constatação de que a maioria dos municípios de baixa capacidade integra o grupo de baixo impacto sugere que a vulnerabilidade institucional, por si só, não é um critério suficiente para antecipar a demanda por recursos. No plano do monitoramento, a identificação de um pequeno grupo de alta frequência, composto por municípios atingidos de modo recorrente, indica a existência de territórios que demandam atenção continuada e que poderiam beneficiar-se de medidas estruturais de prevenção, em vez de respostas pontuais a cada novo evento. Sendo assim, a segmentação comportamental oferece um mapa mais detalhado do problema do que a classificação por faixas, sem que isso implique descartar o indicador oficial, cuja utilidade reside justamente na síntese de características estruturais.</w:t>
      </w:r>
    </w:p>
    <w:p>
      <w:pPr>
        <w:spacing w:line="360" w:lineRule="auto" w:after="0" w:before="0"/>
        <w:ind w:firstLine="709"/>
        <w:jc w:val="both"/>
      </w:pPr>
      <w:r>
        <w:rPr>
          <w:rFonts w:ascii="Times New Roman" w:hAnsi="Times New Roman" w:cs="Times New Roman"/>
          <w:b w:val="0"/>
          <w:i w:val="0"/>
          <w:sz w:val="24"/>
        </w:rPr>
        <w:t>O caso de Porto Alegre, isolado como grupo autônomo pelo agrupamento, ilustra os limites da análise uniforme. A magnitude e a recorrência de suas solicitações, associadas aos eventos que atingiram a capital gaúcha, produziram um padrão de demanda sem paralelo no conjunto dos municípios, a ponto de a técnica de agrupamento o tratar como categoria própria. Esse resultado evidencia que os grandes centros urbanos podem concentrar, em um único ente, volumes de demanda comparáveis aos de regiões inteiras, o que tensiona os critérios uniformes de análise e sugere a conveniência de tratamentos diferenciados para casos de escala excepcional. Constata-se, assim, que a heterogeneidade dos municípios brasileiros se manifesta não apenas entre faixas de capacidade, mas também no interior de cada faixa, o que reforça a utilidade de abordagens que combinem a classificação estrutural à observação do comportamento.</w:t>
      </w:r>
    </w:p>
    <w:p>
      <w:pPr>
        <w:keepNext/>
        <w:spacing w:line="360" w:lineRule="auto" w:before="240" w:after="120"/>
        <w:ind w:firstLine="0"/>
        <w:jc w:val="left"/>
      </w:pPr>
      <w:r>
        <w:rPr>
          <w:rFonts w:ascii="Times New Roman" w:hAnsi="Times New Roman" w:cs="Times New Roman"/>
          <w:b/>
          <w:i w:val="0"/>
          <w:sz w:val="24"/>
        </w:rPr>
        <w:t>4.3 Determinantes da aprovação dos processos</w:t>
      </w:r>
    </w:p>
    <w:p>
      <w:pPr>
        <w:spacing w:line="360" w:lineRule="auto" w:after="0" w:before="0"/>
        <w:ind w:firstLine="709"/>
        <w:jc w:val="both"/>
      </w:pPr>
      <w:r>
        <w:rPr>
          <w:rFonts w:ascii="Times New Roman" w:hAnsi="Times New Roman" w:cs="Times New Roman"/>
          <w:b w:val="0"/>
          <w:i w:val="0"/>
          <w:sz w:val="24"/>
        </w:rPr>
        <w:t>A terceira fase estimou a probabilidade de aprovação dos processos por meio de um classificador de florestas aleatórias. O modelo alcançou área sob a curva ROC de 0,7972, o que indica capacidade de discriminação da ordem de 80% entre processos aprovados e reprovados. A revocação para a classe dos aprovados atingiu 88%, sinalizando que o modelo identifica corretamente a maior parte dos processos efetivamente aprovados. Esses resultados, embora não configurem desempenho próximo da perfeição, são compatíveis com a complexidade do fenômeno e suficientes para sustentar uma aplicação de triagem, na qual o objetivo não é decidir automaticamente sobre cada processo, mas ordenar os casos segundo a probabilidade de aprovação, de modo a apoiar a priorização do trabalho técnico.</w:t>
      </w:r>
    </w:p>
    <w:p>
      <w:pPr>
        <w:spacing w:line="360" w:lineRule="auto" w:after="0" w:before="0"/>
        <w:ind w:firstLine="709"/>
        <w:jc w:val="both"/>
      </w:pPr>
      <w:r>
        <w:rPr>
          <w:rFonts w:ascii="Times New Roman" w:hAnsi="Times New Roman" w:cs="Times New Roman"/>
          <w:b w:val="0"/>
          <w:i w:val="0"/>
          <w:sz w:val="24"/>
        </w:rPr>
        <w:t>A análise da importância das variáveis expõe os determinantes da decisão. O valor solicitado respondeu por 63% da importância total, consolidando-se como o determinante dominante da aprovação, o que sugere que solicitações muito afastadas do padrão enfrentam escrutínio diferenciado. O conjunto formado pela faixa populacional e pelo grupo comportamental respondeu por 15%, a unidade da federação por 10% e o tipo de desastre por 7%. A faixa de capacidade, por sua vez, respondeu por apenas 5% da importância, resultado que reforça o achado da fase anterior: o indicador oficial de capacidade pesa pouco na decisão quando comparado ao comportamento real do município, captado pelo grupo. Constata-se, assim, uma convergência entre as duas fases na relativização do poder explicativo do rótulo formal, convergência que, por derivar de técnicas distintas, confere maior solidez ao argumento central do estudo.</w:t>
      </w:r>
    </w:p>
    <w:p>
      <w:pPr>
        <w:spacing w:before="160" w:after="40" w:line="240" w:lineRule="auto"/>
        <w:ind w:firstLine="0"/>
      </w:pPr>
      <w:r>
        <w:rPr>
          <w:rFonts w:ascii="Times New Roman" w:hAnsi="Times New Roman" w:cs="Times New Roman"/>
          <w:b/>
          <w:i w:val="0"/>
          <w:sz w:val="22"/>
        </w:rPr>
        <w:t>Tabela 3 - Importância das variáveis no modelo de classificação</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Variável</w:t>
            </w:r>
          </w:p>
        </w:tc>
        <w:tc>
          <w:tcPr>
            <w:tcW w:type="dxa" w:w="4702"/>
          </w:tcPr>
          <w:p>
            <w:pPr>
              <w:spacing w:line="240" w:lineRule="auto"/>
              <w:ind w:firstLine="0"/>
              <w:jc w:val="center"/>
            </w:pPr>
            <w:r>
              <w:rPr>
                <w:rFonts w:ascii="Times New Roman" w:hAnsi="Times New Roman" w:cs="Times New Roman"/>
                <w:b/>
                <w:i w:val="0"/>
                <w:sz w:val="22"/>
              </w:rPr>
              <w:t>Importância</w:t>
            </w:r>
          </w:p>
        </w:tc>
      </w:tr>
      <w:tr>
        <w:tc>
          <w:tcPr>
            <w:tcW w:type="dxa" w:w="4702"/>
          </w:tcPr>
          <w:p>
            <w:pPr>
              <w:spacing w:line="240" w:lineRule="auto"/>
              <w:ind w:firstLine="0"/>
              <w:jc w:val="left"/>
            </w:pPr>
            <w:r>
              <w:rPr>
                <w:rFonts w:ascii="Times New Roman" w:hAnsi="Times New Roman" w:cs="Times New Roman"/>
                <w:b w:val="0"/>
                <w:i w:val="0"/>
                <w:sz w:val="22"/>
              </w:rPr>
              <w:t>Valor solicitado</w:t>
            </w:r>
          </w:p>
        </w:tc>
        <w:tc>
          <w:tcPr>
            <w:tcW w:type="dxa" w:w="4702"/>
          </w:tcPr>
          <w:p>
            <w:pPr>
              <w:spacing w:line="240" w:lineRule="auto"/>
              <w:ind w:firstLine="0"/>
              <w:jc w:val="center"/>
            </w:pPr>
            <w:r>
              <w:rPr>
                <w:rFonts w:ascii="Times New Roman" w:hAnsi="Times New Roman" w:cs="Times New Roman"/>
                <w:b w:val="0"/>
                <w:i w:val="0"/>
                <w:sz w:val="22"/>
              </w:rPr>
              <w:t>63%</w:t>
            </w:r>
          </w:p>
        </w:tc>
      </w:tr>
      <w:tr>
        <w:tc>
          <w:tcPr>
            <w:tcW w:type="dxa" w:w="4702"/>
          </w:tcPr>
          <w:p>
            <w:pPr>
              <w:spacing w:line="240" w:lineRule="auto"/>
              <w:ind w:firstLine="0"/>
              <w:jc w:val="left"/>
            </w:pPr>
            <w:r>
              <w:rPr>
                <w:rFonts w:ascii="Times New Roman" w:hAnsi="Times New Roman" w:cs="Times New Roman"/>
                <w:b w:val="0"/>
                <w:i w:val="0"/>
                <w:sz w:val="22"/>
              </w:rPr>
              <w:t>Faixa populacional + grupo comportamental</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Unidade da federação</w:t>
            </w:r>
          </w:p>
        </w:tc>
        <w:tc>
          <w:tcPr>
            <w:tcW w:type="dxa" w:w="4702"/>
          </w:tcPr>
          <w:p>
            <w:pPr>
              <w:spacing w:line="240" w:lineRule="auto"/>
              <w:ind w:firstLine="0"/>
              <w:jc w:val="center"/>
            </w:pPr>
            <w:r>
              <w:rPr>
                <w:rFonts w:ascii="Times New Roman" w:hAnsi="Times New Roman" w:cs="Times New Roman"/>
                <w:b w:val="0"/>
                <w:i w:val="0"/>
                <w:sz w:val="22"/>
              </w:rPr>
              <w:t>10%</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7%</w:t>
            </w:r>
          </w:p>
        </w:tc>
      </w:tr>
      <w:tr>
        <w:tc>
          <w:tcPr>
            <w:tcW w:type="dxa" w:w="4702"/>
          </w:tcPr>
          <w:p>
            <w:pPr>
              <w:spacing w:line="240" w:lineRule="auto"/>
              <w:ind w:firstLine="0"/>
              <w:jc w:val="left"/>
            </w:pPr>
            <w:r>
              <w:rPr>
                <w:rFonts w:ascii="Times New Roman" w:hAnsi="Times New Roman" w:cs="Times New Roman"/>
                <w:b w:val="0"/>
                <w:i w:val="0"/>
                <w:sz w:val="22"/>
              </w:rPr>
              <w:t>Faixa de capacidade (ICM)</w:t>
            </w:r>
          </w:p>
        </w:tc>
        <w:tc>
          <w:tcPr>
            <w:tcW w:type="dxa" w:w="4702"/>
          </w:tcPr>
          <w:p>
            <w:pPr>
              <w:spacing w:line="240" w:lineRule="auto"/>
              <w:ind w:firstLine="0"/>
              <w:jc w:val="center"/>
            </w:pPr>
            <w:r>
              <w:rPr>
                <w:rFonts w:ascii="Times New Roman" w:hAnsi="Times New Roman" w:cs="Times New Roman"/>
                <w:b w:val="0"/>
                <w:i w:val="0"/>
                <w:sz w:val="22"/>
              </w:rPr>
              <w:t>5%</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predomínio do valor solicitado como determinante da aprovação comporta uma leitura ambivalente. De um lado, indica que o sistema de análise reage de modo sensível à magnitude dos pedidos, submetendo a maior escrutínio as solicitações que mais se afastam do padrão, o que é coerente com a expectativa de um controle atento ao risco. De outro lado, a centralidade do valor pode sinalizar que outras dimensões relevantes, como a severidade efetiva do evento ou a qualidade técnica do plano de trabalho, encontram-se sub-representadas nos dados disponíveis e, por isso, pesam menos na decisão. Diante dessa ambivalência, o modelo de classificação deve ser compreendido como um espelho do processo decisório existente, capaz de revelar suas regularidades, e não como um padrão normativo do que a decisão deveria ser.</w:t>
      </w:r>
    </w:p>
    <w:p>
      <w:pPr>
        <w:keepNext/>
        <w:spacing w:line="360" w:lineRule="auto" w:before="240" w:after="120"/>
        <w:ind w:firstLine="0"/>
        <w:jc w:val="left"/>
      </w:pPr>
      <w:r>
        <w:rPr>
          <w:rFonts w:ascii="Times New Roman" w:hAnsi="Times New Roman" w:cs="Times New Roman"/>
          <w:b/>
          <w:i w:val="0"/>
          <w:sz w:val="24"/>
        </w:rPr>
        <w:t>4.4 Estimativa de “valor justo” e auditoria automatizada</w:t>
      </w:r>
    </w:p>
    <w:p>
      <w:pPr>
        <w:spacing w:line="360" w:lineRule="auto" w:after="0" w:before="0"/>
        <w:ind w:firstLine="709"/>
        <w:jc w:val="both"/>
      </w:pPr>
      <w:r>
        <w:rPr>
          <w:rFonts w:ascii="Times New Roman" w:hAnsi="Times New Roman" w:cs="Times New Roman"/>
          <w:b w:val="0"/>
          <w:i w:val="0"/>
          <w:sz w:val="24"/>
        </w:rPr>
        <w:t>A quarta fase voltou-se à estimativa de faixas de valor esperado e à sinalização de desvios. A regressão quantílica por gradient boosting estimou, para cada combinação de atributos, os limites P10, P50 e P90 do valor solicitado. A cobertura do intervalo entre P10 e P90 alcançou 76,3%, ou seja, cerca de três quartos dos processos situaram-se dentro da faixa prevista. O coeficiente de determinação no espaço logarítmico, porém, foi baixo, da ordem de 0,11, o que evidencia a elevada variabilidade do fenômeno e recomenda que o modelo seja interpretado como instrumento de triagem, e não como preditor de valor exato. Essa ressalva, longe de invalidar a abordagem, delimita seu uso adequado: o modelo é útil para sinalizar afastamentos grosseiros em relação ao padrão, mas não para estabelecer, com precisão, o valor que cada reconstrução deveria custar.</w:t>
      </w:r>
    </w:p>
    <w:p>
      <w:pPr>
        <w:spacing w:line="360" w:lineRule="auto" w:after="0" w:before="0"/>
        <w:ind w:firstLine="709"/>
        <w:jc w:val="both"/>
      </w:pPr>
      <w:r>
        <w:rPr>
          <w:rFonts w:ascii="Times New Roman" w:hAnsi="Times New Roman" w:cs="Times New Roman"/>
          <w:b w:val="0"/>
          <w:i w:val="0"/>
          <w:sz w:val="24"/>
        </w:rPr>
        <w:t>A aplicação do modelo a 3.893 processos auditados produziu uma classificação automática em três categorias. A maior parte dos processos, correspondente a 66% do total, foi classificada como normal, por situar-se dentro da faixa esperada. Outros 19% foram classificados como baixo, indicando possível subdimensionamento, enquanto 15%, equivalentes a 580 processos, foram classificados como alto, sinalizando valores potencialmente superdimensionados. Esse último conjunto constitui o público prioritário para auditoria, pois concentra os casos que mais se afastam do padrão estimado a partir de processos comparáveis. A categoria de subdimensionamento, por sua vez, embora menos associada ao risco de desperdício, merece atenção por sinalizar a possibilidade de planos incompletos ou de necessidades não plenamente cobertas pelos valores solicitados.</w:t>
      </w:r>
    </w:p>
    <w:p>
      <w:pPr>
        <w:spacing w:line="360" w:lineRule="auto" w:after="0" w:before="0"/>
        <w:ind w:firstLine="709"/>
        <w:jc w:val="both"/>
      </w:pPr>
      <w:r>
        <w:rPr>
          <w:rFonts w:ascii="Times New Roman" w:hAnsi="Times New Roman" w:cs="Times New Roman"/>
          <w:b w:val="0"/>
          <w:i w:val="0"/>
          <w:sz w:val="24"/>
        </w:rPr>
        <w:t>A categoria de subdimensionamento, embora tenha recebido menos atenção na literatura sobre auditoria, encerra implicações relevantes para a efetividade da política. Valores sistematicamente inferiores ao padrão esperado podem indicar planos de trabalho elaborados sob restrição técnica, capacidade limitada de estimar custos ou, ainda, subnotificação de danos por municípios com menor estrutura administrativa. Sob essa perspectiva, o subdimensionamento não é um problema oposto ao superfaturamento, mas uma face complementar da mesma fragilidade institucional, na medida em que ambos remetem à dificuldade de traduzir a necessidade real em uma solicitação tecnicamente consistente. Diante disso, a triagem automatizada presta-se não apenas a coibir excessos, mas também a identificar municípios que poderiam estar deixando de pleitear recursos compatíveis com os danos efetivamente sofridos.</w:t>
      </w:r>
    </w:p>
    <w:p>
      <w:pPr>
        <w:spacing w:before="160" w:after="40" w:line="240" w:lineRule="auto"/>
        <w:ind w:firstLine="0"/>
      </w:pPr>
      <w:r>
        <w:rPr>
          <w:rFonts w:ascii="Times New Roman" w:hAnsi="Times New Roman" w:cs="Times New Roman"/>
          <w:b/>
          <w:i w:val="0"/>
          <w:sz w:val="22"/>
        </w:rPr>
        <w:t>Tabela 4 - Resultado da auditoria automatizada dos valores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Classificação</w:t>
            </w:r>
          </w:p>
        </w:tc>
        <w:tc>
          <w:tcPr>
            <w:tcW w:type="dxa" w:w="2351"/>
          </w:tcPr>
          <w:p>
            <w:pPr>
              <w:spacing w:line="240" w:lineRule="auto"/>
              <w:ind w:firstLine="0"/>
              <w:jc w:val="center"/>
            </w:pPr>
            <w:r>
              <w:rPr>
                <w:rFonts w:ascii="Times New Roman" w:hAnsi="Times New Roman" w:cs="Times New Roman"/>
                <w:b/>
                <w:i w:val="0"/>
                <w:sz w:val="22"/>
              </w:rPr>
              <w:t>Processos</w:t>
            </w:r>
          </w:p>
        </w:tc>
        <w:tc>
          <w:tcPr>
            <w:tcW w:type="dxa" w:w="2351"/>
          </w:tcPr>
          <w:p>
            <w:pPr>
              <w:spacing w:line="240" w:lineRule="auto"/>
              <w:ind w:firstLine="0"/>
              <w:jc w:val="center"/>
            </w:pPr>
            <w:r>
              <w:rPr>
                <w:rFonts w:ascii="Times New Roman" w:hAnsi="Times New Roman" w:cs="Times New Roman"/>
                <w:b/>
                <w:i w:val="0"/>
                <w:sz w:val="22"/>
              </w:rPr>
              <w:t>%</w:t>
            </w:r>
          </w:p>
        </w:tc>
        <w:tc>
          <w:tcPr>
            <w:tcW w:type="dxa" w:w="2351"/>
          </w:tcPr>
          <w:p>
            <w:pPr>
              <w:spacing w:line="240" w:lineRule="auto"/>
              <w:ind w:firstLine="0"/>
              <w:jc w:val="center"/>
            </w:pPr>
            <w:r>
              <w:rPr>
                <w:rFonts w:ascii="Times New Roman" w:hAnsi="Times New Roman" w:cs="Times New Roman"/>
                <w:b/>
                <w:i w:val="0"/>
                <w:sz w:val="22"/>
              </w:rPr>
              <w:t>Interpretação</w:t>
            </w:r>
          </w:p>
        </w:tc>
      </w:tr>
      <w:tr>
        <w:tc>
          <w:tcPr>
            <w:tcW w:type="dxa" w:w="2351"/>
          </w:tcPr>
          <w:p>
            <w:pPr>
              <w:spacing w:line="240" w:lineRule="auto"/>
              <w:ind w:firstLine="0"/>
              <w:jc w:val="left"/>
            </w:pPr>
            <w:r>
              <w:rPr>
                <w:rFonts w:ascii="Times New Roman" w:hAnsi="Times New Roman" w:cs="Times New Roman"/>
                <w:b w:val="0"/>
                <w:i w:val="0"/>
                <w:sz w:val="22"/>
              </w:rPr>
              <w:t>Normal</w:t>
            </w:r>
          </w:p>
        </w:tc>
        <w:tc>
          <w:tcPr>
            <w:tcW w:type="dxa" w:w="2351"/>
          </w:tcPr>
          <w:p>
            <w:pPr>
              <w:spacing w:line="240" w:lineRule="auto"/>
              <w:ind w:firstLine="0"/>
              <w:jc w:val="center"/>
            </w:pPr>
            <w:r>
              <w:rPr>
                <w:rFonts w:ascii="Times New Roman" w:hAnsi="Times New Roman" w:cs="Times New Roman"/>
                <w:b w:val="0"/>
                <w:i w:val="0"/>
                <w:sz w:val="22"/>
              </w:rPr>
              <w:t>2.556</w:t>
            </w:r>
          </w:p>
        </w:tc>
        <w:tc>
          <w:tcPr>
            <w:tcW w:type="dxa" w:w="2351"/>
          </w:tcPr>
          <w:p>
            <w:pPr>
              <w:spacing w:line="240" w:lineRule="auto"/>
              <w:ind w:firstLine="0"/>
              <w:jc w:val="center"/>
            </w:pPr>
            <w:r>
              <w:rPr>
                <w:rFonts w:ascii="Times New Roman" w:hAnsi="Times New Roman" w:cs="Times New Roman"/>
                <w:b w:val="0"/>
                <w:i w:val="0"/>
                <w:sz w:val="22"/>
              </w:rPr>
              <w:t>66%</w:t>
            </w:r>
          </w:p>
        </w:tc>
        <w:tc>
          <w:tcPr>
            <w:tcW w:type="dxa" w:w="2351"/>
          </w:tcPr>
          <w:p>
            <w:pPr>
              <w:spacing w:line="240" w:lineRule="auto"/>
              <w:ind w:firstLine="0"/>
              <w:jc w:val="center"/>
            </w:pPr>
            <w:r>
              <w:rPr>
                <w:rFonts w:ascii="Times New Roman" w:hAnsi="Times New Roman" w:cs="Times New Roman"/>
                <w:b w:val="0"/>
                <w:i w:val="0"/>
                <w:sz w:val="22"/>
              </w:rPr>
              <w:t>Dentro da faixa esperada</w:t>
            </w:r>
          </w:p>
        </w:tc>
      </w:tr>
      <w:tr>
        <w:tc>
          <w:tcPr>
            <w:tcW w:type="dxa" w:w="2351"/>
          </w:tcPr>
          <w:p>
            <w:pPr>
              <w:spacing w:line="240" w:lineRule="auto"/>
              <w:ind w:firstLine="0"/>
              <w:jc w:val="left"/>
            </w:pPr>
            <w:r>
              <w:rPr>
                <w:rFonts w:ascii="Times New Roman" w:hAnsi="Times New Roman" w:cs="Times New Roman"/>
                <w:b w:val="0"/>
                <w:i w:val="0"/>
                <w:sz w:val="22"/>
              </w:rPr>
              <w:t>Baixo</w:t>
            </w:r>
          </w:p>
        </w:tc>
        <w:tc>
          <w:tcPr>
            <w:tcW w:type="dxa" w:w="2351"/>
          </w:tcPr>
          <w:p>
            <w:pPr>
              <w:spacing w:line="240" w:lineRule="auto"/>
              <w:ind w:firstLine="0"/>
              <w:jc w:val="center"/>
            </w:pPr>
            <w:r>
              <w:rPr>
                <w:rFonts w:ascii="Times New Roman" w:hAnsi="Times New Roman" w:cs="Times New Roman"/>
                <w:b w:val="0"/>
                <w:i w:val="0"/>
                <w:sz w:val="22"/>
              </w:rPr>
              <w:t>757</w:t>
            </w:r>
          </w:p>
        </w:tc>
        <w:tc>
          <w:tcPr>
            <w:tcW w:type="dxa" w:w="2351"/>
          </w:tcPr>
          <w:p>
            <w:pPr>
              <w:spacing w:line="240" w:lineRule="auto"/>
              <w:ind w:firstLine="0"/>
              <w:jc w:val="center"/>
            </w:pPr>
            <w:r>
              <w:rPr>
                <w:rFonts w:ascii="Times New Roman" w:hAnsi="Times New Roman" w:cs="Times New Roman"/>
                <w:b w:val="0"/>
                <w:i w:val="0"/>
                <w:sz w:val="22"/>
              </w:rPr>
              <w:t>19%</w:t>
            </w:r>
          </w:p>
        </w:tc>
        <w:tc>
          <w:tcPr>
            <w:tcW w:type="dxa" w:w="2351"/>
          </w:tcPr>
          <w:p>
            <w:pPr>
              <w:spacing w:line="240" w:lineRule="auto"/>
              <w:ind w:firstLine="0"/>
              <w:jc w:val="center"/>
            </w:pPr>
            <w:r>
              <w:rPr>
                <w:rFonts w:ascii="Times New Roman" w:hAnsi="Times New Roman" w:cs="Times New Roman"/>
                <w:b w:val="0"/>
                <w:i w:val="0"/>
                <w:sz w:val="22"/>
              </w:rPr>
              <w:t>Possível subdimensionamento</w:t>
            </w:r>
          </w:p>
        </w:tc>
      </w:tr>
      <w:tr>
        <w:tc>
          <w:tcPr>
            <w:tcW w:type="dxa" w:w="2351"/>
          </w:tcPr>
          <w:p>
            <w:pPr>
              <w:spacing w:line="240" w:lineRule="auto"/>
              <w:ind w:firstLine="0"/>
              <w:jc w:val="left"/>
            </w:pPr>
            <w:r>
              <w:rPr>
                <w:rFonts w:ascii="Times New Roman" w:hAnsi="Times New Roman" w:cs="Times New Roman"/>
                <w:b w:val="0"/>
                <w:i w:val="0"/>
                <w:sz w:val="22"/>
              </w:rPr>
              <w:t>Alto</w:t>
            </w:r>
          </w:p>
        </w:tc>
        <w:tc>
          <w:tcPr>
            <w:tcW w:type="dxa" w:w="2351"/>
          </w:tcPr>
          <w:p>
            <w:pPr>
              <w:spacing w:line="240" w:lineRule="auto"/>
              <w:ind w:firstLine="0"/>
              <w:jc w:val="center"/>
            </w:pPr>
            <w:r>
              <w:rPr>
                <w:rFonts w:ascii="Times New Roman" w:hAnsi="Times New Roman" w:cs="Times New Roman"/>
                <w:b w:val="0"/>
                <w:i w:val="0"/>
                <w:sz w:val="22"/>
              </w:rPr>
              <w:t>580</w:t>
            </w:r>
          </w:p>
        </w:tc>
        <w:tc>
          <w:tcPr>
            <w:tcW w:type="dxa" w:w="2351"/>
          </w:tcPr>
          <w:p>
            <w:pPr>
              <w:spacing w:line="240" w:lineRule="auto"/>
              <w:ind w:firstLine="0"/>
              <w:jc w:val="center"/>
            </w:pPr>
            <w:r>
              <w:rPr>
                <w:rFonts w:ascii="Times New Roman" w:hAnsi="Times New Roman" w:cs="Times New Roman"/>
                <w:b w:val="0"/>
                <w:i w:val="0"/>
                <w:sz w:val="22"/>
              </w:rPr>
              <w:t>15%</w:t>
            </w:r>
          </w:p>
        </w:tc>
        <w:tc>
          <w:tcPr>
            <w:tcW w:type="dxa" w:w="2351"/>
          </w:tcPr>
          <w:p>
            <w:pPr>
              <w:spacing w:line="240" w:lineRule="auto"/>
              <w:ind w:firstLine="0"/>
              <w:jc w:val="center"/>
            </w:pPr>
            <w:r>
              <w:rPr>
                <w:rFonts w:ascii="Times New Roman" w:hAnsi="Times New Roman" w:cs="Times New Roman"/>
                <w:b w:val="0"/>
                <w:i w:val="0"/>
                <w:sz w:val="22"/>
              </w:rPr>
              <w:t>Valor potencialmente superdimensionado</w:t>
            </w:r>
          </w:p>
        </w:tc>
      </w:tr>
    </w:tbl>
    <w:p>
      <w:pPr>
        <w:spacing w:after="160" w:line="240" w:lineRule="auto"/>
        <w:ind w:firstLine="0"/>
      </w:pPr>
      <w:r>
        <w:rPr>
          <w:rFonts w:ascii="Times New Roman" w:hAnsi="Times New Roman" w:cs="Times New Roman"/>
          <w:b w:val="0"/>
          <w:i w:val="0"/>
          <w:sz w:val="20"/>
        </w:rPr>
        <w:t>Fonte: elaboração própria.</w:t>
      </w:r>
    </w:p>
    <w:p>
      <w:pPr>
        <w:spacing w:line="360" w:lineRule="auto" w:after="0" w:before="0"/>
        <w:ind w:firstLine="709"/>
        <w:jc w:val="both"/>
      </w:pPr>
      <w:r>
        <w:rPr>
          <w:rFonts w:ascii="Times New Roman" w:hAnsi="Times New Roman" w:cs="Times New Roman"/>
          <w:b w:val="0"/>
          <w:i w:val="0"/>
          <w:sz w:val="24"/>
        </w:rPr>
        <w:t>O exame dos dez maiores desvios positivos ilustra a natureza heterogênea dos casos sinalizados. O município de Nova Monte Verde, no Mato Grosso, apresentou solicitação de R$ 2,5 bilhões diante de um limite P90 estimado em cerca de R$ 3,1 milhões, o que corresponde a um desvio de mais de 235.000% e sugere, com elevada probabilidade, erro de registro. Outros casos, como Jaboatão dos Guararapes, em Pernambuco, e Osasco, em São Paulo, exibem desvios igualmente expressivos, ainda que de magnitude inferior. Observa-se que a maioria dos casos de alto risco associa-se a tempestades convectivas e a enxurradas, e que os processos correspondentes encontram-se em situações variadas, incluindo indeferimento, análise e transferência de recurso. Essa heterogeneidade de situações reforça que a sinalização algorítmica não equivale a um juízo de irregularidade, mas a uma priorização para verificação humana.</w:t>
      </w:r>
    </w:p>
    <w:p>
      <w:pPr>
        <w:spacing w:before="160" w:after="40" w:line="240" w:lineRule="auto"/>
        <w:ind w:firstLine="0"/>
      </w:pPr>
      <w:r>
        <w:rPr>
          <w:rFonts w:ascii="Times New Roman" w:hAnsi="Times New Roman" w:cs="Times New Roman"/>
          <w:b/>
          <w:i w:val="0"/>
          <w:sz w:val="22"/>
        </w:rPr>
        <w:t>Tabela 5 - Cinco maiores desvios positivos identificados pela auditoria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ind w:firstLine="0"/>
              <w:jc w:val="center"/>
            </w:pPr>
            <w:r>
              <w:rPr>
                <w:rFonts w:ascii="Times New Roman" w:hAnsi="Times New Roman" w:cs="Times New Roman"/>
                <w:b/>
                <w:i w:val="0"/>
                <w:sz w:val="22"/>
              </w:rPr>
              <w:t>Município (UF)</w:t>
            </w:r>
          </w:p>
        </w:tc>
        <w:tc>
          <w:tcPr>
            <w:tcW w:type="dxa" w:w="2351"/>
          </w:tcPr>
          <w:p>
            <w:pPr>
              <w:spacing w:line="240" w:lineRule="auto"/>
              <w:ind w:firstLine="0"/>
              <w:jc w:val="center"/>
            </w:pPr>
            <w:r>
              <w:rPr>
                <w:rFonts w:ascii="Times New Roman" w:hAnsi="Times New Roman" w:cs="Times New Roman"/>
                <w:b/>
                <w:i w:val="0"/>
                <w:sz w:val="22"/>
              </w:rPr>
              <w:t>Valor solicitado (R$)</w:t>
            </w:r>
          </w:p>
        </w:tc>
        <w:tc>
          <w:tcPr>
            <w:tcW w:type="dxa" w:w="2351"/>
          </w:tcPr>
          <w:p>
            <w:pPr>
              <w:spacing w:line="240" w:lineRule="auto"/>
              <w:ind w:firstLine="0"/>
              <w:jc w:val="center"/>
            </w:pPr>
            <w:r>
              <w:rPr>
                <w:rFonts w:ascii="Times New Roman" w:hAnsi="Times New Roman" w:cs="Times New Roman"/>
                <w:b/>
                <w:i w:val="0"/>
                <w:sz w:val="22"/>
              </w:rPr>
              <w:t>Limite P90 (R$)</w:t>
            </w:r>
          </w:p>
        </w:tc>
        <w:tc>
          <w:tcPr>
            <w:tcW w:type="dxa" w:w="2351"/>
          </w:tcPr>
          <w:p>
            <w:pPr>
              <w:spacing w:line="240" w:lineRule="auto"/>
              <w:ind w:firstLine="0"/>
              <w:jc w:val="center"/>
            </w:pPr>
            <w:r>
              <w:rPr>
                <w:rFonts w:ascii="Times New Roman" w:hAnsi="Times New Roman" w:cs="Times New Roman"/>
                <w:b/>
                <w:i w:val="0"/>
                <w:sz w:val="22"/>
              </w:rPr>
              <w:t>Desvio</w:t>
            </w:r>
          </w:p>
        </w:tc>
      </w:tr>
      <w:tr>
        <w:tc>
          <w:tcPr>
            <w:tcW w:type="dxa" w:w="2351"/>
          </w:tcPr>
          <w:p>
            <w:pPr>
              <w:spacing w:line="240" w:lineRule="auto"/>
              <w:ind w:firstLine="0"/>
              <w:jc w:val="left"/>
            </w:pPr>
            <w:r>
              <w:rPr>
                <w:rFonts w:ascii="Times New Roman" w:hAnsi="Times New Roman" w:cs="Times New Roman"/>
                <w:b w:val="0"/>
                <w:i w:val="0"/>
                <w:sz w:val="22"/>
              </w:rPr>
              <w:t>Nova Monte Verde (MT)</w:t>
            </w:r>
          </w:p>
        </w:tc>
        <w:tc>
          <w:tcPr>
            <w:tcW w:type="dxa" w:w="2351"/>
          </w:tcPr>
          <w:p>
            <w:pPr>
              <w:spacing w:line="240" w:lineRule="auto"/>
              <w:ind w:firstLine="0"/>
              <w:jc w:val="center"/>
            </w:pPr>
            <w:r>
              <w:rPr>
                <w:rFonts w:ascii="Times New Roman" w:hAnsi="Times New Roman" w:cs="Times New Roman"/>
                <w:b w:val="0"/>
                <w:i w:val="0"/>
                <w:sz w:val="22"/>
              </w:rPr>
              <w:t>2.500.000.000</w:t>
            </w:r>
          </w:p>
        </w:tc>
        <w:tc>
          <w:tcPr>
            <w:tcW w:type="dxa" w:w="2351"/>
          </w:tcPr>
          <w:p>
            <w:pPr>
              <w:spacing w:line="240" w:lineRule="auto"/>
              <w:ind w:firstLine="0"/>
              <w:jc w:val="center"/>
            </w:pPr>
            <w:r>
              <w:rPr>
                <w:rFonts w:ascii="Times New Roman" w:hAnsi="Times New Roman" w:cs="Times New Roman"/>
                <w:b w:val="0"/>
                <w:i w:val="0"/>
                <w:sz w:val="22"/>
              </w:rPr>
              <w:t>3.131.467</w:t>
            </w:r>
          </w:p>
        </w:tc>
        <w:tc>
          <w:tcPr>
            <w:tcW w:type="dxa" w:w="2351"/>
          </w:tcPr>
          <w:p>
            <w:pPr>
              <w:spacing w:line="240" w:lineRule="auto"/>
              <w:ind w:firstLine="0"/>
              <w:jc w:val="center"/>
            </w:pPr>
            <w:r>
              <w:rPr>
                <w:rFonts w:ascii="Times New Roman" w:hAnsi="Times New Roman" w:cs="Times New Roman"/>
                <w:b w:val="0"/>
                <w:i w:val="0"/>
                <w:sz w:val="22"/>
              </w:rPr>
              <w:t>235.558%</w:t>
            </w:r>
          </w:p>
        </w:tc>
      </w:tr>
      <w:tr>
        <w:tc>
          <w:tcPr>
            <w:tcW w:type="dxa" w:w="2351"/>
          </w:tcPr>
          <w:p>
            <w:pPr>
              <w:spacing w:line="240" w:lineRule="auto"/>
              <w:ind w:firstLine="0"/>
              <w:jc w:val="left"/>
            </w:pPr>
            <w:r>
              <w:rPr>
                <w:rFonts w:ascii="Times New Roman" w:hAnsi="Times New Roman" w:cs="Times New Roman"/>
                <w:b w:val="0"/>
                <w:i w:val="0"/>
                <w:sz w:val="22"/>
              </w:rPr>
              <w:t>Jaboatão dos Guararapes (PE)</w:t>
            </w:r>
          </w:p>
        </w:tc>
        <w:tc>
          <w:tcPr>
            <w:tcW w:type="dxa" w:w="2351"/>
          </w:tcPr>
          <w:p>
            <w:pPr>
              <w:spacing w:line="240" w:lineRule="auto"/>
              <w:ind w:firstLine="0"/>
              <w:jc w:val="center"/>
            </w:pPr>
            <w:r>
              <w:rPr>
                <w:rFonts w:ascii="Times New Roman" w:hAnsi="Times New Roman" w:cs="Times New Roman"/>
                <w:b w:val="0"/>
                <w:i w:val="0"/>
                <w:sz w:val="22"/>
              </w:rPr>
              <w:t>402.398.352</w:t>
            </w:r>
          </w:p>
        </w:tc>
        <w:tc>
          <w:tcPr>
            <w:tcW w:type="dxa" w:w="2351"/>
          </w:tcPr>
          <w:p>
            <w:pPr>
              <w:spacing w:line="240" w:lineRule="auto"/>
              <w:ind w:firstLine="0"/>
              <w:jc w:val="center"/>
            </w:pPr>
            <w:r>
              <w:rPr>
                <w:rFonts w:ascii="Times New Roman" w:hAnsi="Times New Roman" w:cs="Times New Roman"/>
                <w:b w:val="0"/>
                <w:i w:val="0"/>
                <w:sz w:val="22"/>
              </w:rPr>
              <w:t>6.514.830</w:t>
            </w:r>
          </w:p>
        </w:tc>
        <w:tc>
          <w:tcPr>
            <w:tcW w:type="dxa" w:w="2351"/>
          </w:tcPr>
          <w:p>
            <w:pPr>
              <w:spacing w:line="240" w:lineRule="auto"/>
              <w:ind w:firstLine="0"/>
              <w:jc w:val="center"/>
            </w:pPr>
            <w:r>
              <w:rPr>
                <w:rFonts w:ascii="Times New Roman" w:hAnsi="Times New Roman" w:cs="Times New Roman"/>
                <w:b w:val="0"/>
                <w:i w:val="0"/>
                <w:sz w:val="22"/>
              </w:rPr>
              <w:t>29.867%</w:t>
            </w:r>
          </w:p>
        </w:tc>
      </w:tr>
      <w:tr>
        <w:tc>
          <w:tcPr>
            <w:tcW w:type="dxa" w:w="2351"/>
          </w:tcPr>
          <w:p>
            <w:pPr>
              <w:spacing w:line="240" w:lineRule="auto"/>
              <w:ind w:firstLine="0"/>
              <w:jc w:val="left"/>
            </w:pPr>
            <w:r>
              <w:rPr>
                <w:rFonts w:ascii="Times New Roman" w:hAnsi="Times New Roman" w:cs="Times New Roman"/>
                <w:b w:val="0"/>
                <w:i w:val="0"/>
                <w:sz w:val="22"/>
              </w:rPr>
              <w:t>Rio de Janeiro (RJ)</w:t>
            </w:r>
          </w:p>
        </w:tc>
        <w:tc>
          <w:tcPr>
            <w:tcW w:type="dxa" w:w="2351"/>
          </w:tcPr>
          <w:p>
            <w:pPr>
              <w:spacing w:line="240" w:lineRule="auto"/>
              <w:ind w:firstLine="0"/>
              <w:jc w:val="center"/>
            </w:pPr>
            <w:r>
              <w:rPr>
                <w:rFonts w:ascii="Times New Roman" w:hAnsi="Times New Roman" w:cs="Times New Roman"/>
                <w:b w:val="0"/>
                <w:i w:val="0"/>
                <w:sz w:val="22"/>
              </w:rPr>
              <w:t>172.431.000</w:t>
            </w:r>
          </w:p>
        </w:tc>
        <w:tc>
          <w:tcPr>
            <w:tcW w:type="dxa" w:w="2351"/>
          </w:tcPr>
          <w:p>
            <w:pPr>
              <w:spacing w:line="240" w:lineRule="auto"/>
              <w:ind w:firstLine="0"/>
              <w:jc w:val="center"/>
            </w:pPr>
            <w:r>
              <w:rPr>
                <w:rFonts w:ascii="Times New Roman" w:hAnsi="Times New Roman" w:cs="Times New Roman"/>
                <w:b w:val="0"/>
                <w:i w:val="0"/>
                <w:sz w:val="22"/>
              </w:rPr>
              <w:t>7.202.435</w:t>
            </w:r>
          </w:p>
        </w:tc>
        <w:tc>
          <w:tcPr>
            <w:tcW w:type="dxa" w:w="2351"/>
          </w:tcPr>
          <w:p>
            <w:pPr>
              <w:spacing w:line="240" w:lineRule="auto"/>
              <w:ind w:firstLine="0"/>
              <w:jc w:val="center"/>
            </w:pPr>
            <w:r>
              <w:rPr>
                <w:rFonts w:ascii="Times New Roman" w:hAnsi="Times New Roman" w:cs="Times New Roman"/>
                <w:b w:val="0"/>
                <w:i w:val="0"/>
                <w:sz w:val="22"/>
              </w:rPr>
              <w:t>10.220%</w:t>
            </w:r>
          </w:p>
        </w:tc>
      </w:tr>
      <w:tr>
        <w:tc>
          <w:tcPr>
            <w:tcW w:type="dxa" w:w="2351"/>
          </w:tcPr>
          <w:p>
            <w:pPr>
              <w:spacing w:line="240" w:lineRule="auto"/>
              <w:ind w:firstLine="0"/>
              <w:jc w:val="left"/>
            </w:pPr>
            <w:r>
              <w:rPr>
                <w:rFonts w:ascii="Times New Roman" w:hAnsi="Times New Roman" w:cs="Times New Roman"/>
                <w:b w:val="0"/>
                <w:i w:val="0"/>
                <w:sz w:val="22"/>
              </w:rPr>
              <w:t>Osasco (SP)</w:t>
            </w:r>
          </w:p>
        </w:tc>
        <w:tc>
          <w:tcPr>
            <w:tcW w:type="dxa" w:w="2351"/>
          </w:tcPr>
          <w:p>
            <w:pPr>
              <w:spacing w:line="240" w:lineRule="auto"/>
              <w:ind w:firstLine="0"/>
              <w:jc w:val="center"/>
            </w:pPr>
            <w:r>
              <w:rPr>
                <w:rFonts w:ascii="Times New Roman" w:hAnsi="Times New Roman" w:cs="Times New Roman"/>
                <w:b w:val="0"/>
                <w:i w:val="0"/>
                <w:sz w:val="22"/>
              </w:rPr>
              <w:t>268.376.257</w:t>
            </w:r>
          </w:p>
        </w:tc>
        <w:tc>
          <w:tcPr>
            <w:tcW w:type="dxa" w:w="2351"/>
          </w:tcPr>
          <w:p>
            <w:pPr>
              <w:spacing w:line="240" w:lineRule="auto"/>
              <w:ind w:firstLine="0"/>
              <w:jc w:val="center"/>
            </w:pPr>
            <w:r>
              <w:rPr>
                <w:rFonts w:ascii="Times New Roman" w:hAnsi="Times New Roman" w:cs="Times New Roman"/>
                <w:b w:val="0"/>
                <w:i w:val="0"/>
                <w:sz w:val="22"/>
              </w:rPr>
              <w:t>13.275.506</w:t>
            </w:r>
          </w:p>
        </w:tc>
        <w:tc>
          <w:tcPr>
            <w:tcW w:type="dxa" w:w="2351"/>
          </w:tcPr>
          <w:p>
            <w:pPr>
              <w:spacing w:line="240" w:lineRule="auto"/>
              <w:ind w:firstLine="0"/>
              <w:jc w:val="center"/>
            </w:pPr>
            <w:r>
              <w:rPr>
                <w:rFonts w:ascii="Times New Roman" w:hAnsi="Times New Roman" w:cs="Times New Roman"/>
                <w:b w:val="0"/>
                <w:i w:val="0"/>
                <w:sz w:val="22"/>
              </w:rPr>
              <w:t>9.160%</w:t>
            </w:r>
          </w:p>
        </w:tc>
      </w:tr>
      <w:tr>
        <w:tc>
          <w:tcPr>
            <w:tcW w:type="dxa" w:w="2351"/>
          </w:tcPr>
          <w:p>
            <w:pPr>
              <w:spacing w:line="240" w:lineRule="auto"/>
              <w:ind w:firstLine="0"/>
              <w:jc w:val="left"/>
            </w:pPr>
            <w:r>
              <w:rPr>
                <w:rFonts w:ascii="Times New Roman" w:hAnsi="Times New Roman" w:cs="Times New Roman"/>
                <w:b w:val="0"/>
                <w:i w:val="0"/>
                <w:sz w:val="22"/>
              </w:rPr>
              <w:t>Roca Sales (RS)</w:t>
            </w:r>
          </w:p>
        </w:tc>
        <w:tc>
          <w:tcPr>
            <w:tcW w:type="dxa" w:w="2351"/>
          </w:tcPr>
          <w:p>
            <w:pPr>
              <w:spacing w:line="240" w:lineRule="auto"/>
              <w:ind w:firstLine="0"/>
              <w:jc w:val="center"/>
            </w:pPr>
            <w:r>
              <w:rPr>
                <w:rFonts w:ascii="Times New Roman" w:hAnsi="Times New Roman" w:cs="Times New Roman"/>
                <w:b w:val="0"/>
                <w:i w:val="0"/>
                <w:sz w:val="22"/>
              </w:rPr>
              <w:t>109.436.648</w:t>
            </w:r>
          </w:p>
        </w:tc>
        <w:tc>
          <w:tcPr>
            <w:tcW w:type="dxa" w:w="2351"/>
          </w:tcPr>
          <w:p>
            <w:pPr>
              <w:spacing w:line="240" w:lineRule="auto"/>
              <w:ind w:firstLine="0"/>
              <w:jc w:val="center"/>
            </w:pPr>
            <w:r>
              <w:rPr>
                <w:rFonts w:ascii="Times New Roman" w:hAnsi="Times New Roman" w:cs="Times New Roman"/>
                <w:b w:val="0"/>
                <w:i w:val="0"/>
                <w:sz w:val="22"/>
              </w:rPr>
              <w:t>6.331.731</w:t>
            </w:r>
          </w:p>
        </w:tc>
        <w:tc>
          <w:tcPr>
            <w:tcW w:type="dxa" w:w="2351"/>
          </w:tcPr>
          <w:p>
            <w:pPr>
              <w:spacing w:line="240" w:lineRule="auto"/>
              <w:ind w:firstLine="0"/>
              <w:jc w:val="center"/>
            </w:pPr>
            <w:r>
              <w:rPr>
                <w:rFonts w:ascii="Times New Roman" w:hAnsi="Times New Roman" w:cs="Times New Roman"/>
                <w:b w:val="0"/>
                <w:i w:val="0"/>
                <w:sz w:val="22"/>
              </w:rPr>
              <w:t>9.058%</w:t>
            </w:r>
          </w:p>
        </w:tc>
      </w:tr>
    </w:tbl>
    <w:p>
      <w:pPr>
        <w:spacing w:after="160" w:line="240" w:lineRule="auto"/>
        <w:ind w:firstLine="0"/>
      </w:pPr>
      <w:r>
        <w:rPr>
          <w:rFonts w:ascii="Times New Roman" w:hAnsi="Times New Roman" w:cs="Times New Roman"/>
          <w:b w:val="0"/>
          <w:i w:val="0"/>
          <w:sz w:val="20"/>
        </w:rPr>
        <w:t>Fonte: elaboração própria a partir dos dados da auditoria de valores.</w:t>
      </w:r>
    </w:p>
    <w:p>
      <w:pPr>
        <w:spacing w:line="360" w:lineRule="auto" w:after="0" w:before="0"/>
        <w:ind w:firstLine="709"/>
        <w:jc w:val="both"/>
      </w:pPr>
      <w:r>
        <w:rPr>
          <w:rFonts w:ascii="Times New Roman" w:hAnsi="Times New Roman" w:cs="Times New Roman"/>
          <w:b w:val="0"/>
          <w:i w:val="0"/>
          <w:sz w:val="24"/>
        </w:rPr>
        <w:t>O caso de Nova Monte Verde sintetiza tanto a utilidade quanto os limites da auditoria automatizada. A magnitude do desvio, da ordem de 235.000%, torna implausível que se trate de uma solicitação genuína, apontando, com grande probabilidade, para um erro de digitação no registro do valor. Esse tipo de ocorrência, embora não configure irregularidade no sentido de má-fé, compromete a qualidade das bases de dados e pode distorcer estatísticas agregadas, como as médias por faixa discutidas anteriormente. Dessa maneira, a detecção automatizada presta um serviço duplo: além de sinalizar possíveis superfaturamentos, contribui para a depuração dos próprios dados administrativos, ao expor inconsistências que, de outro modo, permaneceriam ocultas no volume dos registros.</w:t>
      </w:r>
    </w:p>
    <w:p>
      <w:pPr>
        <w:spacing w:line="360" w:lineRule="auto" w:after="0" w:before="0"/>
        <w:ind w:firstLine="709"/>
        <w:jc w:val="both"/>
      </w:pPr>
      <w:r>
        <w:rPr>
          <w:rFonts w:ascii="Times New Roman" w:hAnsi="Times New Roman" w:cs="Times New Roman"/>
          <w:b w:val="0"/>
          <w:i w:val="0"/>
          <w:sz w:val="24"/>
        </w:rPr>
        <w:t>A quinta fase, de caráter complementar, aplicou a floresta de isolamento ao conjunto de processos e identificou 320 observações anômalas, compatíveis, em larga medida, com os casos sinalizados pela regressão quantílica. A convergência entre técnicas distintas de detecção confere maior solidez à identificação dos casos prioritários, pois reduz a probabilidade de que um alerta decorra de particularidade de um único método. Como desdobramento instrumental, projetou-se um simulador de alertas, concebido para permitir a consulta interativa das estimativas de valor esperado e de probabilidade de aprovação, de modo a integrar os achados das fases anteriores em uma ferramenta de apoio à decisão para os gestores. O simulador traduz, assim, o conjunto da análise em um artefato operacional, ainda que sua validação em ambiente real permaneça como tarefa futura.</w:t>
      </w:r>
    </w:p>
    <w:p>
      <w:pPr>
        <w:keepNext/>
        <w:spacing w:line="360" w:lineRule="auto" w:before="240" w:after="120"/>
        <w:ind w:firstLine="0"/>
        <w:jc w:val="left"/>
      </w:pPr>
      <w:r>
        <w:rPr>
          <w:rFonts w:ascii="Times New Roman" w:hAnsi="Times New Roman" w:cs="Times New Roman"/>
          <w:b/>
          <w:i w:val="0"/>
          <w:sz w:val="24"/>
        </w:rPr>
        <w:t>4.5 Antecipação da severidade dos desastres</w:t>
      </w:r>
    </w:p>
    <w:p>
      <w:pPr>
        <w:spacing w:line="360" w:lineRule="auto" w:after="0" w:before="0"/>
        <w:ind w:firstLine="709"/>
        <w:jc w:val="both"/>
      </w:pPr>
      <w:r>
        <w:rPr>
          <w:rFonts w:ascii="Times New Roman" w:hAnsi="Times New Roman" w:cs="Times New Roman"/>
          <w:b w:val="0"/>
          <w:i w:val="0"/>
          <w:sz w:val="24"/>
        </w:rPr>
        <w:t>A solução de previsão revelou os principais vetores que determinam a gravidade de um desastre no Brasil. A análise da importância das variáveis apontou o tipo de desastre como fator mais decisivo, com 28% da importância média, seguido da localização do município, com 22%, da população, com 18%, do produto interno bruto per capita, com 15%, e da cobertura de atenção básica em saúde, com 10%. Constata-se, assim, que a severidade não decorre apenas de fatores socioeconômicos, mas, de modo preponderante, da natureza e da localização do evento. Esse resultado dialoga diretamente com os achados da solução de reconstrução, ao confirmar, por uma via independente, o peso da localização e do tipo de desastre na determinação tanto dos danos quanto da demanda por recursos.</w:t>
      </w:r>
    </w:p>
    <w:p>
      <w:pPr>
        <w:spacing w:before="160" w:after="40" w:line="240" w:lineRule="auto"/>
        <w:ind w:firstLine="0"/>
      </w:pPr>
      <w:r>
        <w:rPr>
          <w:rFonts w:ascii="Times New Roman" w:hAnsi="Times New Roman" w:cs="Times New Roman"/>
          <w:b/>
          <w:i w:val="0"/>
          <w:sz w:val="22"/>
        </w:rPr>
        <w:t>Tabela 6 - Principais fatores preditivos da severidade dos desastres</w:t>
      </w:r>
    </w:p>
    <w:tbl>
      <w:tblPr>
        <w:tblStyle w:val="TableGrid"/>
        <w:tblW w:type="auto" w:w="0"/>
        <w:jc w:val="center"/>
        <w:tblLook w:firstColumn="1" w:firstRow="1" w:lastColumn="0" w:lastRow="0" w:noHBand="0" w:noVBand="1" w:val="04A0"/>
      </w:tblPr>
      <w:tblGrid>
        <w:gridCol w:w="4702"/>
        <w:gridCol w:w="4702"/>
      </w:tblGrid>
      <w:tr>
        <w:tc>
          <w:tcPr>
            <w:tcW w:type="dxa" w:w="4702"/>
          </w:tcPr>
          <w:p>
            <w:pPr>
              <w:spacing w:line="240" w:lineRule="auto"/>
              <w:ind w:firstLine="0"/>
              <w:jc w:val="center"/>
            </w:pPr>
            <w:r>
              <w:rPr>
                <w:rFonts w:ascii="Times New Roman" w:hAnsi="Times New Roman" w:cs="Times New Roman"/>
                <w:b/>
                <w:i w:val="0"/>
                <w:sz w:val="22"/>
              </w:rPr>
              <w:t>Fator preditivo</w:t>
            </w:r>
          </w:p>
        </w:tc>
        <w:tc>
          <w:tcPr>
            <w:tcW w:type="dxa" w:w="4702"/>
          </w:tcPr>
          <w:p>
            <w:pPr>
              <w:spacing w:line="240" w:lineRule="auto"/>
              <w:ind w:firstLine="0"/>
              <w:jc w:val="center"/>
            </w:pPr>
            <w:r>
              <w:rPr>
                <w:rFonts w:ascii="Times New Roman" w:hAnsi="Times New Roman" w:cs="Times New Roman"/>
                <w:b/>
                <w:i w:val="0"/>
                <w:sz w:val="22"/>
              </w:rPr>
              <w:t>Importância média</w:t>
            </w:r>
          </w:p>
        </w:tc>
      </w:tr>
      <w:tr>
        <w:tc>
          <w:tcPr>
            <w:tcW w:type="dxa" w:w="4702"/>
          </w:tcPr>
          <w:p>
            <w:pPr>
              <w:spacing w:line="240" w:lineRule="auto"/>
              <w:ind w:firstLine="0"/>
              <w:jc w:val="left"/>
            </w:pPr>
            <w:r>
              <w:rPr>
                <w:rFonts w:ascii="Times New Roman" w:hAnsi="Times New Roman" w:cs="Times New Roman"/>
                <w:b w:val="0"/>
                <w:i w:val="0"/>
                <w:sz w:val="22"/>
              </w:rPr>
              <w:t>Tipo de desastre</w:t>
            </w:r>
          </w:p>
        </w:tc>
        <w:tc>
          <w:tcPr>
            <w:tcW w:type="dxa" w:w="4702"/>
          </w:tcPr>
          <w:p>
            <w:pPr>
              <w:spacing w:line="240" w:lineRule="auto"/>
              <w:ind w:firstLine="0"/>
              <w:jc w:val="center"/>
            </w:pPr>
            <w:r>
              <w:rPr>
                <w:rFonts w:ascii="Times New Roman" w:hAnsi="Times New Roman" w:cs="Times New Roman"/>
                <w:b w:val="0"/>
                <w:i w:val="0"/>
                <w:sz w:val="22"/>
              </w:rPr>
              <w:t>28%</w:t>
            </w:r>
          </w:p>
        </w:tc>
      </w:tr>
      <w:tr>
        <w:tc>
          <w:tcPr>
            <w:tcW w:type="dxa" w:w="4702"/>
          </w:tcPr>
          <w:p>
            <w:pPr>
              <w:spacing w:line="240" w:lineRule="auto"/>
              <w:ind w:firstLine="0"/>
              <w:jc w:val="left"/>
            </w:pPr>
            <w:r>
              <w:rPr>
                <w:rFonts w:ascii="Times New Roman" w:hAnsi="Times New Roman" w:cs="Times New Roman"/>
                <w:b w:val="0"/>
                <w:i w:val="0"/>
                <w:sz w:val="22"/>
              </w:rPr>
              <w:t>Localização do município</w:t>
            </w:r>
          </w:p>
        </w:tc>
        <w:tc>
          <w:tcPr>
            <w:tcW w:type="dxa" w:w="4702"/>
          </w:tcPr>
          <w:p>
            <w:pPr>
              <w:spacing w:line="240" w:lineRule="auto"/>
              <w:ind w:firstLine="0"/>
              <w:jc w:val="center"/>
            </w:pPr>
            <w:r>
              <w:rPr>
                <w:rFonts w:ascii="Times New Roman" w:hAnsi="Times New Roman" w:cs="Times New Roman"/>
                <w:b w:val="0"/>
                <w:i w:val="0"/>
                <w:sz w:val="22"/>
              </w:rPr>
              <w:t>22%</w:t>
            </w:r>
          </w:p>
        </w:tc>
      </w:tr>
      <w:tr>
        <w:tc>
          <w:tcPr>
            <w:tcW w:type="dxa" w:w="4702"/>
          </w:tcPr>
          <w:p>
            <w:pPr>
              <w:spacing w:line="240" w:lineRule="auto"/>
              <w:ind w:firstLine="0"/>
              <w:jc w:val="left"/>
            </w:pPr>
            <w:r>
              <w:rPr>
                <w:rFonts w:ascii="Times New Roman" w:hAnsi="Times New Roman" w:cs="Times New Roman"/>
                <w:b w:val="0"/>
                <w:i w:val="0"/>
                <w:sz w:val="22"/>
              </w:rPr>
              <w:t>População do município</w:t>
            </w:r>
          </w:p>
        </w:tc>
        <w:tc>
          <w:tcPr>
            <w:tcW w:type="dxa" w:w="4702"/>
          </w:tcPr>
          <w:p>
            <w:pPr>
              <w:spacing w:line="240" w:lineRule="auto"/>
              <w:ind w:firstLine="0"/>
              <w:jc w:val="center"/>
            </w:pPr>
            <w:r>
              <w:rPr>
                <w:rFonts w:ascii="Times New Roman" w:hAnsi="Times New Roman" w:cs="Times New Roman"/>
                <w:b w:val="0"/>
                <w:i w:val="0"/>
                <w:sz w:val="22"/>
              </w:rPr>
              <w:t>18%</w:t>
            </w:r>
          </w:p>
        </w:tc>
      </w:tr>
      <w:tr>
        <w:tc>
          <w:tcPr>
            <w:tcW w:type="dxa" w:w="4702"/>
          </w:tcPr>
          <w:p>
            <w:pPr>
              <w:spacing w:line="240" w:lineRule="auto"/>
              <w:ind w:firstLine="0"/>
              <w:jc w:val="left"/>
            </w:pPr>
            <w:r>
              <w:rPr>
                <w:rFonts w:ascii="Times New Roman" w:hAnsi="Times New Roman" w:cs="Times New Roman"/>
                <w:b w:val="0"/>
                <w:i w:val="0"/>
                <w:sz w:val="22"/>
              </w:rPr>
              <w:t>PIB per capita</w:t>
            </w:r>
          </w:p>
        </w:tc>
        <w:tc>
          <w:tcPr>
            <w:tcW w:type="dxa" w:w="4702"/>
          </w:tcPr>
          <w:p>
            <w:pPr>
              <w:spacing w:line="240" w:lineRule="auto"/>
              <w:ind w:firstLine="0"/>
              <w:jc w:val="center"/>
            </w:pPr>
            <w:r>
              <w:rPr>
                <w:rFonts w:ascii="Times New Roman" w:hAnsi="Times New Roman" w:cs="Times New Roman"/>
                <w:b w:val="0"/>
                <w:i w:val="0"/>
                <w:sz w:val="22"/>
              </w:rPr>
              <w:t>15%</w:t>
            </w:r>
          </w:p>
        </w:tc>
      </w:tr>
      <w:tr>
        <w:tc>
          <w:tcPr>
            <w:tcW w:type="dxa" w:w="4702"/>
          </w:tcPr>
          <w:p>
            <w:pPr>
              <w:spacing w:line="240" w:lineRule="auto"/>
              <w:ind w:firstLine="0"/>
              <w:jc w:val="left"/>
            </w:pPr>
            <w:r>
              <w:rPr>
                <w:rFonts w:ascii="Times New Roman" w:hAnsi="Times New Roman" w:cs="Times New Roman"/>
                <w:b w:val="0"/>
                <w:i w:val="0"/>
                <w:sz w:val="22"/>
              </w:rPr>
              <w:t>Cobertura de atenção básica</w:t>
            </w:r>
          </w:p>
        </w:tc>
        <w:tc>
          <w:tcPr>
            <w:tcW w:type="dxa" w:w="4702"/>
          </w:tcPr>
          <w:p>
            <w:pPr>
              <w:spacing w:line="240" w:lineRule="auto"/>
              <w:ind w:firstLine="0"/>
              <w:jc w:val="center"/>
            </w:pPr>
            <w:r>
              <w:rPr>
                <w:rFonts w:ascii="Times New Roman" w:hAnsi="Times New Roman" w:cs="Times New Roman"/>
                <w:b w:val="0"/>
                <w:i w:val="0"/>
                <w:sz w:val="22"/>
              </w:rPr>
              <w:t>10%</w:t>
            </w:r>
          </w:p>
        </w:tc>
      </w:tr>
    </w:tbl>
    <w:p>
      <w:pPr>
        <w:spacing w:after="160" w:line="240" w:lineRule="auto"/>
        <w:ind w:firstLine="0"/>
      </w:pPr>
      <w:r>
        <w:rPr>
          <w:rFonts w:ascii="Times New Roman" w:hAnsi="Times New Roman" w:cs="Times New Roman"/>
          <w:b w:val="0"/>
          <w:i w:val="0"/>
          <w:sz w:val="20"/>
        </w:rPr>
        <w:t>Fonte: elaboração própria a partir da solução de previsão de severidade.</w:t>
      </w:r>
    </w:p>
    <w:p>
      <w:pPr>
        <w:spacing w:line="360" w:lineRule="auto" w:after="0" w:before="0"/>
        <w:ind w:firstLine="709"/>
        <w:jc w:val="both"/>
      </w:pPr>
      <w:r>
        <w:rPr>
          <w:rFonts w:ascii="Times New Roman" w:hAnsi="Times New Roman" w:cs="Times New Roman"/>
          <w:b w:val="0"/>
          <w:i w:val="0"/>
          <w:sz w:val="24"/>
        </w:rPr>
        <w:t>A aplicação prática dessa capacidade preditiva é direta. Ao antecipar a magnitude provável dos danos de um evento iminente, o instrumento permite que a defesa civil priorize recursos, que os gestores dimensionem orçamentos e que as ações de prevenção e preparação sejam direcionadas, com maior precisão, aos territórios e aos tipos de evento de maior risco. A disponibilização da solução em ambiente de demonstração de acesso público reforça a viabilidade de sua incorporação à rotina dos órgãos responsáveis e ilustra o caráter operacional, e não meramente exploratório, do conjunto do projeto.</w:t>
      </w:r>
    </w:p>
    <w:p>
      <w:pPr>
        <w:keepNext/>
        <w:spacing w:line="360" w:lineRule="auto" w:before="240" w:after="120"/>
        <w:ind w:firstLine="0"/>
        <w:jc w:val="left"/>
      </w:pPr>
      <w:r>
        <w:rPr>
          <w:rFonts w:ascii="Times New Roman" w:hAnsi="Times New Roman" w:cs="Times New Roman"/>
          <w:b/>
          <w:i w:val="0"/>
          <w:sz w:val="24"/>
        </w:rPr>
        <w:t>5 Discussão</w:t>
      </w:r>
    </w:p>
    <w:p>
      <w:pPr>
        <w:spacing w:line="360" w:lineRule="auto" w:after="0" w:before="0"/>
        <w:ind w:firstLine="709"/>
        <w:jc w:val="both"/>
      </w:pPr>
      <w:r>
        <w:rPr>
          <w:rFonts w:ascii="Times New Roman" w:hAnsi="Times New Roman" w:cs="Times New Roman"/>
          <w:b w:val="0"/>
          <w:i w:val="0"/>
          <w:sz w:val="24"/>
        </w:rPr>
        <w:t>Os resultados convergem para um argumento central: os indicadores formais de capacidade institucional, embora úteis, capturam apenas parcialmente o comportamento dos municípios diante dos desastres. O paradoxo da faixa D, segundo o qual os municípios de menor capacidade concentram a maior parcela dos recursos, pode ser interpretado à luz da produção social da vulnerabilidade (VALENCIO, 2009): a fragilidade institucional, frequentemente associada a infraestrutura precária e a baixa capacidade de prevenção, tende a amplificar os danos quando o evento adverso se materializa. Sob essa leitura, a maior demanda não decorre da capacidade em si, mas das vulnerabilidades que a baixa capacidade ajuda a perpetuar. Cabe reiterar, no entanto, que a elevada influência de valores extremos sobre a média recomenda prudência, pois parte do diferencial observado pode refletir casos atípicos, inclusive erros de registro, o que impõe que a interpretação do paradoxo seja sustentada pela análise conjunta da média e da mediana.</w:t>
      </w:r>
    </w:p>
    <w:p>
      <w:pPr>
        <w:spacing w:line="360" w:lineRule="auto" w:after="0" w:before="0"/>
        <w:ind w:firstLine="709"/>
        <w:jc w:val="both"/>
      </w:pPr>
      <w:r>
        <w:rPr>
          <w:rFonts w:ascii="Times New Roman" w:hAnsi="Times New Roman" w:cs="Times New Roman"/>
          <w:b w:val="0"/>
          <w:i w:val="0"/>
          <w:sz w:val="24"/>
        </w:rPr>
        <w:t>A constatação de que o grupo comportamental supera a faixa de capacidade na explicação tanto da segmentação quanto da aprovação dos processos tem implicações práticas relevantes. Verifica-se que a observação do comportamento efetivo, derivada de dados transacionais, oferece um substrato informacional mais aderente à realidade do que a classificação oficial isolada. Diante disso, a focalização de políticas de fortalecimento institucional e de mecanismos de monitoramento poderia beneficiar-se da combinação entre o indicador formal e a leitura comportamental, em vez de apoiar-se exclusivamente no primeiro. Essa combinação não significa abandonar o índice de capacidade, cuja função de síntese estrutural permanece válida, mas integrá-lo a uma camada adicional de informação que registra o comportamento concreto de cada município ao longo do tempo.</w:t>
      </w:r>
    </w:p>
    <w:p>
      <w:pPr>
        <w:spacing w:line="360" w:lineRule="auto" w:after="0" w:before="0"/>
        <w:ind w:firstLine="709"/>
        <w:jc w:val="both"/>
      </w:pPr>
      <w:r>
        <w:rPr>
          <w:rFonts w:ascii="Times New Roman" w:hAnsi="Times New Roman" w:cs="Times New Roman"/>
          <w:b w:val="0"/>
          <w:i w:val="0"/>
          <w:sz w:val="24"/>
        </w:rPr>
        <w:t>No que tange à auditoria, os resultados indicam que a triagem algorítmica é viável e potencialmente valiosa para o controle de gastos públicos. A identificação de 580 processos com valores acima do padrão esperado permite direcionar a atenção dos órgãos de controle a um subconjunto gerenciável de casos, em consonância com a lógica de complementaridade entre controle e capacidade seletiva de fiscalização (SPECK, 2002). Importa, contudo, delimitar o alcance dessa contribuição. O baixo coeficiente de determinação do modelo de valor evidencia que as estimativas comportam incerteza substancial, de modo que a sinalização deve ser tomada como hipótese a verificar, e não como veredito. A presença de casos como o de Nova Monte Verde, provável erro de digitação, ilustra que parcela dos alertas decorre de problemas de qualidade dos dados, e não de irregularidades substantivas, o que reforça a indispensabilidade do julgamento humano na etapa de verificação.</w:t>
      </w:r>
    </w:p>
    <w:p>
      <w:pPr>
        <w:spacing w:line="360" w:lineRule="auto" w:after="0" w:before="0"/>
        <w:ind w:firstLine="709"/>
        <w:jc w:val="both"/>
      </w:pPr>
      <w:r>
        <w:rPr>
          <w:rFonts w:ascii="Times New Roman" w:hAnsi="Times New Roman" w:cs="Times New Roman"/>
          <w:b w:val="0"/>
          <w:i w:val="0"/>
          <w:sz w:val="24"/>
        </w:rPr>
        <w:t>Há, ademais, uma dimensão ética e institucional a considerar na adoção de ferramentas automatizadas no setor público. A sinalização de um processo como atípico pode produzir efeitos reputacionais sobre gestores e municípios, ainda que a verificação posterior conclua pela regularidade do pedido. Por essa razão, a incorporação de tais instrumentos exige protocolos que assegurem o contraditório, a transparência dos critérios e a reserva da decisão final ao agente público competente. A interpretabilidade das técnicas escolhidas neste estudo, ao permitir que se explicitem os fatores associados a cada sinalização, contribui para essa exigência, mas não a esgota, pois a legitimidade do uso de algoritmos na administração depende também de arranjos institucionais que disciplinem sua aplicação.</w:t>
      </w:r>
    </w:p>
    <w:p>
      <w:pPr>
        <w:spacing w:line="360" w:lineRule="auto" w:after="0" w:before="0"/>
        <w:ind w:firstLine="709"/>
        <w:jc w:val="both"/>
      </w:pPr>
      <w:r>
        <w:rPr>
          <w:rFonts w:ascii="Times New Roman" w:hAnsi="Times New Roman" w:cs="Times New Roman"/>
          <w:b w:val="0"/>
          <w:i w:val="0"/>
          <w:sz w:val="24"/>
        </w:rPr>
        <w:t>Dessa maneira, o estudo apresenta limitações que circunscrevem suas conclusões. A natureza secundária e administrativa dos dados implica dependência da qualidade do registro original, e a ausência de variáveis sobre a severidade física dos eventos restringe a capacidade de isolar o efeito da vulnerabilidade. Ademais, a definição binária da variável de aprovação simplifica a diversidade de situações processuais, e a exclusão dos processos em análise pode introduzir viés de seleção. O baixo poder explicativo do modelo de valor, por fim, recomenda cautela na sua utilização para fins distintos da triagem. Essas ressalvas não invalidam os achados, mas delimitam o terreno em que são válidos e indicam a necessidade de cautela na sua tradução para decisões de política.</w:t>
      </w:r>
    </w:p>
    <w:p>
      <w:pPr>
        <w:spacing w:line="360" w:lineRule="auto" w:after="0" w:before="0"/>
        <w:ind w:firstLine="709"/>
        <w:jc w:val="both"/>
      </w:pPr>
      <w:r>
        <w:rPr>
          <w:rFonts w:ascii="Times New Roman" w:hAnsi="Times New Roman" w:cs="Times New Roman"/>
          <w:b w:val="0"/>
          <w:i w:val="0"/>
          <w:sz w:val="24"/>
        </w:rPr>
        <w:t>A articulação entre as duas soluções configura um ecossistema que percorre o ciclo completo de gestão de riscos. O motor de previsão atua a montante, nas fases de prevenção, mitigação e preparação, ao antecipar a severidade dos eventos e informar a alocação prévia de recursos; o sistema de inteligência da reconstrução atua a jusante, na fase de recuperação, ao otimizar a destinação das verbas e auditar os processos. Tomadas em conjunto, as ferramentas deslocam a gestão de desastres de um modelo predominantemente reativo, centrado na resposta ao evento já ocorrido, para um modelo proativo, fundado na antecipação e no uso contínuo da informação. Esse deslocamento, contudo, não se realiza apenas pela disponibilidade técnica dos instrumentos, mas depende de sua integração aos arranjos institucionais e às rotinas decisórias dos órgãos competentes, sem a qual a inteligência de dados permanece como potencial não realizado.</w:t>
      </w:r>
    </w:p>
    <w:p>
      <w:pPr>
        <w:keepNext/>
        <w:spacing w:line="360" w:lineRule="auto" w:before="240" w:after="120"/>
        <w:ind w:firstLine="0"/>
        <w:jc w:val="left"/>
      </w:pPr>
      <w:r>
        <w:rPr>
          <w:rFonts w:ascii="Times New Roman" w:hAnsi="Times New Roman" w:cs="Times New Roman"/>
          <w:b/>
          <w:i w:val="0"/>
          <w:sz w:val="24"/>
        </w:rPr>
        <w:t>6 Considerações finais</w:t>
      </w:r>
    </w:p>
    <w:p>
      <w:pPr>
        <w:spacing w:line="360" w:lineRule="auto" w:after="0" w:before="0"/>
        <w:ind w:firstLine="709"/>
        <w:jc w:val="both"/>
      </w:pPr>
      <w:r>
        <w:rPr>
          <w:rFonts w:ascii="Times New Roman" w:hAnsi="Times New Roman" w:cs="Times New Roman"/>
          <w:b w:val="0"/>
          <w:i w:val="0"/>
          <w:sz w:val="24"/>
        </w:rPr>
        <w:t>Este artigo analisou a relação entre a capacidade institucional municipal e o comportamento de demanda por recursos de reconstrução pós-desastre, além de avaliar a viabilidade de auditoria automatizada desses gastos, a partir de 6.385 processos registrados entre 2017 e 2025. Os resultados evidenciaram que municípios de baixa capacidade concentram a maior parcela dos recursos e exibem valor médio quase três vezes superior ao dos municípios de alta capacidade, ainda que esse diferencial seja fortemente moldado por casos extremos. Demonstrou-se, ademais, que o comportamento efetivo de demanda é mais informativo que o rótulo oficial de capacidade, tanto na segmentação dos municípios quanto na explicação da aprovação dos processos, e que um modelo de triagem foi capaz de sinalizar 580 processos com valores potencialmente superdimensionados.</w:t>
      </w:r>
    </w:p>
    <w:p>
      <w:pPr>
        <w:spacing w:line="360" w:lineRule="auto" w:after="0" w:before="0"/>
        <w:ind w:firstLine="709"/>
        <w:jc w:val="both"/>
      </w:pPr>
      <w:r>
        <w:rPr>
          <w:rFonts w:ascii="Times New Roman" w:hAnsi="Times New Roman" w:cs="Times New Roman"/>
          <w:b w:val="0"/>
          <w:i w:val="0"/>
          <w:sz w:val="24"/>
        </w:rPr>
        <w:t>A principal contribuição do trabalho reside em articular um diagnóstico empírico sobre a desigualdade de capacidades a uma proposta instrumental de governança, fundada em técnicas de aprendizado de máquina concebidas como apoio, e não como substituto, do julgamento técnico. A triagem automatizada de valores mostrou-se capaz de priorizar um subconjunto gerenciável de processos para auditoria, contribuindo para o uso eficiente dos recursos de fiscalização, ao passo que a segmentação comportamental ofereceu um mapa mais detalhado da demanda do que a classificação por faixas. Reconhece-se, todavia, que a incerteza das estimativas e os problemas de qualidade dos dados impõem limites a essa aplicação, que deve ser compreendida no quadro de uma governança que preserve o contraditório e a decisão humana.</w:t>
      </w:r>
    </w:p>
    <w:p>
      <w:pPr>
        <w:spacing w:line="360" w:lineRule="auto" w:after="0" w:before="0"/>
        <w:ind w:firstLine="709"/>
        <w:jc w:val="both"/>
      </w:pPr>
      <w:r>
        <w:rPr>
          <w:rFonts w:ascii="Times New Roman" w:hAnsi="Times New Roman" w:cs="Times New Roman"/>
          <w:b w:val="0"/>
          <w:i w:val="0"/>
          <w:sz w:val="24"/>
        </w:rPr>
        <w:t>Para além das contribuições analíticas, o estudo sugere implicações para o desenho da política de reconstrução. A constatação de que os recursos se concentram em municípios de menor capacidade, combinada à evidência de recorrência territorial dos eventos, indica que a eficácia da política depende de sua articulação a medidas de fortalecimento institucional e de prevenção de riscos. Transferir volumes elevados a entes com baixa capacidade de execução, sem investir simultaneamente na construção dessa capacidade, tende a reproduzir o ciclo de vulnerabilidade que a política pretende romper. Nesse sentido, os instrumentos analíticos aqui propostos podem servir não apenas ao controle dos gastos, mas também à identificação dos territórios e dos perfis municipais que mais se beneficiariam de estratégias estruturais, deslocando o foco da resposta reativa para a gestão antecipada do risco.</w:t>
      </w:r>
    </w:p>
    <w:p>
      <w:pPr>
        <w:spacing w:line="360" w:lineRule="auto" w:after="0" w:before="0"/>
        <w:ind w:firstLine="709"/>
        <w:jc w:val="both"/>
      </w:pPr>
      <w:r>
        <w:rPr>
          <w:rFonts w:ascii="Times New Roman" w:hAnsi="Times New Roman" w:cs="Times New Roman"/>
          <w:b w:val="0"/>
          <w:i w:val="0"/>
          <w:sz w:val="24"/>
        </w:rPr>
        <w:t>Como agenda futura, recomenda-se a incorporação de variáveis sobre a severidade física dos eventos e sobre as condições socioeconômicas dos municípios, capazes de qualificar a interpretação do paradoxo da capacidade; o aprimoramento dos modelos preditivos mediante a inclusão de novas fontes de dados; e o desenvolvimento e a validação, em ambiente real, do simulador de alertas, de modo a avaliar sua utilidade efetiva para os gestores. Seria igualmente proveitoso investigar, por meio de estudos qualitativos, os casos sinalizados como atípicos, a fim de discriminar entre erros de registro, situações excepcionais legítimas e eventuais irregularidades. Tais desdobramentos poderiam consolidar a integração entre evidência empírica e instrumentos de gestão no campo das políticas de reconstrução pós-desastre, contribuindo para que o aumento da capacidade analítica do Estado se converta em maior efetividade e transparência na aplicação dos recursos públicos.</w:t>
      </w:r>
    </w:p>
    <w:p>
      <w:pPr>
        <w:keepNext/>
        <w:spacing w:line="360" w:lineRule="auto" w:before="240" w:after="120"/>
        <w:ind w:firstLine="0"/>
        <w:jc w:val="left"/>
      </w:pPr>
      <w:r>
        <w:rPr>
          <w:rFonts w:ascii="Times New Roman" w:hAnsi="Times New Roman" w:cs="Times New Roman"/>
          <w:b/>
          <w:i w:val="0"/>
          <w:sz w:val="24"/>
        </w:rPr>
        <w:t>Referências</w:t>
      </w:r>
    </w:p>
    <w:p>
      <w:pPr>
        <w:spacing w:line="240" w:lineRule="auto" w:after="120"/>
        <w:ind w:firstLine="0"/>
        <w:jc w:val="both"/>
      </w:pPr>
      <w:r>
        <w:rPr>
          <w:rFonts w:ascii="Times New Roman" w:hAnsi="Times New Roman" w:cs="Times New Roman"/>
          <w:b w:val="0"/>
          <w:i w:val="0"/>
          <w:sz w:val="24"/>
        </w:rPr>
        <w:t>ABRUCIO, Fernando Luiz. A coordenação federativa no Brasil: a experiência do período FHC e os desafios do governo Lula. Revista de Sociologia e Política, Curitiba, n. 24, p. 41-67, 2005.</w:t>
      </w:r>
    </w:p>
    <w:p>
      <w:pPr>
        <w:spacing w:line="240" w:lineRule="auto" w:after="120"/>
        <w:ind w:firstLine="0"/>
        <w:jc w:val="both"/>
      </w:pPr>
      <w:r>
        <w:rPr>
          <w:rFonts w:ascii="Times New Roman" w:hAnsi="Times New Roman" w:cs="Times New Roman"/>
          <w:b w:val="0"/>
          <w:i w:val="0"/>
          <w:sz w:val="24"/>
        </w:rPr>
        <w:t>BRASIL. Lei nº 12.608, de 10 de abril de 2012. Institui a Política Nacional de Proteção e Defesa Civil. Brasília, DF: Presidência da República, 2012.</w:t>
      </w:r>
    </w:p>
    <w:p>
      <w:pPr>
        <w:spacing w:line="240" w:lineRule="auto" w:after="120"/>
        <w:ind w:firstLine="0"/>
        <w:jc w:val="both"/>
      </w:pPr>
      <w:r>
        <w:rPr>
          <w:rFonts w:ascii="Times New Roman" w:hAnsi="Times New Roman" w:cs="Times New Roman"/>
          <w:b w:val="0"/>
          <w:i w:val="0"/>
          <w:sz w:val="24"/>
        </w:rPr>
        <w:t>BRASIL. Ministério da Integração e Desenvolvimento Regional. Secretaria Nacional de Proteção e Defesa Civil. Relatório gerencial de reconstrução: acompanhamento de processos, 2017-2025. Brasília, DF: MIDR, 2025.</w:t>
      </w:r>
    </w:p>
    <w:p>
      <w:pPr>
        <w:spacing w:line="240" w:lineRule="auto" w:after="120"/>
        <w:ind w:firstLine="0"/>
        <w:jc w:val="both"/>
      </w:pPr>
      <w:r>
        <w:rPr>
          <w:rFonts w:ascii="Times New Roman" w:hAnsi="Times New Roman" w:cs="Times New Roman"/>
          <w:b w:val="0"/>
          <w:i w:val="0"/>
          <w:sz w:val="24"/>
        </w:rPr>
        <w:t>BRASIL. Ministério do Meio Ambiente. Plano Nacional de Adaptação à Mudança do Clima: estratégia setorial de gestão de risco de desastres. Brasília, DF: MMA, 2016. Disponível em: https://www.gov.br/mma/pt-br/assuntos/mudanca-do-clima/clima/repositorio/pna_estrategia_de_gestao_de_risco_de_desastres.pdf. Acesso em: 23 jun. 2026.</w:t>
      </w:r>
    </w:p>
    <w:p>
      <w:pPr>
        <w:spacing w:line="240" w:lineRule="auto" w:after="120"/>
        <w:ind w:firstLine="0"/>
        <w:jc w:val="both"/>
      </w:pPr>
      <w:r>
        <w:rPr>
          <w:rFonts w:ascii="Times New Roman" w:hAnsi="Times New Roman" w:cs="Times New Roman"/>
          <w:b w:val="0"/>
          <w:i w:val="0"/>
          <w:sz w:val="24"/>
        </w:rPr>
        <w:t>BRASIL. Ministério da Saúde. DATASUS: informações de saúde — cobertura da atenção básica. Brasília, DF: Ministério da Saúde, 2024. Disponível em: https://datasus.saude.gov.br. Acesso em: 23 jun. 2026.</w:t>
      </w:r>
    </w:p>
    <w:p>
      <w:pPr>
        <w:spacing w:line="240" w:lineRule="auto" w:after="120"/>
        <w:ind w:firstLine="0"/>
        <w:jc w:val="both"/>
      </w:pPr>
      <w:r>
        <w:rPr>
          <w:rFonts w:ascii="Times New Roman" w:hAnsi="Times New Roman" w:cs="Times New Roman"/>
          <w:b w:val="0"/>
          <w:i w:val="0"/>
          <w:sz w:val="24"/>
        </w:rPr>
        <w:t>BREIMAN, Leo. Random forests. Machine Learning, v. 45, n. 1, p. 5-32, 2001.</w:t>
      </w:r>
    </w:p>
    <w:p>
      <w:pPr>
        <w:spacing w:line="240" w:lineRule="auto" w:after="120"/>
        <w:ind w:firstLine="0"/>
        <w:jc w:val="both"/>
      </w:pPr>
      <w:r>
        <w:rPr>
          <w:rFonts w:ascii="Times New Roman" w:hAnsi="Times New Roman" w:cs="Times New Roman"/>
          <w:b w:val="0"/>
          <w:i w:val="0"/>
          <w:sz w:val="24"/>
        </w:rPr>
        <w:t>CENTRO UNIVERSITÁRIO DE ESTUDOS E PESQUISAS SOBRE DESASTRES (CEPED/UFSC). Atlas digital de desastres no Brasil. Florianópolis: CEPED/UFSC, 2023. Disponível em: https://atlasdigital.mdr.gov.br. Acesso em: 23 jun. 2026.</w:t>
      </w:r>
    </w:p>
    <w:p>
      <w:pPr>
        <w:spacing w:line="240" w:lineRule="auto" w:after="120"/>
        <w:ind w:firstLine="0"/>
        <w:jc w:val="both"/>
      </w:pPr>
      <w:r>
        <w:rPr>
          <w:rFonts w:ascii="Times New Roman" w:hAnsi="Times New Roman" w:cs="Times New Roman"/>
          <w:b w:val="0"/>
          <w:i w:val="0"/>
          <w:sz w:val="24"/>
        </w:rPr>
        <w:t>CONFEDERAÇÃO NACIONAL DE MUNICÍPIOS (CNM). Panorama dos desastres no Brasil: 2013 a 2024. Brasília, DF: CNM, 2025. (Estudo Técnico, n. 05/2025). Disponível em: https://cnm.org.br/storage/biblioteca/2025/Estudos_Tecnicos/ET_DEFCIVIVL_05-2025_Panorama_dos_Desastres_no_Brasil_2013_a_2024.pdf. Acesso em: 23 jun. 2026.</w:t>
      </w:r>
    </w:p>
    <w:p>
      <w:pPr>
        <w:spacing w:line="240" w:lineRule="auto" w:after="120"/>
        <w:ind w:firstLine="0"/>
        <w:jc w:val="both"/>
      </w:pPr>
      <w:r>
        <w:rPr>
          <w:rFonts w:ascii="Times New Roman" w:hAnsi="Times New Roman" w:cs="Times New Roman"/>
          <w:b w:val="0"/>
          <w:i w:val="0"/>
          <w:sz w:val="24"/>
        </w:rPr>
        <w:t>EQUIPE 5 - INFRAESTRUTURA. Modelo preditivo de severidade de desastres para a defesa civil: aplicação de demonstração. [S. l.], 2025. Disponível em: https://github.com/fabiokp/defesa_civil_deploy. Acesso em: 23 jun. 2026.</w:t>
      </w:r>
    </w:p>
    <w:p>
      <w:pPr>
        <w:spacing w:line="240" w:lineRule="auto" w:after="120"/>
        <w:ind w:firstLine="0"/>
        <w:jc w:val="both"/>
      </w:pPr>
      <w:r>
        <w:rPr>
          <w:rFonts w:ascii="Times New Roman" w:hAnsi="Times New Roman" w:cs="Times New Roman"/>
          <w:b w:val="0"/>
          <w:i w:val="0"/>
          <w:sz w:val="24"/>
        </w:rPr>
        <w:t>FRIEDMAN, Jerome H. Greedy function approximation: a gradient boosting machine. The Annals of Statistics, v. 29, n. 5, p. 1189-1232, 2001.</w:t>
      </w:r>
    </w:p>
    <w:p>
      <w:pPr>
        <w:spacing w:line="240" w:lineRule="auto" w:after="120"/>
        <w:ind w:firstLine="0"/>
        <w:jc w:val="both"/>
      </w:pPr>
      <w:r>
        <w:rPr>
          <w:rFonts w:ascii="Times New Roman" w:hAnsi="Times New Roman" w:cs="Times New Roman"/>
          <w:b w:val="0"/>
          <w:i w:val="0"/>
          <w:sz w:val="24"/>
        </w:rPr>
        <w:t>GRIN, Eduardo José; ABRUCIO, Fernando Luiz. Quão distantes estamos de um sistema municipal de capacidades estatais no Brasil? Revista de Administração Pública, Rio de Janeiro, v. 52, n. 4, p. 691-712, 2018.</w:t>
      </w:r>
    </w:p>
    <w:p>
      <w:pPr>
        <w:spacing w:line="240" w:lineRule="auto" w:after="120"/>
        <w:ind w:firstLine="0"/>
        <w:jc w:val="both"/>
      </w:pPr>
      <w:r>
        <w:rPr>
          <w:rFonts w:ascii="Times New Roman" w:hAnsi="Times New Roman" w:cs="Times New Roman"/>
          <w:b w:val="0"/>
          <w:i w:val="0"/>
          <w:sz w:val="24"/>
        </w:rPr>
        <w:t>INSTITUTO BRASILEIRO DE GEOGRAFIA E ESTATÍSTICA (IBGE). Regiões de influência das cidades: 2018. Rio de Janeiro: IBGE, 2020.</w:t>
      </w:r>
    </w:p>
    <w:p>
      <w:pPr>
        <w:spacing w:line="240" w:lineRule="auto" w:after="120"/>
        <w:ind w:firstLine="0"/>
        <w:jc w:val="both"/>
      </w:pPr>
      <w:r>
        <w:rPr>
          <w:rFonts w:ascii="Times New Roman" w:hAnsi="Times New Roman" w:cs="Times New Roman"/>
          <w:b w:val="0"/>
          <w:i w:val="0"/>
          <w:sz w:val="24"/>
        </w:rPr>
        <w:t>INSTITUTO BRASILEIRO DE GEOGRAFIA E ESTATÍSTICA (IBGE). Produto interno bruto dos municípios: 2021. Rio de Janeiro: IBGE, 2023. Disponível em: https://www.ibge.gov.br/estatisticas/economicas/contas-nacionais/9088-produto-interno-bruto-dos-municipios.html. Acesso em: 23 jun. 2026.</w:t>
      </w:r>
    </w:p>
    <w:p>
      <w:pPr>
        <w:spacing w:line="240" w:lineRule="auto" w:after="120"/>
        <w:ind w:firstLine="0"/>
        <w:jc w:val="both"/>
      </w:pPr>
      <w:r>
        <w:rPr>
          <w:rFonts w:ascii="Times New Roman" w:hAnsi="Times New Roman" w:cs="Times New Roman"/>
          <w:b w:val="0"/>
          <w:i w:val="0"/>
          <w:sz w:val="24"/>
        </w:rPr>
        <w:t>KOENKER, Roger; BASSETT JR., Gilbert. Regression quantiles. Econometrica, v. 46, n. 1, p. 33-50, 1978.</w:t>
      </w:r>
    </w:p>
    <w:p>
      <w:pPr>
        <w:spacing w:line="240" w:lineRule="auto" w:after="120"/>
        <w:ind w:firstLine="0"/>
        <w:jc w:val="both"/>
      </w:pPr>
      <w:r>
        <w:rPr>
          <w:rFonts w:ascii="Times New Roman" w:hAnsi="Times New Roman" w:cs="Times New Roman"/>
          <w:b w:val="0"/>
          <w:i w:val="0"/>
          <w:sz w:val="24"/>
        </w:rPr>
        <w:t>LIU, Fei Tony; TING, Kai Ming; ZHOU, Zhi-Hua. Isolation forest. In: IEEE International Conference on Data Mining, 8., 2008. Proceedings. Pisa: IEEE, 2008. p. 413-422.</w:t>
      </w:r>
    </w:p>
    <w:p>
      <w:pPr>
        <w:spacing w:line="240" w:lineRule="auto" w:after="120"/>
        <w:ind w:firstLine="0"/>
        <w:jc w:val="both"/>
      </w:pPr>
      <w:r>
        <w:rPr>
          <w:rFonts w:ascii="Times New Roman" w:hAnsi="Times New Roman" w:cs="Times New Roman"/>
          <w:b w:val="0"/>
          <w:i w:val="0"/>
          <w:sz w:val="24"/>
        </w:rPr>
        <w:t>MACQUEEN, James. Some methods for classification and analysis of multivariate observations. In: Berkeley Symposium on Mathematical Statistics and Probability, 5., 1967. Proceedings. Berkeley: University of California Press, 1967. p. 281-297.</w:t>
      </w:r>
    </w:p>
    <w:p>
      <w:pPr>
        <w:spacing w:line="240" w:lineRule="auto" w:after="120"/>
        <w:ind w:firstLine="0"/>
        <w:jc w:val="both"/>
      </w:pPr>
      <w:r>
        <w:rPr>
          <w:rFonts w:ascii="Times New Roman" w:hAnsi="Times New Roman" w:cs="Times New Roman"/>
          <w:b w:val="0"/>
          <w:i w:val="0"/>
          <w:sz w:val="24"/>
        </w:rPr>
        <w:t>MARENCO, André; STROHSCHOEN, Maria Tereza Blanco; JONER, William. Capacidade estatal, burocracia e tributação nos municípios brasileiros. Revista de Sociologia e Política, Curitiba, v. 25, n. 64, p. 3-21, 2017.</w:t>
      </w:r>
    </w:p>
    <w:p>
      <w:pPr>
        <w:spacing w:line="240" w:lineRule="auto" w:after="120"/>
        <w:ind w:firstLine="0"/>
        <w:jc w:val="both"/>
      </w:pPr>
      <w:r>
        <w:rPr>
          <w:rFonts w:ascii="Times New Roman" w:hAnsi="Times New Roman" w:cs="Times New Roman"/>
          <w:b w:val="0"/>
          <w:i w:val="0"/>
          <w:sz w:val="24"/>
        </w:rPr>
        <w:t>SPECK, Bruno Wilhelm (org.). Caminhos da transparência: análise dos componentes de um sistema nacional de integridade. Campinas: Editora da Unicamp, 2002.</w:t>
      </w:r>
    </w:p>
    <w:p>
      <w:pPr>
        <w:spacing w:line="240" w:lineRule="auto" w:after="120"/>
        <w:ind w:firstLine="0"/>
        <w:jc w:val="both"/>
      </w:pPr>
      <w:r>
        <w:rPr>
          <w:rFonts w:ascii="Times New Roman" w:hAnsi="Times New Roman" w:cs="Times New Roman"/>
          <w:b w:val="0"/>
          <w:i w:val="0"/>
          <w:sz w:val="24"/>
        </w:rPr>
        <w:t>VALENCIO, Norma (org.). Sociologia dos desastres: construção, interfaces e perspectivas no Brasil. São Carlos: RiMa Editora, 2009.</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r>
        <w:rPr>
          <w:vertAlign w:val="superscript"/>
          <w:rFonts w:ascii="Times New Roman" w:hAnsi="Times New Roman"/>
        </w:rPr>
        <w:footnoteRef/>
      </w:r>
      <w:r>
        <w:rPr>
          <w:rFonts w:ascii="Times New Roman" w:hAnsi="Times New Roman"/>
          <w:sz w:val="20"/>
        </w:rPr>
        <w:t xml:space="preserve"> Repositório do projeto disponível em: https://github.com/tadeugomes/enap-encontro-infra.</w:t>
      </w:r>
    </w:p>
  </w:footnote>
  <w:footnote w:id="2">
    <w:p>
      <w:r>
        <w:rPr>
          <w:vertAlign w:val="superscript"/>
          <w:rFonts w:ascii="Times New Roman" w:hAnsi="Times New Roman"/>
        </w:rPr>
        <w:footnoteRef/>
      </w:r>
      <w:r>
        <w:rPr>
          <w:rFonts w:ascii="Times New Roman" w:hAnsi="Times New Roman"/>
          <w:sz w:val="20"/>
        </w:rPr>
        <w:t xml:space="preserve"> Aplicação de demonstração do modelo preditivo de severidade disponível em: https://github.com/fabiokp/defesa_civil_deploy.</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