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objetivo deste artigo é relatar um projeto de inteligência de dados, desenvolvido no âmbito da ENAP, que articula duas soluções complementares: um motor de previsão da severidade dos desastres</w:t>
      </w:r>
      <w:r>
        <w:rPr>
          <w:vertAlign w:val="superscript"/>
        </w:rPr>
        <w:footnoteReference w:id="2"/>
      </w:r>
      <w:r>
        <w:rPr>
          <w:rFonts w:ascii="Times New Roman" w:hAnsi="Times New Roman" w:cs="Times New Roman"/>
          <w:b w:val="0"/>
          <w:i w:val="0"/>
          <w:sz w:val="24"/>
        </w:rPr>
        <w:t xml:space="preserve"> e um sistema de inteligência para a reconstrução, voltado à alocação de recursos e à auditoria de gastos. A metodologia mobiliza técnicas de aprendizado de máquina (classificação, agrupamento, regressão quantílica e detecção de anomalias), aplicadas a registros oficiais, entre os quais 6.385 processos de reconstrução (2017-2025), que somam R$ 27,68 bilhões. Os resultados indicam que o tipo de desastre e a localização são os principais preditores de severidade;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registros analisados neste estudo somam 6.385 processos de reconstrução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Cabe esclarecer que esses objetivos integram um projeto mais amplo, desenvolvido no âmbito do Laboratório de Políticas Públicas Sociais da ENAP, que articula duas soluções complementares de inteligência de dados. A primeira, um motor de previsão da severidade dos desastres, atua nas fases de prevenção e preparação, ao antecipar a magnitude provável dos danos de um novo evento. A segunda, um sistema de inteligência para a reconstrução, atua na fase de recuperação, ao otimizar a alocação de recursos e auditar os gastos. Embora o eixo central deste artigo seja a segunda solução, a primeira é igualmente apresentada, por compor, com ela, um ecossistema integrado que percorre o ciclo de gestão de riscos estabelecido pela Política Nacional de Proteção e Defesa Civil.</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de acompanhamento de processos de reconstrução,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5.445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com as versões das bibliotecas fixadas, o que permite a verificação independente dos números aqui reportados. Os resultados das cinco fases foram auditados por reexecução dos modelos e reproduzidos de forma exata no ambiente especificado. Registre-se que a regressão quantílica da quarta fase é sensível à versão da biblioteca, uma vez que o comportamento do algoritmo de gradient boosting com perda quantílica se altera a partir da versão 1.9 do scikit-learn; por essa razão, o ambiente de referência foi fixado em versão anterior, na qual a contagem de processos sinalizados reproduz exatamente a aqui reportada.</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