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ind w:firstLine="0"/>
        <w:jc w:val="center"/>
      </w:pPr>
      <w:r>
        <w:rPr>
          <w:rFonts w:ascii="Times New Roman" w:hAnsi="Times New Roman" w:cs="Times New Roman"/>
          <w:b/>
          <w:i w:val="0"/>
          <w:sz w:val="24"/>
        </w:rPr>
        <w:t>INTELIGÊNCIA ARTIFICIAL NA GESTÃO DE RECURSOS DE RECONSTRUÇÃO PÓS-DESASTRE: CAPACIDADE MUNICIPAL, COMPORTAMENTO DE DEMANDA E AUDITORIA AUTOMATIZADA DE GASTOS PÚBLICOS NO BRASIL (2017-2025)</w:t>
      </w:r>
      <w:r>
        <w:rPr>
          <w:vertAlign w:val="superscript"/>
        </w:rPr>
        <w:footnoteReference w:id="1"/>
      </w:r>
    </w:p>
    <w:p>
      <w:pPr>
        <w:spacing w:line="360" w:lineRule="auto" w:after="120" w:before="0"/>
        <w:ind w:firstLine="0"/>
        <w:jc w:val="center"/>
      </w:pPr>
      <w:r>
        <w:rPr>
          <w:rFonts w:ascii="Times New Roman" w:hAnsi="Times New Roman" w:cs="Times New Roman"/>
          <w:b/>
          <w:i w:val="0"/>
          <w:sz w:val="22"/>
        </w:rPr>
        <w:t>Inteligencia artificial en la gestión de recursos de reconstrucción posdesastre: capacidad municipal, comportamiento de la demanda y auditoría automatizada del gasto público en Brasil (2017-2025)</w:t>
      </w:r>
    </w:p>
    <w:p>
      <w:pPr>
        <w:spacing w:line="360" w:lineRule="auto" w:after="240" w:before="0"/>
        <w:ind w:firstLine="0"/>
        <w:jc w:val="center"/>
      </w:pPr>
      <w:r>
        <w:rPr>
          <w:rFonts w:ascii="Times New Roman" w:hAnsi="Times New Roman" w:cs="Times New Roman"/>
          <w:b/>
          <w:i w:val="0"/>
          <w:sz w:val="22"/>
        </w:rPr>
        <w:t>Artificial intelligence in the management of post-disaster reconstruction resources: municipal capacity, demand behavior, and automated auditing of public spending in Brazil (2017-2025)</w:t>
      </w:r>
    </w:p>
    <w:p>
      <w:pPr>
        <w:spacing w:line="360" w:lineRule="auto" w:after="240" w:before="0"/>
        <w:ind w:firstLine="0"/>
        <w:jc w:val="center"/>
      </w:pPr>
      <w:r>
        <w:rPr>
          <w:rFonts w:ascii="Times New Roman" w:hAnsi="Times New Roman" w:cs="Times New Roman"/>
          <w:b w:val="0"/>
          <w:i/>
          <w:sz w:val="22"/>
        </w:rPr>
        <w:t>[Identificação de autoria omitida para avaliação cega]</w:t>
      </w:r>
    </w:p>
    <w:p>
      <w:pPr>
        <w:keepNext/>
        <w:spacing w:line="360" w:lineRule="auto" w:before="240" w:after="120"/>
        <w:ind w:firstLine="0"/>
        <w:jc w:val="left"/>
      </w:pPr>
      <w:r>
        <w:rPr>
          <w:rFonts w:ascii="Times New Roman" w:hAnsi="Times New Roman" w:cs="Times New Roman"/>
          <w:b/>
          <w:i w:val="0"/>
          <w:sz w:val="24"/>
        </w:rPr>
        <w:t>Resumo</w:t>
      </w:r>
    </w:p>
    <w:p>
      <w:pPr>
        <w:spacing w:line="360" w:lineRule="auto" w:after="0" w:before="0"/>
        <w:ind w:firstLine="0"/>
        <w:jc w:val="both"/>
      </w:pPr>
      <w:r>
        <w:rPr>
          <w:rFonts w:ascii="Times New Roman" w:hAnsi="Times New Roman" w:cs="Times New Roman"/>
          <w:b w:val="0"/>
          <w:i w:val="0"/>
          <w:sz w:val="24"/>
        </w:rPr>
        <w:t>Entre 2013 e 2024, os desastres provocaram cerca de R$ 732 bilhões em prejuízos no Brasil e atingiram 95% dos municípios, em um contexto de marcada heterogeneidade de capacidades estatais subnacionais. O artigo investiga por que municípios de menor capacidade institucional demandam mais recursos de reconstrução, se o comportamento efetivo de demanda supera o rótulo oficial de capacidade na explicação das decisões e em que medida técnicas de aprendizado de máquina permitem estimar valores de referência e sinalizar gastos atípicos. A metodologia mobiliza classificação, agrupamento, regressão quantílica e detecção de anomalias, aplicadas a 6.385 processos de reconstrução registrados entre 2017 e 2025 (BRASIL, 2017-2025), que somam R$ 27,68 bilhões. Os resultados indicam que municípios de baixa capacidade concentram 51% dos recursos e demandam valor médio 2,94 vezes superior ao dos de alta capacidade; que o comportamento real de demanda supera o rótulo oficial de capacidade; e que um modelo de triagem identificou 580 processos com valores potencialmente superdimensionados, evidenciando o potencial e os limites da auditoria algorítmica no setor público. Como solução complementar, disponibiliza-se um motor de previsão da severidade dos desastres</w:t>
      </w:r>
      <w:r>
        <w:rPr>
          <w:vertAlign w:val="superscript"/>
        </w:rPr>
        <w:footnoteReference w:id="2"/>
      </w:r>
      <w:r>
        <w:rPr>
          <w:rFonts w:ascii="Times New Roman" w:hAnsi="Times New Roman" w:cs="Times New Roman"/>
          <w:b w:val="0"/>
          <w:i w:val="0"/>
          <w:sz w:val="24"/>
        </w:rPr>
        <w:t>, que antecipa a magnitude provável dos danos de novos eventos.</w:t>
      </w:r>
    </w:p>
    <w:p>
      <w:pPr>
        <w:spacing w:line="360" w:lineRule="auto" w:after="0" w:before="120"/>
        <w:ind w:firstLine="0"/>
        <w:jc w:val="both"/>
      </w:pPr>
      <w:r>
        <w:rPr>
          <w:rFonts w:ascii="Times New Roman" w:hAnsi="Times New Roman" w:cs="Times New Roman"/>
          <w:b w:val="0"/>
          <w:i w:val="0"/>
          <w:sz w:val="24"/>
        </w:rPr>
        <w:t>Palavras-chave: capacidade estatal municipal; gestão de desastres; aprendizado de máquina; previsão de desastres; auditoria de gastos públicos.</w:t>
      </w:r>
    </w:p>
    <w:p>
      <w:pPr>
        <w:keepNext/>
        <w:spacing w:line="360" w:lineRule="auto" w:before="240" w:after="120"/>
        <w:ind w:firstLine="0"/>
        <w:jc w:val="left"/>
      </w:pPr>
      <w:r>
        <w:rPr>
          <w:rFonts w:ascii="Times New Roman" w:hAnsi="Times New Roman" w:cs="Times New Roman"/>
          <w:b/>
          <w:i w:val="0"/>
          <w:sz w:val="24"/>
        </w:rPr>
        <w:t>Resumen</w:t>
      </w:r>
    </w:p>
    <w:p>
      <w:pPr>
        <w:spacing w:line="360" w:lineRule="auto" w:after="0" w:before="0"/>
        <w:ind w:firstLine="0"/>
        <w:jc w:val="both"/>
      </w:pPr>
      <w:r>
        <w:rPr>
          <w:rFonts w:ascii="Times New Roman" w:hAnsi="Times New Roman" w:cs="Times New Roman"/>
          <w:b w:val="0"/>
          <w:i w:val="0"/>
          <w:sz w:val="24"/>
        </w:rPr>
        <w:t>Entre 2013 y 2024, los desastres provocaron cerca de R$ 732 mil millones en pérdidas en Brasil y afectaron al 95% de los municipios, en un contexto de marcada heterogeneidad de las capacidades estatales subnacionales. El artículo investiga por qué los municipios de menor capacidad institucional demandan más recursos de reconstrucción, si el comportamiento efectivo de la demanda supera la clasificación oficial de capacidad en la explicación de las decisiones y en qué medida las técnicas de aprendizaje automático permiten estimar valores de referencia y señalar gastos atípicos. La metodología moviliza clasificación, agrupamiento, regresión cuantílica y detección de anomalías, aplicadas a 6.385 procesos de reconstrucción registrados entre 2017 y 2025 (BRASIL, 2017-2025), que suman R$ 27,68 mil millones. Los resultados indican que los municipios de baja capacidad concentran el 51% de los recursos y demandan un valor medio 2,94 veces superior al de los de alta capacidad; que el comportamiento real de la demanda supera la clasificación oficial; y que un modelo de cribado identificó 580 procesos con valores potencialmente sobredimensionados, evidenciando el potencial y los límites de la auditoría algorítmica en el sector público. Como solución complementaria, se ofrece un motor de predicción de la severidad de los desastres.</w:t>
      </w:r>
    </w:p>
    <w:p>
      <w:pPr>
        <w:spacing w:line="360" w:lineRule="auto" w:after="0" w:before="120"/>
        <w:ind w:firstLine="0"/>
        <w:jc w:val="both"/>
      </w:pPr>
      <w:r>
        <w:rPr>
          <w:rFonts w:ascii="Times New Roman" w:hAnsi="Times New Roman" w:cs="Times New Roman"/>
          <w:b w:val="0"/>
          <w:i w:val="0"/>
          <w:sz w:val="24"/>
        </w:rPr>
        <w:t>Palabras clave: capacidad estatal municipal; gestión de desastres; aprendizaje automático; predicción de desastres; auditoría del gasto público.</w:t>
      </w:r>
    </w:p>
    <w:p>
      <w:pPr>
        <w:keepNext/>
        <w:spacing w:line="360" w:lineRule="auto" w:before="240" w:after="120"/>
        <w:ind w:firstLine="0"/>
        <w:jc w:val="left"/>
      </w:pPr>
      <w:r>
        <w:rPr>
          <w:rFonts w:ascii="Times New Roman" w:hAnsi="Times New Roman" w:cs="Times New Roman"/>
          <w:b/>
          <w:i w:val="0"/>
          <w:sz w:val="24"/>
        </w:rPr>
        <w:t>Abstract</w:t>
      </w:r>
    </w:p>
    <w:p>
      <w:pPr>
        <w:spacing w:line="360" w:lineRule="auto" w:after="0" w:before="0"/>
        <w:ind w:firstLine="0"/>
        <w:jc w:val="both"/>
      </w:pPr>
      <w:r>
        <w:rPr>
          <w:rFonts w:ascii="Times New Roman" w:hAnsi="Times New Roman" w:cs="Times New Roman"/>
          <w:b w:val="0"/>
          <w:i w:val="0"/>
          <w:sz w:val="24"/>
        </w:rPr>
        <w:t>Between 2013 and 2024, disasters caused about R$ 732 billion in losses in Brazil and affected 95% of municipalities, in a context of marked heterogeneity of subnational state capacities. This article investigates why municipalities with lower institutional capacity demand more reconstruction resources, whether the actual demand behavior outperforms the official capacity label in explaining decisions, and to what extent machine learning techniques allow estimating reference values and flagging atypical spending. The methodology employs classification, clustering, quantile regression, and anomaly detection, applied to 6,385 reconstruction cases recorded between 2017 and 2025 (BRASIL, 2017-2025), totaling R$ 27.68 billion. The results indicate that low-capacity municipalities concentrate 51% of resources and demand an average value 2.94 times higher than high-capacity ones; that actual demand behavior outperforms the official capacity label; and that a screening model identified 580 cases with potentially oversized values, revealing the potential and the limits of algorithmic auditing in the public sector. As a complementary solution, a disaster severity prediction engine is made available.</w:t>
      </w:r>
    </w:p>
    <w:p>
      <w:pPr>
        <w:spacing w:line="360" w:lineRule="auto" w:after="0" w:before="120"/>
        <w:ind w:firstLine="0"/>
        <w:jc w:val="both"/>
      </w:pPr>
      <w:r>
        <w:rPr>
          <w:rFonts w:ascii="Times New Roman" w:hAnsi="Times New Roman" w:cs="Times New Roman"/>
          <w:b w:val="0"/>
          <w:i w:val="0"/>
          <w:sz w:val="24"/>
        </w:rPr>
        <w:t>Keywords: municipal state capacity; disaster management; machine learning; disaster prediction; public spending audit.</w:t>
      </w:r>
    </w:p>
    <w:p>
      <w:pPr>
        <w:keepNext/>
        <w:spacing w:line="360" w:lineRule="auto" w:before="240" w:after="120"/>
        <w:ind w:firstLine="0"/>
        <w:jc w:val="left"/>
      </w:pPr>
      <w:r>
        <w:rPr>
          <w:rFonts w:ascii="Times New Roman" w:hAnsi="Times New Roman" w:cs="Times New Roman"/>
          <w:b/>
          <w:i w:val="0"/>
          <w:sz w:val="24"/>
        </w:rPr>
        <w:t>1 Introdução</w:t>
      </w:r>
    </w:p>
    <w:p>
      <w:pPr>
        <w:spacing w:line="360" w:lineRule="auto" w:after="0" w:before="0"/>
        <w:ind w:firstLine="709"/>
        <w:jc w:val="both"/>
      </w:pPr>
      <w:r>
        <w:rPr>
          <w:rFonts w:ascii="Times New Roman" w:hAnsi="Times New Roman" w:cs="Times New Roman"/>
          <w:b w:val="0"/>
          <w:i w:val="0"/>
          <w:sz w:val="24"/>
        </w:rPr>
        <w:t>Os desastres associados a eventos climáticos extremos deixaram de constituir ocorrências excepcionais no Brasil e passaram a integrar a agenda permanente da gestão pública. Inundações, enxurradas, deslizamentos e tempestades convectivas recorrentes impõem, ano após ano, a necessidade de mobilizar recursos federais para a reconstrução de infraestrutura urbana e de serviços essenciais em municípios atingidos. Entre 2017 e 2025, os relatórios gerenciais de acompanhamento de processos de reconstrução (BRASIL, 2017-2025) reúnem 6.385 processos e R$ 27,68 bilhões em valores solicitados, distribuídos por 2.113 municípios e 26 unidades da federação. A magnitude desses números revela que a política de reconstrução pós-desastre opera em escala que exige instrumentos de gestão capazes de conciliar celeridade na resposta, equidade na alocação e controle sobre a aplicação dos recursos. Trata-se, portanto, de um campo em que as decisões administrativas produzem efeitos imediatos sobre populações fragilizadas, o que torna especialmente sensível qualquer ineficiência ou irregularidade na destinação dos valores.</w:t>
      </w:r>
    </w:p>
    <w:p>
      <w:pPr>
        <w:spacing w:line="360" w:lineRule="auto" w:after="0" w:before="0"/>
        <w:ind w:firstLine="709"/>
        <w:jc w:val="both"/>
      </w:pPr>
      <w:r>
        <w:rPr>
          <w:rFonts w:ascii="Times New Roman" w:hAnsi="Times New Roman" w:cs="Times New Roman"/>
          <w:b w:val="0"/>
          <w:i w:val="0"/>
          <w:sz w:val="24"/>
        </w:rPr>
        <w:t>A dimensão do problema, no plano nacional, é expressiva. Segundo o Panorama dos Desastres no Brasil, da Confederação Nacional de Municípios, entre 2013 e 2024 os desastres provocaram cerca de R$ 732,2 bilhões em prejuízos econômicos e atingiram 95% dos municípios brasileiros, que registraram 70.361 decretos de situação de emergência ou de calamidade pública (CONFEDERAÇÃO NACIONAL DE MUNICÍPIOS, 2025). No mesmo período, as decretações de anormalidade cresceram 64%, mesmo excluídos os registros associados à pandemia de Covid-19, e os danos concentraram-se em dois extremos climáticos, a seca e o excesso de chuvas, responsáveis somados por 68,9% das decretações no país.</w:t>
      </w:r>
    </w:p>
    <w:p>
      <w:pPr>
        <w:spacing w:line="360" w:lineRule="auto" w:after="0" w:before="0"/>
        <w:ind w:firstLine="709"/>
        <w:jc w:val="both"/>
      </w:pPr>
      <w:r>
        <w:rPr>
          <w:rFonts w:ascii="Times New Roman" w:hAnsi="Times New Roman" w:cs="Times New Roman"/>
          <w:b w:val="0"/>
          <w:i w:val="0"/>
          <w:sz w:val="24"/>
        </w:rPr>
        <w:t>A despeito da existência de uma política nacional estruturada, persiste um abismo entre o dano registrado e a ação executada. Dos R$ 732,2 bilhões em prejuízos, a União repassou cerca de R$ 5,3 bilhões para ações de gestão de risco e prevenção de desastres, montante que corresponde a apenas 39,8% do orçamento federal autorizado para esse fim no período. A esse descompasso soma-se um problema de informação: somente 48,3% dos municípios que decretaram anormalidade informaram os valores dos prejuízos ao sistema federal, o que indica que os custos reais são significativamente subdimensionados. Diante desse quadro, a qualificação da alocação e do controle dos recursos, bem como a antecipação da severidade dos eventos, constituem desafios cuja superação depende, em larga medida, da capacidade de extrair inteligência dos dados disponíveis.</w:t>
      </w:r>
    </w:p>
    <w:p>
      <w:pPr>
        <w:spacing w:line="360" w:lineRule="auto" w:after="0" w:before="0"/>
        <w:ind w:firstLine="709"/>
        <w:jc w:val="both"/>
      </w:pPr>
      <w:r>
        <w:rPr>
          <w:rFonts w:ascii="Times New Roman" w:hAnsi="Times New Roman" w:cs="Times New Roman"/>
          <w:b w:val="0"/>
          <w:i w:val="0"/>
          <w:sz w:val="24"/>
        </w:rPr>
        <w:t>A capacidade de responder a um desastre, contudo, não se distribui de maneira uniforme pelo território. A literatura sobre capacidades estatais subnacionais demonstra que os municípios brasileiros têm dotações muito desiguais de recursos administrativos, fiscais e técnicos, o que condiciona sua aptidão para formular projetos, executar obras e prestar contas (GRIN; ABRUCIO, 2018; MARENCO; STROHSCHOEN; JONER, 2017). Como os instrumentos de transferência pressupõem estrutura para operá-los, a desigualdade de capacidades tende a reproduzir, na reconstrução, as assimetrias que tornaram certos municípios mais vulneráveis, de modo que o desastre opera menos como evento puramente natural e mais como desfecho de processos sociais e institucionais de longa duração.</w:t>
      </w:r>
    </w:p>
    <w:p>
      <w:pPr>
        <w:spacing w:line="360" w:lineRule="auto" w:after="0" w:before="0"/>
        <w:ind w:firstLine="709"/>
        <w:jc w:val="both"/>
      </w:pPr>
      <w:r>
        <w:rPr>
          <w:rFonts w:ascii="Times New Roman" w:hAnsi="Times New Roman" w:cs="Times New Roman"/>
          <w:b w:val="0"/>
          <w:i w:val="0"/>
          <w:sz w:val="24"/>
        </w:rPr>
        <w:t>O reconhecimento dessa desigualdade motivou a construção de indicadores sintéticos de capacidade institucional, entre os quais o Índice de Capacidade Municipal (ICM), que classifica os municípios em faixas e busca orientar a focalização de políticas de fortalecimento. A pergunta que organiza este artigo emerge do cruzamento entre esse indicador e os dados de demanda por reconstrução: por que municípios classificados em faixas de menor capacidade demandam, em média, volumes de recursos superiores aos solicitados por municípios de maior capacidade? A questão não é trivial, pois contraria a intuição de que maior capacidade institucional estaria associada a maior acesso a recursos, e abre espaço para hipóteses concorrentes sobre vulnerabilidade física, exposição a eventos severos e qualidade dos dados administrativos. Cada uma dessas hipóteses remete a um arranjo distinto de causas e, por consequência, a diferentes recomendações de política, o que confere à pergunta relevância que ultrapassa o interesse descritivo.</w:t>
      </w:r>
    </w:p>
    <w:p>
      <w:pPr>
        <w:spacing w:line="360" w:lineRule="auto" w:after="0" w:before="0"/>
        <w:ind w:firstLine="709"/>
        <w:jc w:val="both"/>
      </w:pPr>
      <w:r>
        <w:rPr>
          <w:rFonts w:ascii="Times New Roman" w:hAnsi="Times New Roman" w:cs="Times New Roman"/>
          <w:b w:val="0"/>
          <w:i w:val="0"/>
          <w:sz w:val="24"/>
        </w:rPr>
        <w:t>Diante disso, o objetivo geral deste trabalho é analisar a relação entre a capacidade institucional municipal e o comportamento de demanda por recursos de reconstrução, bem como avaliar a viabilidade de utilizar técnicas de aprendizado de máquina para apoiar a auditoria desses gastos. Como objetivos específicos, busca-se: caracterizar a distribuição dos valores solicitados segundo as faixas de capacidade; segmentar os municípios a partir do comportamento efetivo de demanda, e não apenas do rótulo oficial; estimar a probabilidade de aprovação dos processos e identificar seus determinantes; e construir um mecanismo de triagem capaz de sinalizar valores potencialmente superdimensionados. Trata-se, portanto, de articular um diagnóstico empírico a uma proposta instrumental de governança, de maneira que a análise dos dados não se encerre na descrição do fenômeno, mas se traduza em ferramentas utilizáveis pelos gestores responsáveis pela política.</w:t>
      </w:r>
    </w:p>
    <w:p>
      <w:pPr>
        <w:spacing w:line="360" w:lineRule="auto" w:after="0" w:before="0"/>
        <w:ind w:firstLine="709"/>
        <w:jc w:val="both"/>
      </w:pPr>
      <w:r>
        <w:rPr>
          <w:rFonts w:ascii="Times New Roman" w:hAnsi="Times New Roman" w:cs="Times New Roman"/>
          <w:b w:val="0"/>
          <w:i w:val="0"/>
          <w:sz w:val="24"/>
        </w:rPr>
        <w:t>Do trabalho analítico derivam duas soluções complementares de inteligência de dados, ambas disponibilizadas como ferramentas de apoio à decisão. A primeira, um sistema de inteligência para a reconstrução, constitui o eixo central deste artigo e atua na fase de recuperação, ao subsidiar a alocação de recursos e a auditoria dos gastos. A segunda, um motor de previsão da severidade dos desastres, atua nas fases de prevenção e preparação, ao antecipar a magnitude provável dos danos de um novo evento. Tomadas em conjunto, as duas soluções percorrem o ciclo de gestão de riscos estabelecido pela Política Nacional de Proteção e Defesa Civil, razão pela qual a segunda é igualmente apresentada, ainda que o foco da análise recaia sobre a primeira.</w:t>
      </w:r>
    </w:p>
    <w:p>
      <w:pPr>
        <w:spacing w:line="360" w:lineRule="auto" w:after="0" w:before="0"/>
        <w:ind w:firstLine="709"/>
        <w:jc w:val="both"/>
      </w:pPr>
      <w:r>
        <w:rPr>
          <w:rFonts w:ascii="Times New Roman" w:hAnsi="Times New Roman" w:cs="Times New Roman"/>
          <w:b w:val="0"/>
          <w:i w:val="0"/>
          <w:sz w:val="24"/>
        </w:rPr>
        <w:t>A justificativa é dupla. No plano acadêmico, a articulação entre a literatura de capacidades estatais e as técnicas de ciência de dados é ainda incipiente no Brasil, de modo que aplicá-las a um problema concreto de política pública contribui para um campo em formação. No plano prático, o volume de recursos e a recorrência dos desastres tornam imperativo qualificar a alocação e o controle dos gastos, tarefa cuja escala excede a análise individualizada pelos órgãos de controle e recoloca a tensão entre a amplitude da fiscalização e a escassez dos meios para exercê-la.</w:t>
      </w:r>
    </w:p>
    <w:p>
      <w:pPr>
        <w:spacing w:line="360" w:lineRule="auto" w:after="0" w:before="0"/>
        <w:ind w:firstLine="709"/>
        <w:jc w:val="both"/>
      </w:pPr>
      <w:r>
        <w:rPr>
          <w:rFonts w:ascii="Times New Roman" w:hAnsi="Times New Roman" w:cs="Times New Roman"/>
          <w:b w:val="0"/>
          <w:i w:val="0"/>
          <w:sz w:val="24"/>
        </w:rPr>
        <w:t>O argumento que percorre o texto sustenta que os indicadores formais de capacidade, embora úteis para a focalização, capturam apenas parcialmente o comportamento real dos municípios, e que a observação desse comportamento por meio de dados transacionais oferece subsídios mais precisos para a alocação e o controle, tese que a convergência de fases analíticas distintas sustenta. Cabe registrar que o estudo se apoia em dados administrativos secundários, com as limitações inerentes, e que os modelos são concebidos como apoio à decisão, e não como substitutos do julgamento técnico.</w:t>
      </w:r>
    </w:p>
    <w:p>
      <w:pPr>
        <w:spacing w:line="360" w:lineRule="auto" w:after="0" w:before="0"/>
        <w:ind w:firstLine="709"/>
        <w:jc w:val="both"/>
      </w:pPr>
      <w:r>
        <w:rPr>
          <w:rFonts w:ascii="Times New Roman" w:hAnsi="Times New Roman" w:cs="Times New Roman"/>
          <w:b w:val="0"/>
          <w:i w:val="0"/>
          <w:sz w:val="24"/>
        </w:rPr>
        <w:t>O artigo está organizado em seis seções, além desta introdução. A segunda seção apresenta o referencial teórico, que articula a discussão sobre capacidades estatais municipais e desastres, a literatura sobre governança e controle de gastos públicos e os fundamentos das técnicas de aprendizado de máquina mobilizadas. A terceira seção descreve a metodologia, detalhando as fontes de dados, os procedimentos de tratamento e o desenho analítico em cinco fases. A quarta seção expõe os resultados, organizados segundo os objetivos específicos. A quinta seção discute os achados à luz do referencial teórico e explicita as limitações do estudo. A sexta seção, por fim, sintetiza as contribuições e propõe uma agenda de pesquisa.</w:t>
      </w:r>
    </w:p>
    <w:p>
      <w:pPr>
        <w:keepNext/>
        <w:spacing w:line="360" w:lineRule="auto" w:before="240" w:after="120"/>
        <w:ind w:firstLine="0"/>
        <w:jc w:val="left"/>
      </w:pPr>
      <w:r>
        <w:rPr>
          <w:rFonts w:ascii="Times New Roman" w:hAnsi="Times New Roman" w:cs="Times New Roman"/>
          <w:b/>
          <w:i w:val="0"/>
          <w:sz w:val="24"/>
        </w:rPr>
        <w:t>2 Referencial teórico</w:t>
      </w:r>
    </w:p>
    <w:p>
      <w:pPr>
        <w:keepNext/>
        <w:spacing w:line="360" w:lineRule="auto" w:before="240" w:after="120"/>
        <w:ind w:firstLine="0"/>
        <w:jc w:val="left"/>
      </w:pPr>
      <w:r>
        <w:rPr>
          <w:rFonts w:ascii="Times New Roman" w:hAnsi="Times New Roman" w:cs="Times New Roman"/>
          <w:b/>
          <w:i w:val="0"/>
          <w:sz w:val="24"/>
        </w:rPr>
        <w:t>2.1 Capacidade estatal municipal e desastres</w:t>
      </w:r>
    </w:p>
    <w:p>
      <w:pPr>
        <w:spacing w:line="360" w:lineRule="auto" w:after="0" w:before="0"/>
        <w:ind w:firstLine="709"/>
        <w:jc w:val="both"/>
      </w:pPr>
      <w:r>
        <w:rPr>
          <w:rFonts w:ascii="Times New Roman" w:hAnsi="Times New Roman" w:cs="Times New Roman"/>
          <w:b w:val="0"/>
          <w:i w:val="0"/>
          <w:sz w:val="24"/>
        </w:rPr>
        <w:t>O conceito de capacidade estatal tem sido mobilizado para descrever a aptidão das organizações governamentais para implementar suas decisões e alcançar os objetivos que se propõem. No plano subnacional, essa noção ganha contornos específicos, pois os municípios brasileiros acumularam, a partir da Constituição de 1988, um amplo conjunto de competências sem que houvesse correspondente equalização de recursos administrativos e fiscais (ABRUCIO, 2005). Verifica-se, assim, um descompasso entre a responsabilidade atribuída ao ente local e os meios de que dispõe para exercê-la, descompasso que se manifesta com particular nitidez em situações de emergência, quando a demanda por respostas rápidas e tecnicamente qualificadas se intensifica. Em tais momentos, a fragilidade das estruturas locais não apenas retarda a resposta, mas pode comprometer a própria capacidade de acessar os recursos federais disponíveis, gerando um efeito que aprofunda as desigualdades preexistentes.</w:t>
      </w:r>
    </w:p>
    <w:p>
      <w:pPr>
        <w:spacing w:line="360" w:lineRule="auto" w:after="0" w:before="0"/>
        <w:ind w:firstLine="709"/>
        <w:jc w:val="both"/>
      </w:pPr>
      <w:r>
        <w:rPr>
          <w:rFonts w:ascii="Times New Roman" w:hAnsi="Times New Roman" w:cs="Times New Roman"/>
          <w:b w:val="0"/>
          <w:i w:val="0"/>
          <w:sz w:val="24"/>
        </w:rPr>
        <w:t>A literatura recente sobre capacidades estatais municipais tem buscado mensurar essa heterogeneidade por meio de indicadores que combinam dimensões administrativas, fiscais e de pessoal (MARENCO; STROHSCHOEN; JONER, 2017; GRIN; ABRUCIO, 2018). Esses estudos evidenciam que a capacidade se concentra em municípios de maior porte e renda, ao passo que os municípios menores e mais pobres, frequentemente os mais expostos a riscos, dispõem de estruturas mais frágeis. Dessa forma, a capacidade institucional opera como variável mediadora entre a ocorrência de um evento adverso e a efetividade da resposta pública, condicionando desde a elaboração de planos de trabalho até a prestação de contas. O Índice de Capacidade Municipal utilizado neste estudo inscreve-se nessa tradição, ao sintetizar múltiplas dimensões em uma classificação por faixas que pretende ordenar os municípios segundo sua aptidão institucional.</w:t>
      </w:r>
    </w:p>
    <w:p>
      <w:pPr>
        <w:spacing w:line="360" w:lineRule="auto" w:after="0" w:before="0"/>
        <w:ind w:firstLine="709"/>
        <w:jc w:val="both"/>
      </w:pPr>
      <w:r>
        <w:rPr>
          <w:rFonts w:ascii="Times New Roman" w:hAnsi="Times New Roman" w:cs="Times New Roman"/>
          <w:b w:val="0"/>
          <w:i w:val="0"/>
          <w:sz w:val="24"/>
        </w:rPr>
        <w:t>No campo específico da gestão de desastres, a Política Nacional de Proteção e Defesa Civil, instituída pela Lei nº 12.608, de 2012, estabeleceu diretrizes para a atuação integrada dos entes federativos em ações de prevenção, mitigação, preparação, resposta e recuperação. A norma consagrou a perspectiva de gestão de riscos, deslocando o foco da resposta emergencial para o ciclo completo que inclui a prevenção, e atribuiu responsabilidades específicas a cada nível de governo. Em complemento, o Plano Nacional de Adaptação à Mudança do Clima incorporou a gestão de risco de desastres como estratégia setorial, ao reconhecer a relação entre a intensificação dos eventos extremos e as mudanças climáticas (BRASIL, 2016). A literatura sociológica sobre o tema, por sua vez, tem insistido em que os desastres não constituem fenômenos puramente naturais, mas resultam da interação entre ameaças e vulnerabilidades socialmente produzidas (VALENCIO, 2009). Sob essa perspectiva, a maior demanda por recursos observada em municípios vulneráveis pode ser lida como expressão de vulnerabilidades acumuladas, e não como mera consequência da intensidade física dos eventos.</w:t>
      </w:r>
    </w:p>
    <w:p>
      <w:pPr>
        <w:spacing w:line="360" w:lineRule="auto" w:after="0" w:before="0"/>
        <w:ind w:firstLine="709"/>
        <w:jc w:val="both"/>
      </w:pPr>
      <w:r>
        <w:rPr>
          <w:rFonts w:ascii="Times New Roman" w:hAnsi="Times New Roman" w:cs="Times New Roman"/>
          <w:b w:val="0"/>
          <w:i w:val="0"/>
          <w:sz w:val="24"/>
        </w:rPr>
        <w:t>Essa distinção entre ameaça e vulnerabilidade é central para a interpretação dos resultados. Se o dano decorresse apenas da intensidade física do evento, a demanda se distribuiria de modo independente da capacidade institucional; a associação sistemática entre baixa capacidade e maior demanda sugere, ao contrário, que a vulnerabilidade social e institucional desempenha papel ativo na determinação dos danos, o que impede reduzir a reconstrução a uma questão meramente técnica de dimensionamento de obras.</w:t>
      </w:r>
    </w:p>
    <w:p>
      <w:pPr>
        <w:spacing w:line="360" w:lineRule="auto" w:after="0" w:before="0"/>
        <w:ind w:firstLine="709"/>
        <w:jc w:val="both"/>
      </w:pPr>
      <w:r>
        <w:rPr>
          <w:rFonts w:ascii="Times New Roman" w:hAnsi="Times New Roman" w:cs="Times New Roman"/>
          <w:b w:val="0"/>
          <w:i w:val="0"/>
          <w:sz w:val="24"/>
        </w:rPr>
        <w:t>A organização federativa acrescenta complexidade: as transferências articulam competências da União, dos estados e dos municípios, mas a execução recai sobre o ente local, ainda que recursos e critérios de elegibilidade sejam definidos em âmbito federal. Esse desenho pressupõe burocracia local capaz de traduzir a necessidade na linguagem técnica exigida, de modo que a análise da demanda não pode dissociar-se das condições institucionais em que ela é formulada.</w:t>
      </w:r>
    </w:p>
    <w:p>
      <w:pPr>
        <w:keepNext/>
        <w:spacing w:line="360" w:lineRule="auto" w:before="240" w:after="120"/>
        <w:ind w:firstLine="0"/>
        <w:jc w:val="left"/>
      </w:pPr>
      <w:r>
        <w:rPr>
          <w:rFonts w:ascii="Times New Roman" w:hAnsi="Times New Roman" w:cs="Times New Roman"/>
          <w:b/>
          <w:i w:val="0"/>
          <w:sz w:val="24"/>
        </w:rPr>
        <w:t>2.2 Governança, transparência e controle de gastos públicos</w:t>
      </w:r>
    </w:p>
    <w:p>
      <w:pPr>
        <w:spacing w:line="360" w:lineRule="auto" w:after="0" w:before="0"/>
        <w:ind w:firstLine="709"/>
        <w:jc w:val="both"/>
      </w:pPr>
      <w:r>
        <w:rPr>
          <w:rFonts w:ascii="Times New Roman" w:hAnsi="Times New Roman" w:cs="Times New Roman"/>
          <w:b w:val="0"/>
          <w:i w:val="0"/>
          <w:sz w:val="24"/>
        </w:rPr>
        <w:t>A alocação de recursos para reconstrução insere-se em um arranjo de governança que envolve a União, os estados e os municípios, e que mobiliza instrumentos de transferência condicionados à apresentação de planos de trabalho e à comprovação da aplicação dos valores. Nesse arranjo, a transparência e o controle assumem papel central, tanto para assegurar a regularidade dos gastos quanto para sustentar a confiança pública na política. A literatura sobre controle da administração pública tem destacado a complementaridade entre os controles interno, externo e social, bem como a importância de mecanismos que permitam identificar irregularidades sem comprometer a celeridade da resposta (SPECK, 2002). Essa tensão entre controle e celeridade é particularmente aguda no caso dos desastres, em que a demora na liberação dos recursos pode agravar o sofrimento das populações atingidas, mas a liberação sem o devido escrutínio abre margem para o desperdício e a apropriação indevida.</w:t>
      </w:r>
    </w:p>
    <w:p>
      <w:pPr>
        <w:spacing w:line="360" w:lineRule="auto" w:after="0" w:before="0"/>
        <w:ind w:firstLine="709"/>
        <w:jc w:val="both"/>
      </w:pPr>
      <w:r>
        <w:rPr>
          <w:rFonts w:ascii="Times New Roman" w:hAnsi="Times New Roman" w:cs="Times New Roman"/>
          <w:b w:val="0"/>
          <w:i w:val="0"/>
          <w:sz w:val="24"/>
        </w:rPr>
        <w:t>O exame de grandes volumes, contudo, esbarra nos limites do controle tradicional, fundado na análise individualizada. Diante de milhares de processos e bilhões de reais, o escrutínio é necessariamente seletivo, o que valoriza instrumentos capazes de priorizar casos por critérios objetivos. A detecção de anomalias em dados de gasto desponta, assim, como estratégia para direcionar a atenção dos auditores aos processos mais afastados do padrão, qualificando o controle convencional em vez de substituí-lo.</w:t>
      </w:r>
    </w:p>
    <w:p>
      <w:pPr>
        <w:spacing w:line="360" w:lineRule="auto" w:after="0" w:before="0"/>
        <w:ind w:firstLine="709"/>
        <w:jc w:val="both"/>
      </w:pPr>
      <w:r>
        <w:rPr>
          <w:rFonts w:ascii="Times New Roman" w:hAnsi="Times New Roman" w:cs="Times New Roman"/>
          <w:b w:val="0"/>
          <w:i w:val="0"/>
          <w:sz w:val="24"/>
        </w:rPr>
        <w:t>Importa situar os limites dessa estratégia. A sinalização de um processo como atípico não equivale a juízo de irregularidade, pois o desvio pode decorrer de circunstâncias legítimas, de erros de registro ou de práticas irregulares. Confundir essas possibilidades produz tanto a estigmatização de gestores honestos quanto a falsa sensação de que o algoritmo dispensa o julgamento técnico. A incorporação dessas ferramentas exige, por isso, preservar seu caráter de apoio à decisão, reservando ao auditor a distinção entre o que é apenas incomum e o que é efetivamente irregular.</w:t>
      </w:r>
    </w:p>
    <w:p>
      <w:pPr>
        <w:keepNext/>
        <w:spacing w:line="360" w:lineRule="auto" w:before="240" w:after="120"/>
        <w:ind w:firstLine="0"/>
        <w:jc w:val="left"/>
      </w:pPr>
      <w:r>
        <w:rPr>
          <w:rFonts w:ascii="Times New Roman" w:hAnsi="Times New Roman" w:cs="Times New Roman"/>
          <w:b/>
          <w:i w:val="0"/>
          <w:sz w:val="24"/>
        </w:rPr>
        <w:t>2.3 Aprendizado de máquina aplicado ao setor público</w:t>
      </w:r>
    </w:p>
    <w:p>
      <w:pPr>
        <w:spacing w:line="360" w:lineRule="auto" w:after="0" w:before="0"/>
        <w:ind w:firstLine="709"/>
        <w:jc w:val="both"/>
      </w:pPr>
      <w:r>
        <w:rPr>
          <w:rFonts w:ascii="Times New Roman" w:hAnsi="Times New Roman" w:cs="Times New Roman"/>
          <w:b w:val="0"/>
          <w:i w:val="0"/>
          <w:sz w:val="24"/>
        </w:rPr>
        <w:t>A incorporação de aprendizado de máquina à gestão pública tem se expandido, da previsão de demanda por serviços à detecção de fraudes. Os algoritmos aqui mobilizados pertencem a famílias consolidadas: o agrupamento por k-médias (MACQUEEN, 1967) segmenta observações em grupos homogêneos sem rótulos prévios, e as florestas aleatórias (BREIMAN, 2001) combinam árvores de decisão para produzir classificações robustas e estimativas de importância de variáveis, o que as torna valiosas quando a interpretabilidade importa tanto quanto a acurácia.</w:t>
      </w:r>
    </w:p>
    <w:p>
      <w:pPr>
        <w:spacing w:line="360" w:lineRule="auto" w:after="0" w:before="0"/>
        <w:ind w:firstLine="709"/>
        <w:jc w:val="both"/>
      </w:pPr>
      <w:r>
        <w:rPr>
          <w:rFonts w:ascii="Times New Roman" w:hAnsi="Times New Roman" w:cs="Times New Roman"/>
          <w:b w:val="0"/>
          <w:i w:val="0"/>
          <w:sz w:val="24"/>
        </w:rPr>
        <w:t>Para a auditoria, três técnicas importam. A regressão quantílica (KOENKER; BASSETT JR., 1978) estima quantis da distribuição condicional, o que permite construir faixas de valores esperados em vez de uma previsão pontual e, assim, definir limites entre os quais um valor é compatível com casos semelhantes. O gradient boosting (FRIEDMAN, 2001) constrói o modelo pela adição sequencial de estimadores fracos e admite a perda quantílica para gerar essas faixas. A floresta de isolamento (LIU; TING; ZHOU, 2008) identifica anomalias pela facilidade com que uma observação é isolada em partições aleatórias, oferecendo via independente de detecção.</w:t>
      </w:r>
    </w:p>
    <w:p>
      <w:pPr>
        <w:spacing w:line="360" w:lineRule="auto" w:after="0" w:before="0"/>
        <w:ind w:firstLine="709"/>
        <w:jc w:val="both"/>
      </w:pPr>
      <w:r>
        <w:rPr>
          <w:rFonts w:ascii="Times New Roman" w:hAnsi="Times New Roman" w:cs="Times New Roman"/>
          <w:b w:val="0"/>
          <w:i w:val="0"/>
          <w:sz w:val="24"/>
        </w:rPr>
        <w:t>A combinação dessas abordagens permite tratar a auditoria não como um juízo binário sobre cada processo, mas como um exercício de posicionamento de cada solicitação em relação a um padrão estimado a partir de casos comparáveis. Cabe ressalvar, todavia, que a aplicação desses métodos ao setor público requer cautela interpretativa. A qualidade dos dados administrativos e a presença de erros de registro podem afetar de modo expressivo os resultados, e a opacidade de certos modelos pode dificultar a prestação de contas sobre as decisões por eles apoiadas. Por essa razão, privilegiaram-se, neste estudo, técnicas que oferecem alguma medida de interpretabilidade, como a importância de variáveis das florestas aleatórias e as faixas explícitas da regressão quantílica, de maneira a permitir que os achados sejam escrutinados e contestados.</w:t>
      </w:r>
    </w:p>
    <w:p>
      <w:pPr>
        <w:spacing w:line="360" w:lineRule="auto" w:after="0" w:before="0"/>
        <w:ind w:firstLine="709"/>
        <w:jc w:val="both"/>
      </w:pPr>
      <w:r>
        <w:rPr>
          <w:rFonts w:ascii="Times New Roman" w:hAnsi="Times New Roman" w:cs="Times New Roman"/>
          <w:b w:val="0"/>
          <w:i w:val="0"/>
          <w:sz w:val="24"/>
        </w:rPr>
        <w:t>No contexto brasileiro, a adoção de técnicas analíticas pela administração pública tem avançado de modo desigual, concentrando-se em órgãos de controle e em iniciativas pontuais de modernização da gestão. Experiências de mineração de dados em tribunais de contas e em órgãos de fiscalização têm demonstrado o potencial dessas ferramentas para a identificação de padrões suspeitos em contratações e transferências, ao mesmo tempo em que evidenciam os desafios de integração de bases de dados fragmentadas e de qualificação das equipes responsáveis. O presente estudo inscreve-se nesse movimento, ao aplicar um conjunto de técnicas consolidadas a um domínio específico de política pública, com a preocupação de articular o rigor metodológico à utilidade prática para os gestores e os órgãos de controle.</w:t>
      </w:r>
    </w:p>
    <w:p>
      <w:pPr>
        <w:keepNext/>
        <w:spacing w:line="360" w:lineRule="auto" w:before="240" w:after="120"/>
        <w:ind w:firstLine="0"/>
        <w:jc w:val="left"/>
      </w:pPr>
      <w:r>
        <w:rPr>
          <w:rFonts w:ascii="Times New Roman" w:hAnsi="Times New Roman" w:cs="Times New Roman"/>
          <w:b/>
          <w:i w:val="0"/>
          <w:sz w:val="24"/>
        </w:rPr>
        <w:t>3 Metodologia</w:t>
      </w:r>
    </w:p>
    <w:p>
      <w:pPr>
        <w:keepNext/>
        <w:spacing w:line="360" w:lineRule="auto" w:before="240" w:after="120"/>
        <w:ind w:firstLine="0"/>
        <w:jc w:val="left"/>
      </w:pPr>
      <w:r>
        <w:rPr>
          <w:rFonts w:ascii="Times New Roman" w:hAnsi="Times New Roman" w:cs="Times New Roman"/>
          <w:b/>
          <w:i w:val="0"/>
          <w:sz w:val="24"/>
        </w:rPr>
        <w:t>3.1 Fontes de dados e tratamento</w:t>
      </w:r>
    </w:p>
    <w:p>
      <w:pPr>
        <w:spacing w:line="360" w:lineRule="auto" w:after="0" w:before="0"/>
        <w:ind w:firstLine="709"/>
        <w:jc w:val="both"/>
      </w:pPr>
      <w:r>
        <w:rPr>
          <w:rFonts w:ascii="Times New Roman" w:hAnsi="Times New Roman" w:cs="Times New Roman"/>
          <w:b w:val="0"/>
          <w:i w:val="0"/>
          <w:sz w:val="24"/>
        </w:rPr>
        <w:t>O estudo apoia-se em duas bases de dados administrativos. A primeira corresponde aos relatórios gerenciais de acompanhamento de processos de reconstrução (BRASIL, 2017-2025), abrangendo o período de 2017 a 2025, e reúne informações sobre unidade da federação, município, tipo de desastre, valor solicitado, situação do processo e datas de criação e solicitação. Após a consolidação, essa base totaliza 6.385 processos, distribuídos por 2.113 municípios, 26 unidades da federação e 29 tipos de desastre, somando R$ 27,68 bilhões em valores solicitados. A segunda base corresponde ao Índice de Capacidade Municipal (ICM), que classifica os municípios em quatro faixas de capacidade institucional, designadas de A (alta) a D (baixa), e que, após a limpeza, contempla 5.444 municípios. A natureza secundária e administrativa desses dados impõe que se reconheça, desde o início, a dependência do estudo em relação à qualidade do registro original.</w:t>
      </w:r>
    </w:p>
    <w:p>
      <w:pPr>
        <w:spacing w:line="360" w:lineRule="auto" w:after="0" w:before="0"/>
        <w:ind w:firstLine="709"/>
        <w:jc w:val="both"/>
      </w:pPr>
      <w:r>
        <w:rPr>
          <w:rFonts w:ascii="Times New Roman" w:hAnsi="Times New Roman" w:cs="Times New Roman"/>
          <w:b w:val="0"/>
          <w:i w:val="0"/>
          <w:sz w:val="24"/>
        </w:rPr>
        <w:t>O cruzamento das duas bases exigiu um conjunto de procedimentos de tratamento. A consolidação dos arquivos originais foi seguida da padronização dos nomes de municípios e da conversão dos valores monetários, originalmente registrados como texto, para formato numérico. Constatou-se a presença de 152 municípios duplicados com faixas de capacidade conflitantes, situação tratada pela adoção do critério de benefício, segundo o qual, em caso de conflito, atribuiu-se ao município a melhor faixa identificada. Essa escolha metodológica, embora conservadora, busca evitar a penalização indevida de municípios em razão de inconsistências de registro. Após esses procedimentos, o conjunto integrado alcançou cobertura de 97,7% dos municípios com processos, com apenas 2,3% sem correspondência no índice de capacidade, o que assegura ampla representatividade ao cruzamento.</w:t>
      </w:r>
    </w:p>
    <w:p>
      <w:pPr>
        <w:spacing w:line="360" w:lineRule="auto" w:after="0" w:before="0"/>
        <w:ind w:firstLine="709"/>
        <w:jc w:val="both"/>
      </w:pPr>
      <w:r>
        <w:rPr>
          <w:rFonts w:ascii="Times New Roman" w:hAnsi="Times New Roman" w:cs="Times New Roman"/>
          <w:b w:val="0"/>
          <w:i w:val="0"/>
          <w:sz w:val="24"/>
        </w:rPr>
        <w:t>A engenharia de atributos preparou as variáveis para os modelos. Os valores monetários, de forte assimetria, foram transformados pela função logarítmica (log1p), para aproximar a distribuição da normalidade e reduzir o peso dos extremos; as variáveis categóricas foram codificadas numericamente e a faixa de capacidade recebeu codificação ordinal. Para a agregação por município, computaram-se o número de processos, o valor total e o valor médio, e aplicou-se, conforme a sensibilidade de cada algoritmo aos valores atípicos, padronização robusta ou convencional.</w:t>
      </w:r>
    </w:p>
    <w:p>
      <w:pPr>
        <w:keepNext/>
        <w:spacing w:line="360" w:lineRule="auto" w:before="240" w:after="120"/>
        <w:ind w:firstLine="0"/>
        <w:jc w:val="left"/>
      </w:pPr>
      <w:r>
        <w:rPr>
          <w:rFonts w:ascii="Times New Roman" w:hAnsi="Times New Roman" w:cs="Times New Roman"/>
          <w:b/>
          <w:i w:val="0"/>
          <w:sz w:val="24"/>
        </w:rPr>
        <w:t>3.2 Desenho analítico em cinco fases</w:t>
      </w:r>
    </w:p>
    <w:p>
      <w:pPr>
        <w:spacing w:line="360" w:lineRule="auto" w:after="0" w:before="0"/>
        <w:ind w:firstLine="709"/>
        <w:jc w:val="both"/>
      </w:pPr>
      <w:r>
        <w:rPr>
          <w:rFonts w:ascii="Times New Roman" w:hAnsi="Times New Roman" w:cs="Times New Roman"/>
          <w:b w:val="0"/>
          <w:i w:val="0"/>
          <w:sz w:val="24"/>
        </w:rPr>
        <w:t>O desenho analítico estrutura-se em um pipeline de cinco fases, concebidas para responder, de modo progressivo, aos objetivos do estudo. A primeira fase consiste em diagnóstico e regressão exploratória, voltada a caracterizar a distribuição dos valores por faixa de capacidade e a testar a hipótese de associação entre vulnerabilidade institucional e magnitude da demanda. A segunda fase aplica agrupamento por k-médias para segmentar os municípios segundo o comportamento efetivo de demanda. A terceira fase emprega um classificador para estimar a probabilidade de aprovação dos processos e identificar seus determinantes. A quarta fase recorre à regressão quantílica para estimar faixas de valor esperado e sinalizar desvios. A quinta fase, complementar, mobiliza a detecção de anomalias e projeta um simulador de alertas. Essa organização sequencial permite que cada fase se beneficie dos achados das anteriores, de modo que os grupos comportamentais identificados na segunda fase, por exemplo, tornem-se atributos das fases subsequentes.</w:t>
      </w:r>
    </w:p>
    <w:p>
      <w:pPr>
        <w:spacing w:line="360" w:lineRule="auto" w:after="0" w:before="0"/>
        <w:ind w:firstLine="709"/>
        <w:jc w:val="both"/>
      </w:pPr>
      <w:r>
        <w:rPr>
          <w:rFonts w:ascii="Times New Roman" w:hAnsi="Times New Roman" w:cs="Times New Roman"/>
          <w:b w:val="0"/>
          <w:i w:val="0"/>
          <w:sz w:val="24"/>
        </w:rPr>
        <w:t>Na fase de agrupamento, adotaram-se quatro grupos, para permitir comparação direta com as quatro faixas do índice, com a métrica de silhueta orientando a avaliação da coesão; os atributos foram o logaritmo do valor total, o logaritmo do valor médio e o número de processos, padronizados por escala robusta. Na fase de classificação, a variável resposta foi binária, distinguindo processos com recurso transferido (aprovados) dos indeferidos, excluídos ou sobrestados (reprovados), com os ainda em análise fora do treinamento; empregou-se floresta aleatória com cem estimadores, profundidade limitada, partição 80/20, estratificação e ponderação de classes.</w:t>
      </w:r>
    </w:p>
    <w:p>
      <w:pPr>
        <w:spacing w:line="360" w:lineRule="auto" w:after="0" w:before="0"/>
        <w:ind w:firstLine="709"/>
        <w:jc w:val="both"/>
      </w:pPr>
      <w:r>
        <w:rPr>
          <w:rFonts w:ascii="Times New Roman" w:hAnsi="Times New Roman" w:cs="Times New Roman"/>
          <w:b w:val="0"/>
          <w:i w:val="0"/>
          <w:sz w:val="24"/>
        </w:rPr>
        <w:t>Na regressão preditiva, o gradient boosting com perda quantílica estimou os quantis P10, P50 e P90 do valor solicitado, condicionados à unidade da federação, ao tipo de desastre, à faixa de capacidade, ao grupo comportamental e à faixa populacional; a resposta foi o logaritmo do valor, restrita aos processos aprovados acima de R$ 1.000. Cada processo foi então classificado como normal (entre P10 e P90), baixo (abaixo do P10) ou alto (acima do P90, indício de superdimensionamento). A floresta de isolamento, por fim, usou contaminação esperada de 5%. O quadro a seguir sintetiza as fases, os algoritmos e as métricas.</w:t>
      </w:r>
    </w:p>
    <w:p>
      <w:pPr>
        <w:spacing w:before="160" w:after="40" w:line="240" w:lineRule="auto"/>
        <w:ind w:firstLine="0"/>
      </w:pPr>
      <w:r>
        <w:rPr>
          <w:rFonts w:ascii="Times New Roman" w:hAnsi="Times New Roman" w:cs="Times New Roman"/>
          <w:b/>
          <w:i w:val="0"/>
          <w:sz w:val="22"/>
        </w:rPr>
        <w:t>Quadro 1 - Síntese do pipeline analítico em cinco fases</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ind w:firstLine="0"/>
              <w:jc w:val="center"/>
            </w:pPr>
            <w:r>
              <w:rPr>
                <w:rFonts w:ascii="Times New Roman" w:hAnsi="Times New Roman" w:cs="Times New Roman"/>
                <w:b/>
                <w:i w:val="0"/>
                <w:sz w:val="22"/>
              </w:rPr>
              <w:t>Fase</w:t>
            </w:r>
          </w:p>
        </w:tc>
        <w:tc>
          <w:tcPr>
            <w:tcW w:type="dxa" w:w="2126"/>
          </w:tcPr>
          <w:p>
            <w:pPr>
              <w:spacing w:line="240" w:lineRule="auto"/>
              <w:ind w:firstLine="0"/>
              <w:jc w:val="center"/>
            </w:pPr>
            <w:r>
              <w:rPr>
                <w:rFonts w:ascii="Times New Roman" w:hAnsi="Times New Roman" w:cs="Times New Roman"/>
                <w:b/>
                <w:i w:val="0"/>
                <w:sz w:val="22"/>
              </w:rPr>
              <w:t>Técnica / Algoritmo</w:t>
            </w:r>
          </w:p>
        </w:tc>
        <w:tc>
          <w:tcPr>
            <w:tcW w:type="dxa" w:w="2126"/>
          </w:tcPr>
          <w:p>
            <w:pPr>
              <w:spacing w:line="240" w:lineRule="auto"/>
              <w:ind w:firstLine="0"/>
              <w:jc w:val="center"/>
            </w:pPr>
            <w:r>
              <w:rPr>
                <w:rFonts w:ascii="Times New Roman" w:hAnsi="Times New Roman" w:cs="Times New Roman"/>
                <w:b/>
                <w:i w:val="0"/>
                <w:sz w:val="22"/>
              </w:rPr>
              <w:t>Objetivo</w:t>
            </w:r>
          </w:p>
        </w:tc>
        <w:tc>
          <w:tcPr>
            <w:tcW w:type="dxa" w:w="2126"/>
          </w:tcPr>
          <w:p>
            <w:pPr>
              <w:spacing w:line="240" w:lineRule="auto"/>
              <w:ind w:firstLine="0"/>
              <w:jc w:val="center"/>
            </w:pPr>
            <w:r>
              <w:rPr>
                <w:rFonts w:ascii="Times New Roman" w:hAnsi="Times New Roman" w:cs="Times New Roman"/>
                <w:b/>
                <w:i w:val="0"/>
                <w:sz w:val="22"/>
              </w:rPr>
              <w:t>Métrica principal</w:t>
            </w:r>
          </w:p>
        </w:tc>
      </w:tr>
      <w:tr>
        <w:tc>
          <w:tcPr>
            <w:tcW w:type="dxa" w:w="2126"/>
          </w:tcPr>
          <w:p>
            <w:pPr>
              <w:spacing w:line="240" w:lineRule="auto"/>
              <w:ind w:firstLine="0"/>
              <w:jc w:val="left"/>
            </w:pPr>
            <w:r>
              <w:rPr>
                <w:rFonts w:ascii="Times New Roman" w:hAnsi="Times New Roman" w:cs="Times New Roman"/>
                <w:b w:val="0"/>
                <w:i w:val="0"/>
                <w:sz w:val="22"/>
              </w:rPr>
              <w:t>1</w:t>
            </w:r>
          </w:p>
        </w:tc>
        <w:tc>
          <w:tcPr>
            <w:tcW w:type="dxa" w:w="2126"/>
          </w:tcPr>
          <w:p>
            <w:pPr>
              <w:spacing w:line="240" w:lineRule="auto"/>
              <w:ind w:firstLine="0"/>
              <w:jc w:val="center"/>
            </w:pPr>
            <w:r>
              <w:rPr>
                <w:rFonts w:ascii="Times New Roman" w:hAnsi="Times New Roman" w:cs="Times New Roman"/>
                <w:b w:val="0"/>
                <w:i w:val="0"/>
                <w:sz w:val="22"/>
              </w:rPr>
              <w:t>Regressão exploratória; Isolation Forest</w:t>
            </w:r>
          </w:p>
        </w:tc>
        <w:tc>
          <w:tcPr>
            <w:tcW w:type="dxa" w:w="2126"/>
          </w:tcPr>
          <w:p>
            <w:pPr>
              <w:spacing w:line="240" w:lineRule="auto"/>
              <w:ind w:firstLine="0"/>
              <w:jc w:val="center"/>
            </w:pPr>
            <w:r>
              <w:rPr>
                <w:rFonts w:ascii="Times New Roman" w:hAnsi="Times New Roman" w:cs="Times New Roman"/>
                <w:b w:val="0"/>
                <w:i w:val="0"/>
                <w:sz w:val="22"/>
              </w:rPr>
              <w:t>Diagnóstico e hipóteses</w:t>
            </w:r>
          </w:p>
        </w:tc>
        <w:tc>
          <w:tcPr>
            <w:tcW w:type="dxa" w:w="2126"/>
          </w:tcPr>
          <w:p>
            <w:pPr>
              <w:spacing w:line="240" w:lineRule="auto"/>
              <w:ind w:firstLine="0"/>
              <w:jc w:val="center"/>
            </w:pPr>
            <w:r>
              <w:rPr>
                <w:rFonts w:ascii="Times New Roman" w:hAnsi="Times New Roman" w:cs="Times New Roman"/>
                <w:b w:val="0"/>
                <w:i w:val="0"/>
                <w:sz w:val="22"/>
              </w:rPr>
              <w:t>Estatística descritiva</w:t>
            </w:r>
          </w:p>
        </w:tc>
      </w:tr>
      <w:tr>
        <w:tc>
          <w:tcPr>
            <w:tcW w:type="dxa" w:w="2126"/>
          </w:tcPr>
          <w:p>
            <w:pPr>
              <w:spacing w:line="240" w:lineRule="auto"/>
              <w:ind w:firstLine="0"/>
              <w:jc w:val="left"/>
            </w:pPr>
            <w:r>
              <w:rPr>
                <w:rFonts w:ascii="Times New Roman" w:hAnsi="Times New Roman" w:cs="Times New Roman"/>
                <w:b w:val="0"/>
                <w:i w:val="0"/>
                <w:sz w:val="22"/>
              </w:rPr>
              <w:t>2</w:t>
            </w:r>
          </w:p>
        </w:tc>
        <w:tc>
          <w:tcPr>
            <w:tcW w:type="dxa" w:w="2126"/>
          </w:tcPr>
          <w:p>
            <w:pPr>
              <w:spacing w:line="240" w:lineRule="auto"/>
              <w:ind w:firstLine="0"/>
              <w:jc w:val="center"/>
            </w:pPr>
            <w:r>
              <w:rPr>
                <w:rFonts w:ascii="Times New Roman" w:hAnsi="Times New Roman" w:cs="Times New Roman"/>
                <w:b w:val="0"/>
                <w:i w:val="0"/>
                <w:sz w:val="22"/>
              </w:rPr>
              <w:t>K-médias (k=4)</w:t>
            </w:r>
          </w:p>
        </w:tc>
        <w:tc>
          <w:tcPr>
            <w:tcW w:type="dxa" w:w="2126"/>
          </w:tcPr>
          <w:p>
            <w:pPr>
              <w:spacing w:line="240" w:lineRule="auto"/>
              <w:ind w:firstLine="0"/>
              <w:jc w:val="center"/>
            </w:pPr>
            <w:r>
              <w:rPr>
                <w:rFonts w:ascii="Times New Roman" w:hAnsi="Times New Roman" w:cs="Times New Roman"/>
                <w:b w:val="0"/>
                <w:i w:val="0"/>
                <w:sz w:val="22"/>
              </w:rPr>
              <w:t>Segmentação comportamental</w:t>
            </w:r>
          </w:p>
        </w:tc>
        <w:tc>
          <w:tcPr>
            <w:tcW w:type="dxa" w:w="2126"/>
          </w:tcPr>
          <w:p>
            <w:pPr>
              <w:spacing w:line="240" w:lineRule="auto"/>
              <w:ind w:firstLine="0"/>
              <w:jc w:val="center"/>
            </w:pPr>
            <w:r>
              <w:rPr>
                <w:rFonts w:ascii="Times New Roman" w:hAnsi="Times New Roman" w:cs="Times New Roman"/>
                <w:b w:val="0"/>
                <w:i w:val="0"/>
                <w:sz w:val="22"/>
              </w:rPr>
              <w:t>Silhueta</w:t>
            </w:r>
          </w:p>
        </w:tc>
      </w:tr>
      <w:tr>
        <w:tc>
          <w:tcPr>
            <w:tcW w:type="dxa" w:w="2126"/>
          </w:tcPr>
          <w:p>
            <w:pPr>
              <w:spacing w:line="240" w:lineRule="auto"/>
              <w:ind w:firstLine="0"/>
              <w:jc w:val="left"/>
            </w:pPr>
            <w:r>
              <w:rPr>
                <w:rFonts w:ascii="Times New Roman" w:hAnsi="Times New Roman" w:cs="Times New Roman"/>
                <w:b w:val="0"/>
                <w:i w:val="0"/>
                <w:sz w:val="22"/>
              </w:rPr>
              <w:t>3</w:t>
            </w:r>
          </w:p>
        </w:tc>
        <w:tc>
          <w:tcPr>
            <w:tcW w:type="dxa" w:w="2126"/>
          </w:tcPr>
          <w:p>
            <w:pPr>
              <w:spacing w:line="240" w:lineRule="auto"/>
              <w:ind w:firstLine="0"/>
              <w:jc w:val="center"/>
            </w:pPr>
            <w:r>
              <w:rPr>
                <w:rFonts w:ascii="Times New Roman" w:hAnsi="Times New Roman" w:cs="Times New Roman"/>
                <w:b w:val="0"/>
                <w:i w:val="0"/>
                <w:sz w:val="22"/>
              </w:rPr>
              <w:t>Florestas aleatórias</w:t>
            </w:r>
          </w:p>
        </w:tc>
        <w:tc>
          <w:tcPr>
            <w:tcW w:type="dxa" w:w="2126"/>
          </w:tcPr>
          <w:p>
            <w:pPr>
              <w:spacing w:line="240" w:lineRule="auto"/>
              <w:ind w:firstLine="0"/>
              <w:jc w:val="center"/>
            </w:pPr>
            <w:r>
              <w:rPr>
                <w:rFonts w:ascii="Times New Roman" w:hAnsi="Times New Roman" w:cs="Times New Roman"/>
                <w:b w:val="0"/>
                <w:i w:val="0"/>
                <w:sz w:val="22"/>
              </w:rPr>
              <w:t>Previsão de aprovação</w:t>
            </w:r>
          </w:p>
        </w:tc>
        <w:tc>
          <w:tcPr>
            <w:tcW w:type="dxa" w:w="2126"/>
          </w:tcPr>
          <w:p>
            <w:pPr>
              <w:spacing w:line="240" w:lineRule="auto"/>
              <w:ind w:firstLine="0"/>
              <w:jc w:val="center"/>
            </w:pPr>
            <w:r>
              <w:rPr>
                <w:rFonts w:ascii="Times New Roman" w:hAnsi="Times New Roman" w:cs="Times New Roman"/>
                <w:b w:val="0"/>
                <w:i w:val="0"/>
                <w:sz w:val="22"/>
              </w:rPr>
              <w:t>ROC-AUC = 0,7972</w:t>
            </w:r>
          </w:p>
        </w:tc>
      </w:tr>
      <w:tr>
        <w:tc>
          <w:tcPr>
            <w:tcW w:type="dxa" w:w="2126"/>
          </w:tcPr>
          <w:p>
            <w:pPr>
              <w:spacing w:line="240" w:lineRule="auto"/>
              <w:ind w:firstLine="0"/>
              <w:jc w:val="left"/>
            </w:pPr>
            <w:r>
              <w:rPr>
                <w:rFonts w:ascii="Times New Roman" w:hAnsi="Times New Roman" w:cs="Times New Roman"/>
                <w:b w:val="0"/>
                <w:i w:val="0"/>
                <w:sz w:val="22"/>
              </w:rPr>
              <w:t>4</w:t>
            </w:r>
          </w:p>
        </w:tc>
        <w:tc>
          <w:tcPr>
            <w:tcW w:type="dxa" w:w="2126"/>
          </w:tcPr>
          <w:p>
            <w:pPr>
              <w:spacing w:line="240" w:lineRule="auto"/>
              <w:ind w:firstLine="0"/>
              <w:jc w:val="center"/>
            </w:pPr>
            <w:r>
              <w:rPr>
                <w:rFonts w:ascii="Times New Roman" w:hAnsi="Times New Roman" w:cs="Times New Roman"/>
                <w:b w:val="0"/>
                <w:i w:val="0"/>
                <w:sz w:val="22"/>
              </w:rPr>
              <w:t>Gradient boosting quantílico</w:t>
            </w:r>
          </w:p>
        </w:tc>
        <w:tc>
          <w:tcPr>
            <w:tcW w:type="dxa" w:w="2126"/>
          </w:tcPr>
          <w:p>
            <w:pPr>
              <w:spacing w:line="240" w:lineRule="auto"/>
              <w:ind w:firstLine="0"/>
              <w:jc w:val="center"/>
            </w:pPr>
            <w:r>
              <w:rPr>
                <w:rFonts w:ascii="Times New Roman" w:hAnsi="Times New Roman" w:cs="Times New Roman"/>
                <w:b w:val="0"/>
                <w:i w:val="0"/>
                <w:sz w:val="22"/>
              </w:rPr>
              <w:t>Faixa de “valor justo”</w:t>
            </w:r>
          </w:p>
        </w:tc>
        <w:tc>
          <w:tcPr>
            <w:tcW w:type="dxa" w:w="2126"/>
          </w:tcPr>
          <w:p>
            <w:pPr>
              <w:spacing w:line="240" w:lineRule="auto"/>
              <w:ind w:firstLine="0"/>
              <w:jc w:val="center"/>
            </w:pPr>
            <w:r>
              <w:rPr>
                <w:rFonts w:ascii="Times New Roman" w:hAnsi="Times New Roman" w:cs="Times New Roman"/>
                <w:b w:val="0"/>
                <w:i w:val="0"/>
                <w:sz w:val="22"/>
              </w:rPr>
              <w:t>Cobertura P10-P90 = 76,3%</w:t>
            </w:r>
          </w:p>
        </w:tc>
      </w:tr>
      <w:tr>
        <w:tc>
          <w:tcPr>
            <w:tcW w:type="dxa" w:w="2126"/>
          </w:tcPr>
          <w:p>
            <w:pPr>
              <w:spacing w:line="240" w:lineRule="auto"/>
              <w:ind w:firstLine="0"/>
              <w:jc w:val="left"/>
            </w:pPr>
            <w:r>
              <w:rPr>
                <w:rFonts w:ascii="Times New Roman" w:hAnsi="Times New Roman" w:cs="Times New Roman"/>
                <w:b w:val="0"/>
                <w:i w:val="0"/>
                <w:sz w:val="22"/>
              </w:rPr>
              <w:t>5</w:t>
            </w:r>
          </w:p>
        </w:tc>
        <w:tc>
          <w:tcPr>
            <w:tcW w:type="dxa" w:w="2126"/>
          </w:tcPr>
          <w:p>
            <w:pPr>
              <w:spacing w:line="240" w:lineRule="auto"/>
              <w:ind w:firstLine="0"/>
              <w:jc w:val="center"/>
            </w:pPr>
            <w:r>
              <w:rPr>
                <w:rFonts w:ascii="Times New Roman" w:hAnsi="Times New Roman" w:cs="Times New Roman"/>
                <w:b w:val="0"/>
                <w:i w:val="0"/>
                <w:sz w:val="22"/>
              </w:rPr>
              <w:t>Isolation Forest; simulador</w:t>
            </w:r>
          </w:p>
        </w:tc>
        <w:tc>
          <w:tcPr>
            <w:tcW w:type="dxa" w:w="2126"/>
          </w:tcPr>
          <w:p>
            <w:pPr>
              <w:spacing w:line="240" w:lineRule="auto"/>
              <w:ind w:firstLine="0"/>
              <w:jc w:val="center"/>
            </w:pPr>
            <w:r>
              <w:rPr>
                <w:rFonts w:ascii="Times New Roman" w:hAnsi="Times New Roman" w:cs="Times New Roman"/>
                <w:b w:val="0"/>
                <w:i w:val="0"/>
                <w:sz w:val="22"/>
              </w:rPr>
              <w:t>Detecção de anomalias</w:t>
            </w:r>
          </w:p>
        </w:tc>
        <w:tc>
          <w:tcPr>
            <w:tcW w:type="dxa" w:w="2126"/>
          </w:tcPr>
          <w:p>
            <w:pPr>
              <w:spacing w:line="240" w:lineRule="auto"/>
              <w:ind w:firstLine="0"/>
              <w:jc w:val="center"/>
            </w:pPr>
            <w:r>
              <w:rPr>
                <w:rFonts w:ascii="Times New Roman" w:hAnsi="Times New Roman" w:cs="Times New Roman"/>
                <w:b w:val="0"/>
                <w:i w:val="0"/>
                <w:sz w:val="22"/>
              </w:rPr>
              <w:t>320 anomalias</w:t>
            </w:r>
          </w:p>
        </w:tc>
      </w:tr>
    </w:tbl>
    <w:p>
      <w:pPr>
        <w:spacing w:after="160" w:line="240" w:lineRule="auto"/>
        <w:ind w:firstLine="0"/>
      </w:pPr>
      <w:r>
        <w:rPr>
          <w:rFonts w:ascii="Times New Roman" w:hAnsi="Times New Roman" w:cs="Times New Roman"/>
          <w:b w:val="0"/>
          <w:i w:val="0"/>
          <w:sz w:val="20"/>
        </w:rPr>
        <w:t>Fonte: elaboração própria.</w:t>
      </w:r>
    </w:p>
    <w:p>
      <w:pPr>
        <w:spacing w:line="360" w:lineRule="auto" w:after="0" w:before="0"/>
        <w:ind w:firstLine="709"/>
        <w:jc w:val="both"/>
      </w:pPr>
      <w:r>
        <w:rPr>
          <w:rFonts w:ascii="Times New Roman" w:hAnsi="Times New Roman" w:cs="Times New Roman"/>
          <w:b w:val="0"/>
          <w:i w:val="0"/>
          <w:sz w:val="24"/>
        </w:rPr>
        <w:t>As métricas acompanham a natureza de cada tarefa: a área sob a curva ROC, robusta ao desequilíbrio entre classes, para a classificação; a cobertura do intervalo entre quantis, complementada pelo coeficiente de determinação no espaço logarítmico, para a regressão quantílica; e a silhueta, para a coesão e a separação dos grupos no agrupamento. Essa diversidade previne a avaliação de um modelo por critérios concebidos para outra finalidade.</w:t>
      </w:r>
    </w:p>
    <w:p>
      <w:pPr>
        <w:keepNext/>
        <w:spacing w:line="360" w:lineRule="auto" w:before="240" w:after="120"/>
        <w:ind w:firstLine="0"/>
        <w:jc w:val="left"/>
      </w:pPr>
      <w:r>
        <w:rPr>
          <w:rFonts w:ascii="Times New Roman" w:hAnsi="Times New Roman" w:cs="Times New Roman"/>
          <w:b/>
          <w:i w:val="0"/>
          <w:sz w:val="24"/>
        </w:rPr>
        <w:t>3.3 O motor de previsão de severidade</w:t>
      </w:r>
    </w:p>
    <w:p>
      <w:pPr>
        <w:spacing w:line="360" w:lineRule="auto" w:after="0" w:before="0"/>
        <w:ind w:firstLine="709"/>
        <w:jc w:val="both"/>
      </w:pPr>
      <w:r>
        <w:rPr>
          <w:rFonts w:ascii="Times New Roman" w:hAnsi="Times New Roman" w:cs="Times New Roman"/>
          <w:b w:val="0"/>
          <w:i w:val="0"/>
          <w:sz w:val="24"/>
        </w:rPr>
        <w:t>A solução de previsão, complementar ao pipeline de reconstrução, apoia-se em um modelo de aprendizado de máquina treinado com dados históricos do Atlas Brasileiro de Desastres Naturais (CEPED/UFSC, 2023), de bases do Instituto Brasileiro de Geografia e Estatística referentes ao produto interno bruto municipal e à hierarquia urbana (IBGE, 2020, 2023) e de indicadores de cobertura da atenção básica do Departamento de Informática do Sistema Único de Saúde (BRASIL, 2024), com o propósito de antecipar o impacto de um novo evento. O modelo prevê quatro categorias de dano. A ocorrência de vítimas é tratada como classificação binária, orientada a maximizar a detecção de eventos com vítimas fatais ou feridos. Os danos humanos totais, os danos materiais e os prejuízos econômicos são tratados como classificação multiclasse em três níveis, designados nenhum, baixo e alto, de modo a estimar, respectivamente, a magnitude das pessoas afetadas, o nível de destruição de infraestrutura e o impacto financeiro para os setores público e privado.</w:t>
      </w:r>
    </w:p>
    <w:p>
      <w:pPr>
        <w:spacing w:line="360" w:lineRule="auto" w:after="0" w:before="0"/>
        <w:ind w:firstLine="709"/>
        <w:jc w:val="both"/>
      </w:pPr>
      <w:r>
        <w:rPr>
          <w:rFonts w:ascii="Times New Roman" w:hAnsi="Times New Roman" w:cs="Times New Roman"/>
          <w:b w:val="0"/>
          <w:i w:val="0"/>
          <w:sz w:val="24"/>
        </w:rPr>
        <w:t>A escolha por classificações em níveis, em vez de previsões pontuais, responde à elevada variabilidade dos danos e à finalidade de triagem da ferramenta, que se destina a ordenar eventos por gravidade provável, e não a estimar valores exatos. A solução foi disponibilizada em ambiente de demonstração de acesso público, o que permite a consulta interativa das previsões e evidencia a viabilidade técnica de sua incorporação à rotina dos órgãos de defesa civil.</w:t>
      </w:r>
    </w:p>
    <w:p>
      <w:pPr>
        <w:keepNext/>
        <w:spacing w:line="360" w:lineRule="auto" w:before="240" w:after="120"/>
        <w:ind w:firstLine="0"/>
        <w:jc w:val="left"/>
      </w:pPr>
      <w:r>
        <w:rPr>
          <w:rFonts w:ascii="Times New Roman" w:hAnsi="Times New Roman" w:cs="Times New Roman"/>
          <w:b/>
          <w:i w:val="0"/>
          <w:sz w:val="24"/>
        </w:rPr>
        <w:t>3.4 Reprodutibilidade</w:t>
      </w:r>
    </w:p>
    <w:p>
      <w:pPr>
        <w:spacing w:line="360" w:lineRule="auto" w:after="0" w:before="0"/>
        <w:ind w:firstLine="709"/>
        <w:jc w:val="both"/>
      </w:pPr>
      <w:r>
        <w:rPr>
          <w:rFonts w:ascii="Times New Roman" w:hAnsi="Times New Roman" w:cs="Times New Roman"/>
          <w:b w:val="0"/>
          <w:i w:val="0"/>
          <w:sz w:val="24"/>
        </w:rPr>
        <w:t>Todas as análises foram implementadas em Python, com o uso das bibliotecas pandas, NumPy e scikit-learn, e com sementes aleatórias fixas (random_state = 42) em todos os modelos, de modo a assegurar a reprodutibilidade dos resultados. O código-fonte, os dados de trabalho e os artefatos de saída encontram-se disponíveis no repositório do projeto, com as versões das bibliotecas fixadas, o que permite a verificação independente dos números aqui reportados. Os resultados das cinco fases foram auditados por reexecução dos modelos e reproduzidos de forma exata no ambiente especificado. Registre-se que a regressão quantílica da quarta fase é sensível à versão da biblioteca, uma vez que o comportamento do algoritmo de gradient boosting com perda quantílica se altera a partir da versão 1.9 do scikit-learn; por essa razão, o ambiente de referência foi fixado em versão anterior, na qual a contagem de processos sinalizados reproduz exatamente a aqui reportada.</w:t>
      </w:r>
    </w:p>
    <w:p>
      <w:pPr>
        <w:keepNext/>
        <w:spacing w:line="360" w:lineRule="auto" w:before="240" w:after="120"/>
        <w:ind w:firstLine="0"/>
        <w:jc w:val="left"/>
      </w:pPr>
      <w:r>
        <w:rPr>
          <w:rFonts w:ascii="Times New Roman" w:hAnsi="Times New Roman" w:cs="Times New Roman"/>
          <w:b/>
          <w:i w:val="0"/>
          <w:sz w:val="24"/>
        </w:rPr>
        <w:t>4 Resultados</w:t>
      </w:r>
    </w:p>
    <w:p>
      <w:pPr>
        <w:keepNext/>
        <w:spacing w:line="360" w:lineRule="auto" w:before="240" w:after="120"/>
        <w:ind w:firstLine="0"/>
        <w:jc w:val="left"/>
      </w:pPr>
      <w:r>
        <w:rPr>
          <w:rFonts w:ascii="Times New Roman" w:hAnsi="Times New Roman" w:cs="Times New Roman"/>
          <w:b/>
          <w:i w:val="0"/>
          <w:sz w:val="24"/>
        </w:rPr>
        <w:t>4.1 O paradoxo da capacidade institucional</w:t>
      </w:r>
    </w:p>
    <w:p>
      <w:pPr>
        <w:spacing w:line="360" w:lineRule="auto" w:after="0" w:before="0"/>
        <w:ind w:firstLine="709"/>
        <w:jc w:val="both"/>
      </w:pPr>
      <w:r>
        <w:rPr>
          <w:rFonts w:ascii="Times New Roman" w:hAnsi="Times New Roman" w:cs="Times New Roman"/>
          <w:b w:val="0"/>
          <w:i w:val="0"/>
          <w:sz w:val="24"/>
        </w:rPr>
        <w:t>A análise da distribuição dos valores por faixa de capacidade revela um padrão que contraria a intuição inicial. Os municípios classificados na faixa D, de baixa capacidade institucional, apresentam valor médio solicitado de R$ 28,68 milhões, ao passo que os municípios da faixa A, de alta capacidade, solicitam, em média, R$ 9,74 milhões. A razão entre os dois valores é de 2,94, o que significa que os municípios mais vulneráveis demandam, em média, quase três vezes mais recursos por processo do que os mais bem estruturados. A faixa D concentra, ademais, 51% do total de recursos solicitados, embora reúna cerca de um quarto dos municípios analisados. Esse achado, que se poderia denominar paradoxo da capacidade institucional, constitui o ponto de partida das análises subsequentes.</w:t>
      </w:r>
    </w:p>
    <w:p>
      <w:pPr>
        <w:spacing w:before="160" w:after="40" w:line="240" w:lineRule="auto"/>
        <w:ind w:firstLine="0"/>
      </w:pPr>
      <w:r>
        <w:rPr>
          <w:rFonts w:ascii="Times New Roman" w:hAnsi="Times New Roman" w:cs="Times New Roman"/>
          <w:b/>
          <w:i w:val="0"/>
          <w:sz w:val="22"/>
        </w:rPr>
        <w:t>Tabela 1 - Valor médio solicitado e participação no total por faixa de capacidade</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ind w:firstLine="0"/>
              <w:jc w:val="center"/>
            </w:pPr>
            <w:r>
              <w:rPr>
                <w:rFonts w:ascii="Times New Roman" w:hAnsi="Times New Roman" w:cs="Times New Roman"/>
                <w:b/>
                <w:i w:val="0"/>
                <w:sz w:val="22"/>
              </w:rPr>
              <w:t>Faixa</w:t>
            </w:r>
          </w:p>
        </w:tc>
        <w:tc>
          <w:tcPr>
            <w:tcW w:type="dxa" w:w="2126"/>
          </w:tcPr>
          <w:p>
            <w:pPr>
              <w:spacing w:line="240" w:lineRule="auto"/>
              <w:ind w:firstLine="0"/>
              <w:jc w:val="center"/>
            </w:pPr>
            <w:r>
              <w:rPr>
                <w:rFonts w:ascii="Times New Roman" w:hAnsi="Times New Roman" w:cs="Times New Roman"/>
                <w:b/>
                <w:i w:val="0"/>
                <w:sz w:val="22"/>
              </w:rPr>
              <w:t>Capacidade</w:t>
            </w:r>
          </w:p>
        </w:tc>
        <w:tc>
          <w:tcPr>
            <w:tcW w:type="dxa" w:w="2126"/>
          </w:tcPr>
          <w:p>
            <w:pPr>
              <w:spacing w:line="240" w:lineRule="auto"/>
              <w:ind w:firstLine="0"/>
              <w:jc w:val="center"/>
            </w:pPr>
            <w:r>
              <w:rPr>
                <w:rFonts w:ascii="Times New Roman" w:hAnsi="Times New Roman" w:cs="Times New Roman"/>
                <w:b/>
                <w:i w:val="0"/>
                <w:sz w:val="22"/>
              </w:rPr>
              <w:t>Valor médio (R$)</w:t>
            </w:r>
          </w:p>
        </w:tc>
        <w:tc>
          <w:tcPr>
            <w:tcW w:type="dxa" w:w="2126"/>
          </w:tcPr>
          <w:p>
            <w:pPr>
              <w:spacing w:line="240" w:lineRule="auto"/>
              <w:ind w:firstLine="0"/>
              <w:jc w:val="center"/>
            </w:pPr>
            <w:r>
              <w:rPr>
                <w:rFonts w:ascii="Times New Roman" w:hAnsi="Times New Roman" w:cs="Times New Roman"/>
                <w:b/>
                <w:i w:val="0"/>
                <w:sz w:val="22"/>
              </w:rPr>
              <w:t>% do total</w:t>
            </w:r>
          </w:p>
        </w:tc>
      </w:tr>
      <w:tr>
        <w:tc>
          <w:tcPr>
            <w:tcW w:type="dxa" w:w="2126"/>
          </w:tcPr>
          <w:p>
            <w:pPr>
              <w:spacing w:line="240" w:lineRule="auto"/>
              <w:ind w:firstLine="0"/>
              <w:jc w:val="left"/>
            </w:pPr>
            <w:r>
              <w:rPr>
                <w:rFonts w:ascii="Times New Roman" w:hAnsi="Times New Roman" w:cs="Times New Roman"/>
                <w:b w:val="0"/>
                <w:i w:val="0"/>
                <w:sz w:val="22"/>
              </w:rPr>
              <w:t>A</w:t>
            </w:r>
          </w:p>
        </w:tc>
        <w:tc>
          <w:tcPr>
            <w:tcW w:type="dxa" w:w="2126"/>
          </w:tcPr>
          <w:p>
            <w:pPr>
              <w:spacing w:line="240" w:lineRule="auto"/>
              <w:ind w:firstLine="0"/>
              <w:jc w:val="center"/>
            </w:pPr>
            <w:r>
              <w:rPr>
                <w:rFonts w:ascii="Times New Roman" w:hAnsi="Times New Roman" w:cs="Times New Roman"/>
                <w:b w:val="0"/>
                <w:i w:val="0"/>
                <w:sz w:val="22"/>
              </w:rPr>
              <w:t>Alta</w:t>
            </w:r>
          </w:p>
        </w:tc>
        <w:tc>
          <w:tcPr>
            <w:tcW w:type="dxa" w:w="2126"/>
          </w:tcPr>
          <w:p>
            <w:pPr>
              <w:spacing w:line="240" w:lineRule="auto"/>
              <w:ind w:firstLine="0"/>
              <w:jc w:val="center"/>
            </w:pPr>
            <w:r>
              <w:rPr>
                <w:rFonts w:ascii="Times New Roman" w:hAnsi="Times New Roman" w:cs="Times New Roman"/>
                <w:b w:val="0"/>
                <w:i w:val="0"/>
                <w:sz w:val="22"/>
              </w:rPr>
              <w:t>9,74 milhões</w:t>
            </w:r>
          </w:p>
        </w:tc>
        <w:tc>
          <w:tcPr>
            <w:tcW w:type="dxa" w:w="2126"/>
          </w:tcPr>
          <w:p>
            <w:pPr>
              <w:spacing w:line="240" w:lineRule="auto"/>
              <w:ind w:firstLine="0"/>
              <w:jc w:val="center"/>
            </w:pPr>
            <w:r>
              <w:rPr>
                <w:rFonts w:ascii="Times New Roman" w:hAnsi="Times New Roman" w:cs="Times New Roman"/>
                <w:b w:val="0"/>
                <w:i w:val="0"/>
                <w:sz w:val="22"/>
              </w:rPr>
              <w:t>8%</w:t>
            </w:r>
          </w:p>
        </w:tc>
      </w:tr>
      <w:tr>
        <w:tc>
          <w:tcPr>
            <w:tcW w:type="dxa" w:w="2126"/>
          </w:tcPr>
          <w:p>
            <w:pPr>
              <w:spacing w:line="240" w:lineRule="auto"/>
              <w:ind w:firstLine="0"/>
              <w:jc w:val="left"/>
            </w:pPr>
            <w:r>
              <w:rPr>
                <w:rFonts w:ascii="Times New Roman" w:hAnsi="Times New Roman" w:cs="Times New Roman"/>
                <w:b w:val="0"/>
                <w:i w:val="0"/>
                <w:sz w:val="22"/>
              </w:rPr>
              <w:t>B</w:t>
            </w:r>
          </w:p>
        </w:tc>
        <w:tc>
          <w:tcPr>
            <w:tcW w:type="dxa" w:w="2126"/>
          </w:tcPr>
          <w:p>
            <w:pPr>
              <w:spacing w:line="240" w:lineRule="auto"/>
              <w:ind w:firstLine="0"/>
              <w:jc w:val="center"/>
            </w:pPr>
            <w:r>
              <w:rPr>
                <w:rFonts w:ascii="Times New Roman" w:hAnsi="Times New Roman" w:cs="Times New Roman"/>
                <w:b w:val="0"/>
                <w:i w:val="0"/>
                <w:sz w:val="22"/>
              </w:rPr>
              <w:t>Média-alta</w:t>
            </w:r>
          </w:p>
        </w:tc>
        <w:tc>
          <w:tcPr>
            <w:tcW w:type="dxa" w:w="2126"/>
          </w:tcPr>
          <w:p>
            <w:pPr>
              <w:spacing w:line="240" w:lineRule="auto"/>
              <w:ind w:firstLine="0"/>
              <w:jc w:val="center"/>
            </w:pPr>
            <w:r>
              <w:rPr>
                <w:rFonts w:ascii="Times New Roman" w:hAnsi="Times New Roman" w:cs="Times New Roman"/>
                <w:b w:val="0"/>
                <w:i w:val="0"/>
                <w:sz w:val="22"/>
              </w:rPr>
              <w:t>9,79 milhões</w:t>
            </w:r>
          </w:p>
        </w:tc>
        <w:tc>
          <w:tcPr>
            <w:tcW w:type="dxa" w:w="2126"/>
          </w:tcPr>
          <w:p>
            <w:pPr>
              <w:spacing w:line="240" w:lineRule="auto"/>
              <w:ind w:firstLine="0"/>
              <w:jc w:val="center"/>
            </w:pPr>
            <w:r>
              <w:rPr>
                <w:rFonts w:ascii="Times New Roman" w:hAnsi="Times New Roman" w:cs="Times New Roman"/>
                <w:b w:val="0"/>
                <w:i w:val="0"/>
                <w:sz w:val="22"/>
              </w:rPr>
              <w:t>20%</w:t>
            </w:r>
          </w:p>
        </w:tc>
      </w:tr>
      <w:tr>
        <w:tc>
          <w:tcPr>
            <w:tcW w:type="dxa" w:w="2126"/>
          </w:tcPr>
          <w:p>
            <w:pPr>
              <w:spacing w:line="240" w:lineRule="auto"/>
              <w:ind w:firstLine="0"/>
              <w:jc w:val="left"/>
            </w:pPr>
            <w:r>
              <w:rPr>
                <w:rFonts w:ascii="Times New Roman" w:hAnsi="Times New Roman" w:cs="Times New Roman"/>
                <w:b w:val="0"/>
                <w:i w:val="0"/>
                <w:sz w:val="22"/>
              </w:rPr>
              <w:t>C</w:t>
            </w:r>
          </w:p>
        </w:tc>
        <w:tc>
          <w:tcPr>
            <w:tcW w:type="dxa" w:w="2126"/>
          </w:tcPr>
          <w:p>
            <w:pPr>
              <w:spacing w:line="240" w:lineRule="auto"/>
              <w:ind w:firstLine="0"/>
              <w:jc w:val="center"/>
            </w:pPr>
            <w:r>
              <w:rPr>
                <w:rFonts w:ascii="Times New Roman" w:hAnsi="Times New Roman" w:cs="Times New Roman"/>
                <w:b w:val="0"/>
                <w:i w:val="0"/>
                <w:sz w:val="22"/>
              </w:rPr>
              <w:t>Média-baixa</w:t>
            </w:r>
          </w:p>
        </w:tc>
        <w:tc>
          <w:tcPr>
            <w:tcW w:type="dxa" w:w="2126"/>
          </w:tcPr>
          <w:p>
            <w:pPr>
              <w:spacing w:line="240" w:lineRule="auto"/>
              <w:ind w:firstLine="0"/>
              <w:jc w:val="center"/>
            </w:pPr>
            <w:r>
              <w:rPr>
                <w:rFonts w:ascii="Times New Roman" w:hAnsi="Times New Roman" w:cs="Times New Roman"/>
                <w:b w:val="0"/>
                <w:i w:val="0"/>
                <w:sz w:val="22"/>
              </w:rPr>
              <w:t>6,63 milhões</w:t>
            </w:r>
          </w:p>
        </w:tc>
        <w:tc>
          <w:tcPr>
            <w:tcW w:type="dxa" w:w="2126"/>
          </w:tcPr>
          <w:p>
            <w:pPr>
              <w:spacing w:line="240" w:lineRule="auto"/>
              <w:ind w:firstLine="0"/>
              <w:jc w:val="center"/>
            </w:pPr>
            <w:r>
              <w:rPr>
                <w:rFonts w:ascii="Times New Roman" w:hAnsi="Times New Roman" w:cs="Times New Roman"/>
                <w:b w:val="0"/>
                <w:i w:val="0"/>
                <w:sz w:val="22"/>
              </w:rPr>
              <w:t>19%</w:t>
            </w:r>
          </w:p>
        </w:tc>
      </w:tr>
      <w:tr>
        <w:tc>
          <w:tcPr>
            <w:tcW w:type="dxa" w:w="2126"/>
          </w:tcPr>
          <w:p>
            <w:pPr>
              <w:spacing w:line="240" w:lineRule="auto"/>
              <w:ind w:firstLine="0"/>
              <w:jc w:val="left"/>
            </w:pPr>
            <w:r>
              <w:rPr>
                <w:rFonts w:ascii="Times New Roman" w:hAnsi="Times New Roman" w:cs="Times New Roman"/>
                <w:b w:val="0"/>
                <w:i w:val="0"/>
                <w:sz w:val="22"/>
              </w:rPr>
              <w:t>D</w:t>
            </w:r>
          </w:p>
        </w:tc>
        <w:tc>
          <w:tcPr>
            <w:tcW w:type="dxa" w:w="2126"/>
          </w:tcPr>
          <w:p>
            <w:pPr>
              <w:spacing w:line="240" w:lineRule="auto"/>
              <w:ind w:firstLine="0"/>
              <w:jc w:val="center"/>
            </w:pPr>
            <w:r>
              <w:rPr>
                <w:rFonts w:ascii="Times New Roman" w:hAnsi="Times New Roman" w:cs="Times New Roman"/>
                <w:b w:val="0"/>
                <w:i w:val="0"/>
                <w:sz w:val="22"/>
              </w:rPr>
              <w:t>Baixa</w:t>
            </w:r>
          </w:p>
        </w:tc>
        <w:tc>
          <w:tcPr>
            <w:tcW w:type="dxa" w:w="2126"/>
          </w:tcPr>
          <w:p>
            <w:pPr>
              <w:spacing w:line="240" w:lineRule="auto"/>
              <w:ind w:firstLine="0"/>
              <w:jc w:val="center"/>
            </w:pPr>
            <w:r>
              <w:rPr>
                <w:rFonts w:ascii="Times New Roman" w:hAnsi="Times New Roman" w:cs="Times New Roman"/>
                <w:b w:val="0"/>
                <w:i w:val="0"/>
                <w:sz w:val="22"/>
              </w:rPr>
              <w:t>28,68 milhões</w:t>
            </w:r>
          </w:p>
        </w:tc>
        <w:tc>
          <w:tcPr>
            <w:tcW w:type="dxa" w:w="2126"/>
          </w:tcPr>
          <w:p>
            <w:pPr>
              <w:spacing w:line="240" w:lineRule="auto"/>
              <w:ind w:firstLine="0"/>
              <w:jc w:val="center"/>
            </w:pPr>
            <w:r>
              <w:rPr>
                <w:rFonts w:ascii="Times New Roman" w:hAnsi="Times New Roman" w:cs="Times New Roman"/>
                <w:b w:val="0"/>
                <w:i w:val="0"/>
                <w:sz w:val="22"/>
              </w:rPr>
              <w:t>51%</w:t>
            </w:r>
          </w:p>
        </w:tc>
      </w:tr>
    </w:tbl>
    <w:p>
      <w:pPr>
        <w:spacing w:after="160" w:line="240" w:lineRule="auto"/>
        <w:ind w:firstLine="0"/>
      </w:pPr>
      <w:r>
        <w:rPr>
          <w:rFonts w:ascii="Times New Roman" w:hAnsi="Times New Roman" w:cs="Times New Roman"/>
          <w:b w:val="0"/>
          <w:i w:val="0"/>
          <w:sz w:val="20"/>
        </w:rPr>
        <w:t>Fonte: elaboração própria a partir dos dados de acompanhamento e do ICM.</w:t>
      </w:r>
    </w:p>
    <w:p>
      <w:pPr>
        <w:spacing w:line="360" w:lineRule="auto" w:after="0" w:before="0"/>
        <w:ind w:firstLine="709"/>
        <w:jc w:val="both"/>
      </w:pPr>
      <w:r>
        <w:rPr>
          <w:rFonts w:ascii="Times New Roman" w:hAnsi="Times New Roman" w:cs="Times New Roman"/>
          <w:b w:val="0"/>
          <w:i w:val="0"/>
          <w:sz w:val="24"/>
        </w:rPr>
        <w:t>A leitura desses números, contudo, exige cautela analítica. A mediana dos valores na faixa D situa-se em patamar inferior ao das demais faixas, o que indica que a média elevada é fortemente influenciada por um pequeno número de processos de valor muito alto. Verifica-se, portanto, que a distribuição na faixa D combina grande quantidade de solicitações modestas com poucos casos extremos, responsáveis por puxar a média para cima. Esse achado tem dupla implicação: por um lado, sugere que a vulnerabilidade institucional pode estar associada a eventos de impacto financeiro elevado; por outro, adverte contra interpretações que tomem a média como representativa do município típico da faixa, uma vez que os valores extremos podem refletir tanto desastres genuinamente severos quanto erros de registro ou superfaturamentos a investigar. A distinção entre essas possibilidades, retomada nas fases posteriores, é decisiva para a interpretação adequada do paradoxo.</w:t>
      </w:r>
    </w:p>
    <w:p>
      <w:pPr>
        <w:spacing w:line="360" w:lineRule="auto" w:after="0" w:before="0"/>
        <w:ind w:firstLine="709"/>
        <w:jc w:val="both"/>
      </w:pPr>
      <w:r>
        <w:rPr>
          <w:rFonts w:ascii="Times New Roman" w:hAnsi="Times New Roman" w:cs="Times New Roman"/>
          <w:b w:val="0"/>
          <w:i w:val="0"/>
          <w:sz w:val="24"/>
        </w:rPr>
        <w:t>O exame da série temporal reforça a relevância do tema. O ano de 2024 concentrou o maior volume de toda a série histórica, com 1.490 processos e cerca de R$ 8,6 bilhões em valores solicitados, em patamar muito superior ao dos anos anteriores. Esse pico, ainda que demande análise adicional, é compatível com a hipótese de intensificação dos eventos climáticos extremos e com a concentração de ocorrências em determinadas regiões, com destaque para o Rio Grande do Sul, que figura entre as unidades da federação com maior número de processos. A concentração regional e temporal das ocorrências sugere que a política de reconstrução opera sob pressão crescente e desigual, o que torna ainda mais premente a disponibilidade de instrumentos capazes de qualificar a alocação dos recursos.</w:t>
      </w:r>
    </w:p>
    <w:p>
      <w:pPr>
        <w:spacing w:line="360" w:lineRule="auto" w:after="0" w:before="0"/>
        <w:ind w:firstLine="709"/>
        <w:jc w:val="both"/>
      </w:pPr>
      <w:r>
        <w:rPr>
          <w:rFonts w:ascii="Times New Roman" w:hAnsi="Times New Roman" w:cs="Times New Roman"/>
          <w:b w:val="0"/>
          <w:i w:val="0"/>
          <w:sz w:val="24"/>
        </w:rPr>
        <w:t>O paradoxo da capacidade, longe de constituir mera curiosidade estatística, recoloca uma questão central para o desenho das políticas de reconstrução. Se os municípios de menor capacidade são precisamente os que demandam mais recursos, então a política tende a operar de modo reativo, transferindo volumes elevados a entes que dispõem de menor estrutura para aplicá-los de maneira eficiente e para prestar contas. Dessa forma, o achado aponta para a necessidade de articular a política de reconstrução a uma política de fortalecimento institucional, sob pena de que os recursos transferidos não se convertam em capacidade efetiva de resposta e prevenção. Essa articulação, contudo, depende de uma compreensão mais fina do comportamento dos municípios, que a mera classificação por faixas não é capaz de oferecer.</w:t>
      </w:r>
    </w:p>
    <w:p>
      <w:pPr>
        <w:keepNext/>
        <w:spacing w:line="360" w:lineRule="auto" w:before="240" w:after="120"/>
        <w:ind w:firstLine="0"/>
        <w:jc w:val="left"/>
      </w:pPr>
      <w:r>
        <w:rPr>
          <w:rFonts w:ascii="Times New Roman" w:hAnsi="Times New Roman" w:cs="Times New Roman"/>
          <w:b/>
          <w:i w:val="0"/>
          <w:sz w:val="24"/>
        </w:rPr>
        <w:t>4.2 Comportamento de demanda e segmentação dos municípios</w:t>
      </w:r>
    </w:p>
    <w:p>
      <w:pPr>
        <w:spacing w:line="360" w:lineRule="auto" w:after="0" w:before="0"/>
        <w:ind w:firstLine="709"/>
        <w:jc w:val="both"/>
      </w:pPr>
      <w:r>
        <w:rPr>
          <w:rFonts w:ascii="Times New Roman" w:hAnsi="Times New Roman" w:cs="Times New Roman"/>
          <w:b w:val="0"/>
          <w:i w:val="0"/>
          <w:sz w:val="24"/>
        </w:rPr>
        <w:t>A segunda fase buscou superar os limites da classificação oficial ao agrupar os municípios segundo o comportamento efetivo de demanda. O agrupamento por k-médias produziu quatro perfis nitidamente distintos. O primeiro grupo, de baixo impacto, reúne 76% dos municípios e caracteriza-se por poucos processos e valores reduzidos. O segundo grupo, de alto custo, agrega 22% dos municípios e combina desastres de elevado valor com frequência intermediária. O terceiro grupo, de alta frequência, reúne apenas 1% dos municípios, atingidos de forma repetida ao longo do período. O quarto grupo isola um único caso extremo, o do município de Porto Alegre, cujo padrão de demanda destoa de todos os demais e cuja presença como grupo autônomo ilustra a sensibilidade da técnica à existência de observações genuinamente excepcionais.</w:t>
      </w:r>
    </w:p>
    <w:p>
      <w:pPr>
        <w:spacing w:line="360" w:lineRule="auto" w:after="0" w:before="0"/>
        <w:ind w:firstLine="709"/>
        <w:jc w:val="both"/>
      </w:pPr>
      <w:r>
        <w:rPr>
          <w:rFonts w:ascii="Times New Roman" w:hAnsi="Times New Roman" w:cs="Times New Roman"/>
          <w:b w:val="0"/>
          <w:i w:val="0"/>
          <w:sz w:val="24"/>
        </w:rPr>
        <w:t>O cruzamento entre os grupos comportamentais e as faixas de capacidade produziu o achado mais relevante desta fase. Constatou-se que 81% dos municípios classificados na faixa D pertencem ao grupo de baixo impacto, ao passo que diversos municípios da faixa A integram o grupo de alto custo. Dessa forma, evidencia-se que a faixa oficial de capacidade não determina o comportamento real de demanda: a vulnerabilidade institucional não implica, necessariamente, demanda crônica por recursos, tampouco a alta capacidade protege o município da ocorrência de desastres custosos. Esse descompasso entre o rótulo formal e o comportamento observado sustenta o argumento de que os dados transacionais oferecem informação complementar e, em certos aspectos, mais precisa para a gestão, na medida em que registram o que de fato ocorre, e não apenas o que se esperaria a partir das características estruturais do município.</w:t>
      </w:r>
    </w:p>
    <w:p>
      <w:pPr>
        <w:spacing w:before="160" w:after="40" w:line="240" w:lineRule="auto"/>
        <w:ind w:firstLine="0"/>
      </w:pPr>
      <w:r>
        <w:rPr>
          <w:rFonts w:ascii="Times New Roman" w:hAnsi="Times New Roman" w:cs="Times New Roman"/>
          <w:b/>
          <w:i w:val="0"/>
          <w:sz w:val="22"/>
        </w:rPr>
        <w:t>Tabela 2 - Perfis comportamentais identificados pelo agrupamento</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ind w:firstLine="0"/>
              <w:jc w:val="center"/>
            </w:pPr>
            <w:r>
              <w:rPr>
                <w:rFonts w:ascii="Times New Roman" w:hAnsi="Times New Roman" w:cs="Times New Roman"/>
                <w:b/>
                <w:i w:val="0"/>
                <w:sz w:val="22"/>
              </w:rPr>
              <w:t>Grupo</w:t>
            </w:r>
          </w:p>
        </w:tc>
        <w:tc>
          <w:tcPr>
            <w:tcW w:type="dxa" w:w="2126"/>
          </w:tcPr>
          <w:p>
            <w:pPr>
              <w:spacing w:line="240" w:lineRule="auto"/>
              <w:ind w:firstLine="0"/>
              <w:jc w:val="center"/>
            </w:pPr>
            <w:r>
              <w:rPr>
                <w:rFonts w:ascii="Times New Roman" w:hAnsi="Times New Roman" w:cs="Times New Roman"/>
                <w:b/>
                <w:i w:val="0"/>
                <w:sz w:val="22"/>
              </w:rPr>
              <w:t>Perfil</w:t>
            </w:r>
          </w:p>
        </w:tc>
        <w:tc>
          <w:tcPr>
            <w:tcW w:type="dxa" w:w="2126"/>
          </w:tcPr>
          <w:p>
            <w:pPr>
              <w:spacing w:line="240" w:lineRule="auto"/>
              <w:ind w:firstLine="0"/>
              <w:jc w:val="center"/>
            </w:pPr>
            <w:r>
              <w:rPr>
                <w:rFonts w:ascii="Times New Roman" w:hAnsi="Times New Roman" w:cs="Times New Roman"/>
                <w:b/>
                <w:i w:val="0"/>
                <w:sz w:val="22"/>
              </w:rPr>
              <w:t>% dos municípios</w:t>
            </w:r>
          </w:p>
        </w:tc>
        <w:tc>
          <w:tcPr>
            <w:tcW w:type="dxa" w:w="2126"/>
          </w:tcPr>
          <w:p>
            <w:pPr>
              <w:spacing w:line="240" w:lineRule="auto"/>
              <w:ind w:firstLine="0"/>
              <w:jc w:val="center"/>
            </w:pPr>
            <w:r>
              <w:rPr>
                <w:rFonts w:ascii="Times New Roman" w:hAnsi="Times New Roman" w:cs="Times New Roman"/>
                <w:b/>
                <w:i w:val="0"/>
                <w:sz w:val="22"/>
              </w:rPr>
              <w:t>Característica</w:t>
            </w:r>
          </w:p>
        </w:tc>
      </w:tr>
      <w:tr>
        <w:tc>
          <w:tcPr>
            <w:tcW w:type="dxa" w:w="2126"/>
          </w:tcPr>
          <w:p>
            <w:pPr>
              <w:spacing w:line="240" w:lineRule="auto"/>
              <w:ind w:firstLine="0"/>
              <w:jc w:val="left"/>
            </w:pPr>
            <w:r>
              <w:rPr>
                <w:rFonts w:ascii="Times New Roman" w:hAnsi="Times New Roman" w:cs="Times New Roman"/>
                <w:b w:val="0"/>
                <w:i w:val="0"/>
                <w:sz w:val="22"/>
              </w:rPr>
              <w:t>0</w:t>
            </w:r>
          </w:p>
        </w:tc>
        <w:tc>
          <w:tcPr>
            <w:tcW w:type="dxa" w:w="2126"/>
          </w:tcPr>
          <w:p>
            <w:pPr>
              <w:spacing w:line="240" w:lineRule="auto"/>
              <w:ind w:firstLine="0"/>
              <w:jc w:val="center"/>
            </w:pPr>
            <w:r>
              <w:rPr>
                <w:rFonts w:ascii="Times New Roman" w:hAnsi="Times New Roman" w:cs="Times New Roman"/>
                <w:b w:val="0"/>
                <w:i w:val="0"/>
                <w:sz w:val="22"/>
              </w:rPr>
              <w:t>Baixo impacto</w:t>
            </w:r>
          </w:p>
        </w:tc>
        <w:tc>
          <w:tcPr>
            <w:tcW w:type="dxa" w:w="2126"/>
          </w:tcPr>
          <w:p>
            <w:pPr>
              <w:spacing w:line="240" w:lineRule="auto"/>
              <w:ind w:firstLine="0"/>
              <w:jc w:val="center"/>
            </w:pPr>
            <w:r>
              <w:rPr>
                <w:rFonts w:ascii="Times New Roman" w:hAnsi="Times New Roman" w:cs="Times New Roman"/>
                <w:b w:val="0"/>
                <w:i w:val="0"/>
                <w:sz w:val="22"/>
              </w:rPr>
              <w:t>76%</w:t>
            </w:r>
          </w:p>
        </w:tc>
        <w:tc>
          <w:tcPr>
            <w:tcW w:type="dxa" w:w="2126"/>
          </w:tcPr>
          <w:p>
            <w:pPr>
              <w:spacing w:line="240" w:lineRule="auto"/>
              <w:ind w:firstLine="0"/>
              <w:jc w:val="center"/>
            </w:pPr>
            <w:r>
              <w:rPr>
                <w:rFonts w:ascii="Times New Roman" w:hAnsi="Times New Roman" w:cs="Times New Roman"/>
                <w:b w:val="0"/>
                <w:i w:val="0"/>
                <w:sz w:val="22"/>
              </w:rPr>
              <w:t>Poucos processos, valores baixos</w:t>
            </w:r>
          </w:p>
        </w:tc>
      </w:tr>
      <w:tr>
        <w:tc>
          <w:tcPr>
            <w:tcW w:type="dxa" w:w="2126"/>
          </w:tcPr>
          <w:p>
            <w:pPr>
              <w:spacing w:line="240" w:lineRule="auto"/>
              <w:ind w:firstLine="0"/>
              <w:jc w:val="left"/>
            </w:pPr>
            <w:r>
              <w:rPr>
                <w:rFonts w:ascii="Times New Roman" w:hAnsi="Times New Roman" w:cs="Times New Roman"/>
                <w:b w:val="0"/>
                <w:i w:val="0"/>
                <w:sz w:val="22"/>
              </w:rPr>
              <w:t>1</w:t>
            </w:r>
          </w:p>
        </w:tc>
        <w:tc>
          <w:tcPr>
            <w:tcW w:type="dxa" w:w="2126"/>
          </w:tcPr>
          <w:p>
            <w:pPr>
              <w:spacing w:line="240" w:lineRule="auto"/>
              <w:ind w:firstLine="0"/>
              <w:jc w:val="center"/>
            </w:pPr>
            <w:r>
              <w:rPr>
                <w:rFonts w:ascii="Times New Roman" w:hAnsi="Times New Roman" w:cs="Times New Roman"/>
                <w:b w:val="0"/>
                <w:i w:val="0"/>
                <w:sz w:val="22"/>
              </w:rPr>
              <w:t>Alto custo</w:t>
            </w:r>
          </w:p>
        </w:tc>
        <w:tc>
          <w:tcPr>
            <w:tcW w:type="dxa" w:w="2126"/>
          </w:tcPr>
          <w:p>
            <w:pPr>
              <w:spacing w:line="240" w:lineRule="auto"/>
              <w:ind w:firstLine="0"/>
              <w:jc w:val="center"/>
            </w:pPr>
            <w:r>
              <w:rPr>
                <w:rFonts w:ascii="Times New Roman" w:hAnsi="Times New Roman" w:cs="Times New Roman"/>
                <w:b w:val="0"/>
                <w:i w:val="0"/>
                <w:sz w:val="22"/>
              </w:rPr>
              <w:t>22%</w:t>
            </w:r>
          </w:p>
        </w:tc>
        <w:tc>
          <w:tcPr>
            <w:tcW w:type="dxa" w:w="2126"/>
          </w:tcPr>
          <w:p>
            <w:pPr>
              <w:spacing w:line="240" w:lineRule="auto"/>
              <w:ind w:firstLine="0"/>
              <w:jc w:val="center"/>
            </w:pPr>
            <w:r>
              <w:rPr>
                <w:rFonts w:ascii="Times New Roman" w:hAnsi="Times New Roman" w:cs="Times New Roman"/>
                <w:b w:val="0"/>
                <w:i w:val="0"/>
                <w:sz w:val="22"/>
              </w:rPr>
              <w:t>Desastres caros, frequência média</w:t>
            </w:r>
          </w:p>
        </w:tc>
      </w:tr>
      <w:tr>
        <w:tc>
          <w:tcPr>
            <w:tcW w:type="dxa" w:w="2126"/>
          </w:tcPr>
          <w:p>
            <w:pPr>
              <w:spacing w:line="240" w:lineRule="auto"/>
              <w:ind w:firstLine="0"/>
              <w:jc w:val="left"/>
            </w:pPr>
            <w:r>
              <w:rPr>
                <w:rFonts w:ascii="Times New Roman" w:hAnsi="Times New Roman" w:cs="Times New Roman"/>
                <w:b w:val="0"/>
                <w:i w:val="0"/>
                <w:sz w:val="22"/>
              </w:rPr>
              <w:t>3</w:t>
            </w:r>
          </w:p>
        </w:tc>
        <w:tc>
          <w:tcPr>
            <w:tcW w:type="dxa" w:w="2126"/>
          </w:tcPr>
          <w:p>
            <w:pPr>
              <w:spacing w:line="240" w:lineRule="auto"/>
              <w:ind w:firstLine="0"/>
              <w:jc w:val="center"/>
            </w:pPr>
            <w:r>
              <w:rPr>
                <w:rFonts w:ascii="Times New Roman" w:hAnsi="Times New Roman" w:cs="Times New Roman"/>
                <w:b w:val="0"/>
                <w:i w:val="0"/>
                <w:sz w:val="22"/>
              </w:rPr>
              <w:t>Alta frequência</w:t>
            </w:r>
          </w:p>
        </w:tc>
        <w:tc>
          <w:tcPr>
            <w:tcW w:type="dxa" w:w="2126"/>
          </w:tcPr>
          <w:p>
            <w:pPr>
              <w:spacing w:line="240" w:lineRule="auto"/>
              <w:ind w:firstLine="0"/>
              <w:jc w:val="center"/>
            </w:pPr>
            <w:r>
              <w:rPr>
                <w:rFonts w:ascii="Times New Roman" w:hAnsi="Times New Roman" w:cs="Times New Roman"/>
                <w:b w:val="0"/>
                <w:i w:val="0"/>
                <w:sz w:val="22"/>
              </w:rPr>
              <w:t>1%</w:t>
            </w:r>
          </w:p>
        </w:tc>
        <w:tc>
          <w:tcPr>
            <w:tcW w:type="dxa" w:w="2126"/>
          </w:tcPr>
          <w:p>
            <w:pPr>
              <w:spacing w:line="240" w:lineRule="auto"/>
              <w:ind w:firstLine="0"/>
              <w:jc w:val="center"/>
            </w:pPr>
            <w:r>
              <w:rPr>
                <w:rFonts w:ascii="Times New Roman" w:hAnsi="Times New Roman" w:cs="Times New Roman"/>
                <w:b w:val="0"/>
                <w:i w:val="0"/>
                <w:sz w:val="22"/>
              </w:rPr>
              <w:t>Atingidos repetidamente</w:t>
            </w:r>
          </w:p>
        </w:tc>
      </w:tr>
      <w:tr>
        <w:tc>
          <w:tcPr>
            <w:tcW w:type="dxa" w:w="2126"/>
          </w:tcPr>
          <w:p>
            <w:pPr>
              <w:spacing w:line="240" w:lineRule="auto"/>
              <w:ind w:firstLine="0"/>
              <w:jc w:val="left"/>
            </w:pPr>
            <w:r>
              <w:rPr>
                <w:rFonts w:ascii="Times New Roman" w:hAnsi="Times New Roman" w:cs="Times New Roman"/>
                <w:b w:val="0"/>
                <w:i w:val="0"/>
                <w:sz w:val="22"/>
              </w:rPr>
              <w:t>2</w:t>
            </w:r>
          </w:p>
        </w:tc>
        <w:tc>
          <w:tcPr>
            <w:tcW w:type="dxa" w:w="2126"/>
          </w:tcPr>
          <w:p>
            <w:pPr>
              <w:spacing w:line="240" w:lineRule="auto"/>
              <w:ind w:firstLine="0"/>
              <w:jc w:val="center"/>
            </w:pPr>
            <w:r>
              <w:rPr>
                <w:rFonts w:ascii="Times New Roman" w:hAnsi="Times New Roman" w:cs="Times New Roman"/>
                <w:b w:val="0"/>
                <w:i w:val="0"/>
                <w:sz w:val="22"/>
              </w:rPr>
              <w:t>Outlier extremo</w:t>
            </w:r>
          </w:p>
        </w:tc>
        <w:tc>
          <w:tcPr>
            <w:tcW w:type="dxa" w:w="2126"/>
          </w:tcPr>
          <w:p>
            <w:pPr>
              <w:spacing w:line="240" w:lineRule="auto"/>
              <w:ind w:firstLine="0"/>
              <w:jc w:val="center"/>
            </w:pPr>
            <w:r>
              <w:rPr>
                <w:rFonts w:ascii="Times New Roman" w:hAnsi="Times New Roman" w:cs="Times New Roman"/>
                <w:b w:val="0"/>
                <w:i w:val="0"/>
                <w:sz w:val="22"/>
              </w:rPr>
              <w:t>&lt; 0,1%</w:t>
            </w:r>
          </w:p>
        </w:tc>
        <w:tc>
          <w:tcPr>
            <w:tcW w:type="dxa" w:w="2126"/>
          </w:tcPr>
          <w:p>
            <w:pPr>
              <w:spacing w:line="240" w:lineRule="auto"/>
              <w:ind w:firstLine="0"/>
              <w:jc w:val="center"/>
            </w:pPr>
            <w:r>
              <w:rPr>
                <w:rFonts w:ascii="Times New Roman" w:hAnsi="Times New Roman" w:cs="Times New Roman"/>
                <w:b w:val="0"/>
                <w:i w:val="0"/>
                <w:sz w:val="22"/>
              </w:rPr>
              <w:t>Caso único (Porto Alegre)</w:t>
            </w:r>
          </w:p>
        </w:tc>
      </w:tr>
    </w:tbl>
    <w:p>
      <w:pPr>
        <w:spacing w:after="160" w:line="240" w:lineRule="auto"/>
        <w:ind w:firstLine="0"/>
      </w:pPr>
      <w:r>
        <w:rPr>
          <w:rFonts w:ascii="Times New Roman" w:hAnsi="Times New Roman" w:cs="Times New Roman"/>
          <w:b w:val="0"/>
          <w:i w:val="0"/>
          <w:sz w:val="20"/>
        </w:rPr>
        <w:t>Fonte: elaboração própria.</w:t>
      </w:r>
    </w:p>
    <w:p>
      <w:pPr>
        <w:spacing w:line="360" w:lineRule="auto" w:after="0" w:before="0"/>
        <w:ind w:firstLine="709"/>
        <w:jc w:val="both"/>
      </w:pPr>
      <w:r>
        <w:rPr>
          <w:rFonts w:ascii="Times New Roman" w:hAnsi="Times New Roman" w:cs="Times New Roman"/>
          <w:b w:val="0"/>
          <w:i w:val="0"/>
          <w:sz w:val="24"/>
        </w:rPr>
        <w:t>A relevância desse descompasso para a gestão pode ser apreendida em dois planos. No plano da focalização, a constatação de que a maioria dos municípios de baixa capacidade integra o grupo de baixo impacto sugere que a vulnerabilidade institucional, por si só, não é um critério suficiente para antecipar a demanda por recursos. No plano do monitoramento, a identificação de um pequeno grupo de alta frequência, composto por municípios atingidos de modo recorrente, indica a existência de territórios que demandam atenção continuada e que poderiam beneficiar-se de medidas estruturais de prevenção, em vez de respostas pontuais a cada novo evento. Sendo assim, a segmentação comportamental oferece um mapa mais detalhado do problema do que a classificação por faixas, sem que isso implique descartar o indicador oficial, cuja utilidade reside justamente na síntese de características estruturais.</w:t>
      </w:r>
    </w:p>
    <w:p>
      <w:pPr>
        <w:spacing w:line="360" w:lineRule="auto" w:after="0" w:before="0"/>
        <w:ind w:firstLine="709"/>
        <w:jc w:val="both"/>
      </w:pPr>
      <w:r>
        <w:rPr>
          <w:rFonts w:ascii="Times New Roman" w:hAnsi="Times New Roman" w:cs="Times New Roman"/>
          <w:b w:val="0"/>
          <w:i w:val="0"/>
          <w:sz w:val="24"/>
        </w:rPr>
        <w:t>O caso de Porto Alegre, isolado como grupo autônomo pelo agrupamento, ilustra os limites da análise uniforme. A magnitude e a recorrência de suas solicitações produziram um padrão de demanda sem paralelo, a ponto de a técnica o tratar como categoria própria, o que evidencia que grandes centros urbanos podem concentrar, em um único ente, volumes comparáveis aos de regiões inteiras. A heterogeneidade dos municípios brasileiros manifesta-se, assim, não apenas entre faixas de capacidade, mas também no interior de cada faixa, o que reforça a utilidade de combinar a classificação estrutural à observação do comportamento.</w:t>
      </w:r>
    </w:p>
    <w:p>
      <w:pPr>
        <w:keepNext/>
        <w:spacing w:line="360" w:lineRule="auto" w:before="240" w:after="120"/>
        <w:ind w:firstLine="0"/>
        <w:jc w:val="left"/>
      </w:pPr>
      <w:r>
        <w:rPr>
          <w:rFonts w:ascii="Times New Roman" w:hAnsi="Times New Roman" w:cs="Times New Roman"/>
          <w:b/>
          <w:i w:val="0"/>
          <w:sz w:val="24"/>
        </w:rPr>
        <w:t>4.3 Determinantes da aprovação dos processos</w:t>
      </w:r>
    </w:p>
    <w:p>
      <w:pPr>
        <w:spacing w:line="360" w:lineRule="auto" w:after="0" w:before="0"/>
        <w:ind w:firstLine="709"/>
        <w:jc w:val="both"/>
      </w:pPr>
      <w:r>
        <w:rPr>
          <w:rFonts w:ascii="Times New Roman" w:hAnsi="Times New Roman" w:cs="Times New Roman"/>
          <w:b w:val="0"/>
          <w:i w:val="0"/>
          <w:sz w:val="24"/>
        </w:rPr>
        <w:t>A terceira fase estimou a probabilidade de aprovação dos processos por meio de um classificador de florestas aleatórias. O modelo alcançou área sob a curva ROC de 0,7972, o que indica capacidade de discriminação da ordem de 80% entre processos aprovados e reprovados. A revocação para a classe dos aprovados atingiu 88%, sinalizando que o modelo identifica corretamente a maior parte dos processos efetivamente aprovados. Esses resultados, embora não configurem desempenho próximo da perfeição, são compatíveis com a complexidade do fenômeno e suficientes para sustentar uma aplicação de triagem, na qual o objetivo não é decidir automaticamente sobre cada processo, mas ordenar os casos segundo a probabilidade de aprovação, de modo a apoiar a priorização do trabalho técnico.</w:t>
      </w:r>
    </w:p>
    <w:p>
      <w:pPr>
        <w:spacing w:line="360" w:lineRule="auto" w:after="0" w:before="0"/>
        <w:ind w:firstLine="709"/>
        <w:jc w:val="both"/>
      </w:pPr>
      <w:r>
        <w:rPr>
          <w:rFonts w:ascii="Times New Roman" w:hAnsi="Times New Roman" w:cs="Times New Roman"/>
          <w:b w:val="0"/>
          <w:i w:val="0"/>
          <w:sz w:val="24"/>
        </w:rPr>
        <w:t>A análise da importância das variáveis expõe os determinantes da decisão. O valor solicitado respondeu por 63% da importância total, consolidando-se como o determinante dominante da aprovação, o que sugere que solicitações muito afastadas do padrão enfrentam escrutínio diferenciado. O conjunto formado pela faixa populacional e pelo grupo comportamental respondeu por 15%, a unidade da federação por 10% e o tipo de desastre por 7%. A faixa de capacidade, por sua vez, respondeu por apenas 5% da importância, resultado que reforça o achado da fase anterior: o indicador oficial de capacidade pesa pouco na decisão quando comparado ao comportamento real do município, captado pelo grupo. Constata-se, assim, uma convergência entre as duas fases na relativização do poder explicativo do rótulo formal, convergência que, por derivar de técnicas distintas, confere maior solidez ao argumento central do estudo.</w:t>
      </w:r>
    </w:p>
    <w:p>
      <w:pPr>
        <w:spacing w:before="160" w:after="40" w:line="240" w:lineRule="auto"/>
        <w:ind w:firstLine="0"/>
      </w:pPr>
      <w:r>
        <w:rPr>
          <w:rFonts w:ascii="Times New Roman" w:hAnsi="Times New Roman" w:cs="Times New Roman"/>
          <w:b/>
          <w:i w:val="0"/>
          <w:sz w:val="22"/>
        </w:rPr>
        <w:t>Tabela 3 - Importância das variáveis no modelo de classificação</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ind w:firstLine="0"/>
              <w:jc w:val="center"/>
            </w:pPr>
            <w:r>
              <w:rPr>
                <w:rFonts w:ascii="Times New Roman" w:hAnsi="Times New Roman" w:cs="Times New Roman"/>
                <w:b/>
                <w:i w:val="0"/>
                <w:sz w:val="22"/>
              </w:rPr>
              <w:t>Variável</w:t>
            </w:r>
          </w:p>
        </w:tc>
        <w:tc>
          <w:tcPr>
            <w:tcW w:type="dxa" w:w="4252"/>
          </w:tcPr>
          <w:p>
            <w:pPr>
              <w:spacing w:line="240" w:lineRule="auto"/>
              <w:ind w:firstLine="0"/>
              <w:jc w:val="center"/>
            </w:pPr>
            <w:r>
              <w:rPr>
                <w:rFonts w:ascii="Times New Roman" w:hAnsi="Times New Roman" w:cs="Times New Roman"/>
                <w:b/>
                <w:i w:val="0"/>
                <w:sz w:val="22"/>
              </w:rPr>
              <w:t>Importância</w:t>
            </w:r>
          </w:p>
        </w:tc>
      </w:tr>
      <w:tr>
        <w:tc>
          <w:tcPr>
            <w:tcW w:type="dxa" w:w="4252"/>
          </w:tcPr>
          <w:p>
            <w:pPr>
              <w:spacing w:line="240" w:lineRule="auto"/>
              <w:ind w:firstLine="0"/>
              <w:jc w:val="left"/>
            </w:pPr>
            <w:r>
              <w:rPr>
                <w:rFonts w:ascii="Times New Roman" w:hAnsi="Times New Roman" w:cs="Times New Roman"/>
                <w:b w:val="0"/>
                <w:i w:val="0"/>
                <w:sz w:val="22"/>
              </w:rPr>
              <w:t>Valor solicitado</w:t>
            </w:r>
          </w:p>
        </w:tc>
        <w:tc>
          <w:tcPr>
            <w:tcW w:type="dxa" w:w="4252"/>
          </w:tcPr>
          <w:p>
            <w:pPr>
              <w:spacing w:line="240" w:lineRule="auto"/>
              <w:ind w:firstLine="0"/>
              <w:jc w:val="center"/>
            </w:pPr>
            <w:r>
              <w:rPr>
                <w:rFonts w:ascii="Times New Roman" w:hAnsi="Times New Roman" w:cs="Times New Roman"/>
                <w:b w:val="0"/>
                <w:i w:val="0"/>
                <w:sz w:val="22"/>
              </w:rPr>
              <w:t>63%</w:t>
            </w:r>
          </w:p>
        </w:tc>
      </w:tr>
      <w:tr>
        <w:tc>
          <w:tcPr>
            <w:tcW w:type="dxa" w:w="4252"/>
          </w:tcPr>
          <w:p>
            <w:pPr>
              <w:spacing w:line="240" w:lineRule="auto"/>
              <w:ind w:firstLine="0"/>
              <w:jc w:val="left"/>
            </w:pPr>
            <w:r>
              <w:rPr>
                <w:rFonts w:ascii="Times New Roman" w:hAnsi="Times New Roman" w:cs="Times New Roman"/>
                <w:b w:val="0"/>
                <w:i w:val="0"/>
                <w:sz w:val="22"/>
              </w:rPr>
              <w:t>Faixa populacional + grupo comportamental</w:t>
            </w:r>
          </w:p>
        </w:tc>
        <w:tc>
          <w:tcPr>
            <w:tcW w:type="dxa" w:w="4252"/>
          </w:tcPr>
          <w:p>
            <w:pPr>
              <w:spacing w:line="240" w:lineRule="auto"/>
              <w:ind w:firstLine="0"/>
              <w:jc w:val="center"/>
            </w:pPr>
            <w:r>
              <w:rPr>
                <w:rFonts w:ascii="Times New Roman" w:hAnsi="Times New Roman" w:cs="Times New Roman"/>
                <w:b w:val="0"/>
                <w:i w:val="0"/>
                <w:sz w:val="22"/>
              </w:rPr>
              <w:t>15%</w:t>
            </w:r>
          </w:p>
        </w:tc>
      </w:tr>
      <w:tr>
        <w:tc>
          <w:tcPr>
            <w:tcW w:type="dxa" w:w="4252"/>
          </w:tcPr>
          <w:p>
            <w:pPr>
              <w:spacing w:line="240" w:lineRule="auto"/>
              <w:ind w:firstLine="0"/>
              <w:jc w:val="left"/>
            </w:pPr>
            <w:r>
              <w:rPr>
                <w:rFonts w:ascii="Times New Roman" w:hAnsi="Times New Roman" w:cs="Times New Roman"/>
                <w:b w:val="0"/>
                <w:i w:val="0"/>
                <w:sz w:val="22"/>
              </w:rPr>
              <w:t>Unidade da federação</w:t>
            </w:r>
          </w:p>
        </w:tc>
        <w:tc>
          <w:tcPr>
            <w:tcW w:type="dxa" w:w="4252"/>
          </w:tcPr>
          <w:p>
            <w:pPr>
              <w:spacing w:line="240" w:lineRule="auto"/>
              <w:ind w:firstLine="0"/>
              <w:jc w:val="center"/>
            </w:pPr>
            <w:r>
              <w:rPr>
                <w:rFonts w:ascii="Times New Roman" w:hAnsi="Times New Roman" w:cs="Times New Roman"/>
                <w:b w:val="0"/>
                <w:i w:val="0"/>
                <w:sz w:val="22"/>
              </w:rPr>
              <w:t>10%</w:t>
            </w:r>
          </w:p>
        </w:tc>
      </w:tr>
      <w:tr>
        <w:tc>
          <w:tcPr>
            <w:tcW w:type="dxa" w:w="4252"/>
          </w:tcPr>
          <w:p>
            <w:pPr>
              <w:spacing w:line="240" w:lineRule="auto"/>
              <w:ind w:firstLine="0"/>
              <w:jc w:val="left"/>
            </w:pPr>
            <w:r>
              <w:rPr>
                <w:rFonts w:ascii="Times New Roman" w:hAnsi="Times New Roman" w:cs="Times New Roman"/>
                <w:b w:val="0"/>
                <w:i w:val="0"/>
                <w:sz w:val="22"/>
              </w:rPr>
              <w:t>Tipo de desastre</w:t>
            </w:r>
          </w:p>
        </w:tc>
        <w:tc>
          <w:tcPr>
            <w:tcW w:type="dxa" w:w="4252"/>
          </w:tcPr>
          <w:p>
            <w:pPr>
              <w:spacing w:line="240" w:lineRule="auto"/>
              <w:ind w:firstLine="0"/>
              <w:jc w:val="center"/>
            </w:pPr>
            <w:r>
              <w:rPr>
                <w:rFonts w:ascii="Times New Roman" w:hAnsi="Times New Roman" w:cs="Times New Roman"/>
                <w:b w:val="0"/>
                <w:i w:val="0"/>
                <w:sz w:val="22"/>
              </w:rPr>
              <w:t>7%</w:t>
            </w:r>
          </w:p>
        </w:tc>
      </w:tr>
      <w:tr>
        <w:tc>
          <w:tcPr>
            <w:tcW w:type="dxa" w:w="4252"/>
          </w:tcPr>
          <w:p>
            <w:pPr>
              <w:spacing w:line="240" w:lineRule="auto"/>
              <w:ind w:firstLine="0"/>
              <w:jc w:val="left"/>
            </w:pPr>
            <w:r>
              <w:rPr>
                <w:rFonts w:ascii="Times New Roman" w:hAnsi="Times New Roman" w:cs="Times New Roman"/>
                <w:b w:val="0"/>
                <w:i w:val="0"/>
                <w:sz w:val="22"/>
              </w:rPr>
              <w:t>Faixa de capacidade (ICM)</w:t>
            </w:r>
          </w:p>
        </w:tc>
        <w:tc>
          <w:tcPr>
            <w:tcW w:type="dxa" w:w="4252"/>
          </w:tcPr>
          <w:p>
            <w:pPr>
              <w:spacing w:line="240" w:lineRule="auto"/>
              <w:ind w:firstLine="0"/>
              <w:jc w:val="center"/>
            </w:pPr>
            <w:r>
              <w:rPr>
                <w:rFonts w:ascii="Times New Roman" w:hAnsi="Times New Roman" w:cs="Times New Roman"/>
                <w:b w:val="0"/>
                <w:i w:val="0"/>
                <w:sz w:val="22"/>
              </w:rPr>
              <w:t>5%</w:t>
            </w:r>
          </w:p>
        </w:tc>
      </w:tr>
    </w:tbl>
    <w:p>
      <w:pPr>
        <w:spacing w:after="160" w:line="240" w:lineRule="auto"/>
        <w:ind w:firstLine="0"/>
      </w:pPr>
      <w:r>
        <w:rPr>
          <w:rFonts w:ascii="Times New Roman" w:hAnsi="Times New Roman" w:cs="Times New Roman"/>
          <w:b w:val="0"/>
          <w:i w:val="0"/>
          <w:sz w:val="20"/>
        </w:rPr>
        <w:t>Fonte: elaboração própria.</w:t>
      </w:r>
    </w:p>
    <w:p>
      <w:pPr>
        <w:spacing w:line="360" w:lineRule="auto" w:after="0" w:before="0"/>
        <w:ind w:firstLine="709"/>
        <w:jc w:val="both"/>
      </w:pPr>
      <w:r>
        <w:rPr>
          <w:rFonts w:ascii="Times New Roman" w:hAnsi="Times New Roman" w:cs="Times New Roman"/>
          <w:b w:val="0"/>
          <w:i w:val="0"/>
          <w:sz w:val="24"/>
        </w:rPr>
        <w:t>O predomínio do valor solicitado comporta uma leitura ambivalente. De um lado, indica um sistema sensível à magnitude dos pedidos, que submete a maior escrutínio as solicitações mais afastadas do padrão; de outro, pode sinalizar que dimensões relevantes, como a severidade efetiva do evento ou a qualidade técnica do plano, estão sub-representadas nos dados e pesam menos na decisão. O modelo deve, assim, ser lido como espelho do processo decisório existente, capaz de revelar suas regularidades, e não como padrão normativo do que a decisão deveria ser.</w:t>
      </w:r>
    </w:p>
    <w:p>
      <w:pPr>
        <w:keepNext/>
        <w:spacing w:line="360" w:lineRule="auto" w:before="240" w:after="120"/>
        <w:ind w:firstLine="0"/>
        <w:jc w:val="left"/>
      </w:pPr>
      <w:r>
        <w:rPr>
          <w:rFonts w:ascii="Times New Roman" w:hAnsi="Times New Roman" w:cs="Times New Roman"/>
          <w:b/>
          <w:i w:val="0"/>
          <w:sz w:val="24"/>
        </w:rPr>
        <w:t>4.4 Estimativa de “valor justo” e auditoria automatizada</w:t>
      </w:r>
    </w:p>
    <w:p>
      <w:pPr>
        <w:spacing w:line="360" w:lineRule="auto" w:after="0" w:before="0"/>
        <w:ind w:firstLine="709"/>
        <w:jc w:val="both"/>
      </w:pPr>
      <w:r>
        <w:rPr>
          <w:rFonts w:ascii="Times New Roman" w:hAnsi="Times New Roman" w:cs="Times New Roman"/>
          <w:b w:val="0"/>
          <w:i w:val="0"/>
          <w:sz w:val="24"/>
        </w:rPr>
        <w:t>A quarta fase voltou-se à estimativa de faixas de valor esperado e à sinalização de desvios. A regressão quantílica por gradient boosting estimou, para cada combinação de atributos, os limites P10, P50 e P90 do valor solicitado. A cobertura do intervalo entre P10 e P90 alcançou 76,3%, ou seja, cerca de três quartos dos processos situaram-se dentro da faixa prevista. O coeficiente de determinação no espaço logarítmico, porém, foi baixo, da ordem de 0,11, o que evidencia a elevada variabilidade do fenômeno e recomenda que o modelo seja interpretado como instrumento de triagem, e não como preditor de valor exato. Essa ressalva, longe de invalidar a abordagem, delimita seu uso adequado: o modelo é útil para sinalizar afastamentos grosseiros em relação ao padrão, mas não para estabelecer, com precisão, o valor que cada reconstrução deveria custar.</w:t>
      </w:r>
    </w:p>
    <w:p>
      <w:pPr>
        <w:spacing w:line="360" w:lineRule="auto" w:after="0" w:before="0"/>
        <w:ind w:firstLine="709"/>
        <w:jc w:val="both"/>
      </w:pPr>
      <w:r>
        <w:rPr>
          <w:rFonts w:ascii="Times New Roman" w:hAnsi="Times New Roman" w:cs="Times New Roman"/>
          <w:b w:val="0"/>
          <w:i w:val="0"/>
          <w:sz w:val="24"/>
        </w:rPr>
        <w:t>A aplicação do modelo a 3.893 processos auditados produziu uma classificação automática em três categorias. A maior parte dos processos, correspondente a 66% do total, foi classificada como normal, por situar-se dentro da faixa esperada. Outros 19% foram classificados como baixo, indicando possível subdimensionamento, enquanto 15%, equivalentes a 580 processos, foram classificados como alto, sinalizando valores potencialmente superdimensionados. Esse último conjunto constitui o público prioritário para auditoria, pois concentra os casos que mais se afastam do padrão estimado a partir de processos comparáveis.</w:t>
      </w:r>
    </w:p>
    <w:p>
      <w:pPr>
        <w:spacing w:line="360" w:lineRule="auto" w:after="0" w:before="0"/>
        <w:ind w:firstLine="709"/>
        <w:jc w:val="both"/>
      </w:pPr>
      <w:r>
        <w:rPr>
          <w:rFonts w:ascii="Times New Roman" w:hAnsi="Times New Roman" w:cs="Times New Roman"/>
          <w:b w:val="0"/>
          <w:i w:val="0"/>
          <w:sz w:val="24"/>
        </w:rPr>
        <w:t>A categoria de subdimensionamento, menos tratada na literatura de auditoria, encerra implicações relevantes: valores sistematicamente inferiores ao padrão podem indicar planos elaborados sob restrição técnica, capacidade limitada de estimar custos ou subnotificação de danos por municípios com menor estrutura. Nesse sentido, o subdimensionamento não se opõe ao superfaturamento, mas é face complementar da mesma fragilidade institucional, e a triagem presta-se também a identificar municípios que talvez deixem de pleitear recursos compatíveis com os danos sofridos.</w:t>
      </w:r>
    </w:p>
    <w:p>
      <w:pPr>
        <w:spacing w:before="160" w:after="40" w:line="240" w:lineRule="auto"/>
        <w:ind w:firstLine="0"/>
      </w:pPr>
      <w:r>
        <w:rPr>
          <w:rFonts w:ascii="Times New Roman" w:hAnsi="Times New Roman" w:cs="Times New Roman"/>
          <w:b/>
          <w:i w:val="0"/>
          <w:sz w:val="22"/>
        </w:rPr>
        <w:t>Tabela 4 - Resultado da auditoria automatizada dos valores</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ind w:firstLine="0"/>
              <w:jc w:val="center"/>
            </w:pPr>
            <w:r>
              <w:rPr>
                <w:rFonts w:ascii="Times New Roman" w:hAnsi="Times New Roman" w:cs="Times New Roman"/>
                <w:b/>
                <w:i w:val="0"/>
                <w:sz w:val="22"/>
              </w:rPr>
              <w:t>Classificação</w:t>
            </w:r>
          </w:p>
        </w:tc>
        <w:tc>
          <w:tcPr>
            <w:tcW w:type="dxa" w:w="2126"/>
          </w:tcPr>
          <w:p>
            <w:pPr>
              <w:spacing w:line="240" w:lineRule="auto"/>
              <w:ind w:firstLine="0"/>
              <w:jc w:val="center"/>
            </w:pPr>
            <w:r>
              <w:rPr>
                <w:rFonts w:ascii="Times New Roman" w:hAnsi="Times New Roman" w:cs="Times New Roman"/>
                <w:b/>
                <w:i w:val="0"/>
                <w:sz w:val="22"/>
              </w:rPr>
              <w:t>Processos</w:t>
            </w:r>
          </w:p>
        </w:tc>
        <w:tc>
          <w:tcPr>
            <w:tcW w:type="dxa" w:w="2126"/>
          </w:tcPr>
          <w:p>
            <w:pPr>
              <w:spacing w:line="240" w:lineRule="auto"/>
              <w:ind w:firstLine="0"/>
              <w:jc w:val="center"/>
            </w:pPr>
            <w:r>
              <w:rPr>
                <w:rFonts w:ascii="Times New Roman" w:hAnsi="Times New Roman" w:cs="Times New Roman"/>
                <w:b/>
                <w:i w:val="0"/>
                <w:sz w:val="22"/>
              </w:rPr>
              <w:t>%</w:t>
            </w:r>
          </w:p>
        </w:tc>
        <w:tc>
          <w:tcPr>
            <w:tcW w:type="dxa" w:w="2126"/>
          </w:tcPr>
          <w:p>
            <w:pPr>
              <w:spacing w:line="240" w:lineRule="auto"/>
              <w:ind w:firstLine="0"/>
              <w:jc w:val="center"/>
            </w:pPr>
            <w:r>
              <w:rPr>
                <w:rFonts w:ascii="Times New Roman" w:hAnsi="Times New Roman" w:cs="Times New Roman"/>
                <w:b/>
                <w:i w:val="0"/>
                <w:sz w:val="22"/>
              </w:rPr>
              <w:t>Interpretação</w:t>
            </w:r>
          </w:p>
        </w:tc>
      </w:tr>
      <w:tr>
        <w:tc>
          <w:tcPr>
            <w:tcW w:type="dxa" w:w="2126"/>
          </w:tcPr>
          <w:p>
            <w:pPr>
              <w:spacing w:line="240" w:lineRule="auto"/>
              <w:ind w:firstLine="0"/>
              <w:jc w:val="left"/>
            </w:pPr>
            <w:r>
              <w:rPr>
                <w:rFonts w:ascii="Times New Roman" w:hAnsi="Times New Roman" w:cs="Times New Roman"/>
                <w:b w:val="0"/>
                <w:i w:val="0"/>
                <w:sz w:val="22"/>
              </w:rPr>
              <w:t>Normal</w:t>
            </w:r>
          </w:p>
        </w:tc>
        <w:tc>
          <w:tcPr>
            <w:tcW w:type="dxa" w:w="2126"/>
          </w:tcPr>
          <w:p>
            <w:pPr>
              <w:spacing w:line="240" w:lineRule="auto"/>
              <w:ind w:firstLine="0"/>
              <w:jc w:val="center"/>
            </w:pPr>
            <w:r>
              <w:rPr>
                <w:rFonts w:ascii="Times New Roman" w:hAnsi="Times New Roman" w:cs="Times New Roman"/>
                <w:b w:val="0"/>
                <w:i w:val="0"/>
                <w:sz w:val="22"/>
              </w:rPr>
              <w:t>2.556</w:t>
            </w:r>
          </w:p>
        </w:tc>
        <w:tc>
          <w:tcPr>
            <w:tcW w:type="dxa" w:w="2126"/>
          </w:tcPr>
          <w:p>
            <w:pPr>
              <w:spacing w:line="240" w:lineRule="auto"/>
              <w:ind w:firstLine="0"/>
              <w:jc w:val="center"/>
            </w:pPr>
            <w:r>
              <w:rPr>
                <w:rFonts w:ascii="Times New Roman" w:hAnsi="Times New Roman" w:cs="Times New Roman"/>
                <w:b w:val="0"/>
                <w:i w:val="0"/>
                <w:sz w:val="22"/>
              </w:rPr>
              <w:t>66%</w:t>
            </w:r>
          </w:p>
        </w:tc>
        <w:tc>
          <w:tcPr>
            <w:tcW w:type="dxa" w:w="2126"/>
          </w:tcPr>
          <w:p>
            <w:pPr>
              <w:spacing w:line="240" w:lineRule="auto"/>
              <w:ind w:firstLine="0"/>
              <w:jc w:val="center"/>
            </w:pPr>
            <w:r>
              <w:rPr>
                <w:rFonts w:ascii="Times New Roman" w:hAnsi="Times New Roman" w:cs="Times New Roman"/>
                <w:b w:val="0"/>
                <w:i w:val="0"/>
                <w:sz w:val="22"/>
              </w:rPr>
              <w:t>Dentro da faixa esperada</w:t>
            </w:r>
          </w:p>
        </w:tc>
      </w:tr>
      <w:tr>
        <w:tc>
          <w:tcPr>
            <w:tcW w:type="dxa" w:w="2126"/>
          </w:tcPr>
          <w:p>
            <w:pPr>
              <w:spacing w:line="240" w:lineRule="auto"/>
              <w:ind w:firstLine="0"/>
              <w:jc w:val="left"/>
            </w:pPr>
            <w:r>
              <w:rPr>
                <w:rFonts w:ascii="Times New Roman" w:hAnsi="Times New Roman" w:cs="Times New Roman"/>
                <w:b w:val="0"/>
                <w:i w:val="0"/>
                <w:sz w:val="22"/>
              </w:rPr>
              <w:t>Baixo</w:t>
            </w:r>
          </w:p>
        </w:tc>
        <w:tc>
          <w:tcPr>
            <w:tcW w:type="dxa" w:w="2126"/>
          </w:tcPr>
          <w:p>
            <w:pPr>
              <w:spacing w:line="240" w:lineRule="auto"/>
              <w:ind w:firstLine="0"/>
              <w:jc w:val="center"/>
            </w:pPr>
            <w:r>
              <w:rPr>
                <w:rFonts w:ascii="Times New Roman" w:hAnsi="Times New Roman" w:cs="Times New Roman"/>
                <w:b w:val="0"/>
                <w:i w:val="0"/>
                <w:sz w:val="22"/>
              </w:rPr>
              <w:t>757</w:t>
            </w:r>
          </w:p>
        </w:tc>
        <w:tc>
          <w:tcPr>
            <w:tcW w:type="dxa" w:w="2126"/>
          </w:tcPr>
          <w:p>
            <w:pPr>
              <w:spacing w:line="240" w:lineRule="auto"/>
              <w:ind w:firstLine="0"/>
              <w:jc w:val="center"/>
            </w:pPr>
            <w:r>
              <w:rPr>
                <w:rFonts w:ascii="Times New Roman" w:hAnsi="Times New Roman" w:cs="Times New Roman"/>
                <w:b w:val="0"/>
                <w:i w:val="0"/>
                <w:sz w:val="22"/>
              </w:rPr>
              <w:t>19%</w:t>
            </w:r>
          </w:p>
        </w:tc>
        <w:tc>
          <w:tcPr>
            <w:tcW w:type="dxa" w:w="2126"/>
          </w:tcPr>
          <w:p>
            <w:pPr>
              <w:spacing w:line="240" w:lineRule="auto"/>
              <w:ind w:firstLine="0"/>
              <w:jc w:val="center"/>
            </w:pPr>
            <w:r>
              <w:rPr>
                <w:rFonts w:ascii="Times New Roman" w:hAnsi="Times New Roman" w:cs="Times New Roman"/>
                <w:b w:val="0"/>
                <w:i w:val="0"/>
                <w:sz w:val="22"/>
              </w:rPr>
              <w:t>Possível subdimensionamento</w:t>
            </w:r>
          </w:p>
        </w:tc>
      </w:tr>
      <w:tr>
        <w:tc>
          <w:tcPr>
            <w:tcW w:type="dxa" w:w="2126"/>
          </w:tcPr>
          <w:p>
            <w:pPr>
              <w:spacing w:line="240" w:lineRule="auto"/>
              <w:ind w:firstLine="0"/>
              <w:jc w:val="left"/>
            </w:pPr>
            <w:r>
              <w:rPr>
                <w:rFonts w:ascii="Times New Roman" w:hAnsi="Times New Roman" w:cs="Times New Roman"/>
                <w:b w:val="0"/>
                <w:i w:val="0"/>
                <w:sz w:val="22"/>
              </w:rPr>
              <w:t>Alto</w:t>
            </w:r>
          </w:p>
        </w:tc>
        <w:tc>
          <w:tcPr>
            <w:tcW w:type="dxa" w:w="2126"/>
          </w:tcPr>
          <w:p>
            <w:pPr>
              <w:spacing w:line="240" w:lineRule="auto"/>
              <w:ind w:firstLine="0"/>
              <w:jc w:val="center"/>
            </w:pPr>
            <w:r>
              <w:rPr>
                <w:rFonts w:ascii="Times New Roman" w:hAnsi="Times New Roman" w:cs="Times New Roman"/>
                <w:b w:val="0"/>
                <w:i w:val="0"/>
                <w:sz w:val="22"/>
              </w:rPr>
              <w:t>580</w:t>
            </w:r>
          </w:p>
        </w:tc>
        <w:tc>
          <w:tcPr>
            <w:tcW w:type="dxa" w:w="2126"/>
          </w:tcPr>
          <w:p>
            <w:pPr>
              <w:spacing w:line="240" w:lineRule="auto"/>
              <w:ind w:firstLine="0"/>
              <w:jc w:val="center"/>
            </w:pPr>
            <w:r>
              <w:rPr>
                <w:rFonts w:ascii="Times New Roman" w:hAnsi="Times New Roman" w:cs="Times New Roman"/>
                <w:b w:val="0"/>
                <w:i w:val="0"/>
                <w:sz w:val="22"/>
              </w:rPr>
              <w:t>15%</w:t>
            </w:r>
          </w:p>
        </w:tc>
        <w:tc>
          <w:tcPr>
            <w:tcW w:type="dxa" w:w="2126"/>
          </w:tcPr>
          <w:p>
            <w:pPr>
              <w:spacing w:line="240" w:lineRule="auto"/>
              <w:ind w:firstLine="0"/>
              <w:jc w:val="center"/>
            </w:pPr>
            <w:r>
              <w:rPr>
                <w:rFonts w:ascii="Times New Roman" w:hAnsi="Times New Roman" w:cs="Times New Roman"/>
                <w:b w:val="0"/>
                <w:i w:val="0"/>
                <w:sz w:val="22"/>
              </w:rPr>
              <w:t>Valor potencialmente superdimensionado</w:t>
            </w:r>
          </w:p>
        </w:tc>
      </w:tr>
    </w:tbl>
    <w:p>
      <w:pPr>
        <w:spacing w:after="160" w:line="240" w:lineRule="auto"/>
        <w:ind w:firstLine="0"/>
      </w:pPr>
      <w:r>
        <w:rPr>
          <w:rFonts w:ascii="Times New Roman" w:hAnsi="Times New Roman" w:cs="Times New Roman"/>
          <w:b w:val="0"/>
          <w:i w:val="0"/>
          <w:sz w:val="20"/>
        </w:rPr>
        <w:t>Fonte: elaboração própria.</w:t>
      </w:r>
    </w:p>
    <w:p>
      <w:pPr>
        <w:spacing w:line="360" w:lineRule="auto" w:after="0" w:before="0"/>
        <w:ind w:firstLine="709"/>
        <w:jc w:val="both"/>
      </w:pPr>
      <w:r>
        <w:rPr>
          <w:rFonts w:ascii="Times New Roman" w:hAnsi="Times New Roman" w:cs="Times New Roman"/>
          <w:b w:val="0"/>
          <w:i w:val="0"/>
          <w:sz w:val="24"/>
        </w:rPr>
        <w:t>O exame dos dez maiores desvios positivos ilustra a natureza heterogênea dos casos sinalizados. O município de Nova Monte Verde, no Mato Grosso, apresentou solicitação de R$ 2,5 bilhões diante de um limite P90 estimado em cerca de R$ 3,1 milhões, o que corresponde a um desvio de mais de 235.000% e sugere, com elevada probabilidade, erro de registro. Outros casos, como Jaboatão dos Guararapes, em Pernambuco, e Osasco, em São Paulo, exibem desvios igualmente expressivos, ainda que de magnitude inferior. Observa-se que a maioria dos casos de alto risco associa-se a tempestades convectivas e a enxurradas, e que os processos correspondentes encontram-se em situações variadas, incluindo indeferimento, análise e transferência de recurso. Essa heterogeneidade de situações reforça que a sinalização algorítmica não equivale a um juízo de irregularidade, mas a uma priorização para verificação humana.</w:t>
      </w:r>
    </w:p>
    <w:p>
      <w:pPr>
        <w:spacing w:before="160" w:after="40" w:line="240" w:lineRule="auto"/>
        <w:ind w:firstLine="0"/>
      </w:pPr>
      <w:r>
        <w:rPr>
          <w:rFonts w:ascii="Times New Roman" w:hAnsi="Times New Roman" w:cs="Times New Roman"/>
          <w:b/>
          <w:i w:val="0"/>
          <w:sz w:val="22"/>
        </w:rPr>
        <w:t>Tabela 5 - Cinco maiores desvios positivos identificados pela auditoria</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ind w:firstLine="0"/>
              <w:jc w:val="center"/>
            </w:pPr>
            <w:r>
              <w:rPr>
                <w:rFonts w:ascii="Times New Roman" w:hAnsi="Times New Roman" w:cs="Times New Roman"/>
                <w:b/>
                <w:i w:val="0"/>
                <w:sz w:val="22"/>
              </w:rPr>
              <w:t>Município (UF)</w:t>
            </w:r>
          </w:p>
        </w:tc>
        <w:tc>
          <w:tcPr>
            <w:tcW w:type="dxa" w:w="2126"/>
          </w:tcPr>
          <w:p>
            <w:pPr>
              <w:spacing w:line="240" w:lineRule="auto"/>
              <w:ind w:firstLine="0"/>
              <w:jc w:val="center"/>
            </w:pPr>
            <w:r>
              <w:rPr>
                <w:rFonts w:ascii="Times New Roman" w:hAnsi="Times New Roman" w:cs="Times New Roman"/>
                <w:b/>
                <w:i w:val="0"/>
                <w:sz w:val="22"/>
              </w:rPr>
              <w:t>Valor solicitado (R$)</w:t>
            </w:r>
          </w:p>
        </w:tc>
        <w:tc>
          <w:tcPr>
            <w:tcW w:type="dxa" w:w="2126"/>
          </w:tcPr>
          <w:p>
            <w:pPr>
              <w:spacing w:line="240" w:lineRule="auto"/>
              <w:ind w:firstLine="0"/>
              <w:jc w:val="center"/>
            </w:pPr>
            <w:r>
              <w:rPr>
                <w:rFonts w:ascii="Times New Roman" w:hAnsi="Times New Roman" w:cs="Times New Roman"/>
                <w:b/>
                <w:i w:val="0"/>
                <w:sz w:val="22"/>
              </w:rPr>
              <w:t>Limite P90 (R$)</w:t>
            </w:r>
          </w:p>
        </w:tc>
        <w:tc>
          <w:tcPr>
            <w:tcW w:type="dxa" w:w="2126"/>
          </w:tcPr>
          <w:p>
            <w:pPr>
              <w:spacing w:line="240" w:lineRule="auto"/>
              <w:ind w:firstLine="0"/>
              <w:jc w:val="center"/>
            </w:pPr>
            <w:r>
              <w:rPr>
                <w:rFonts w:ascii="Times New Roman" w:hAnsi="Times New Roman" w:cs="Times New Roman"/>
                <w:b/>
                <w:i w:val="0"/>
                <w:sz w:val="22"/>
              </w:rPr>
              <w:t>Desvio</w:t>
            </w:r>
          </w:p>
        </w:tc>
      </w:tr>
      <w:tr>
        <w:tc>
          <w:tcPr>
            <w:tcW w:type="dxa" w:w="2126"/>
          </w:tcPr>
          <w:p>
            <w:pPr>
              <w:spacing w:line="240" w:lineRule="auto"/>
              <w:ind w:firstLine="0"/>
              <w:jc w:val="left"/>
            </w:pPr>
            <w:r>
              <w:rPr>
                <w:rFonts w:ascii="Times New Roman" w:hAnsi="Times New Roman" w:cs="Times New Roman"/>
                <w:b w:val="0"/>
                <w:i w:val="0"/>
                <w:sz w:val="22"/>
              </w:rPr>
              <w:t>Nova Monte Verde (MT)</w:t>
            </w:r>
          </w:p>
        </w:tc>
        <w:tc>
          <w:tcPr>
            <w:tcW w:type="dxa" w:w="2126"/>
          </w:tcPr>
          <w:p>
            <w:pPr>
              <w:spacing w:line="240" w:lineRule="auto"/>
              <w:ind w:firstLine="0"/>
              <w:jc w:val="center"/>
            </w:pPr>
            <w:r>
              <w:rPr>
                <w:rFonts w:ascii="Times New Roman" w:hAnsi="Times New Roman" w:cs="Times New Roman"/>
                <w:b w:val="0"/>
                <w:i w:val="0"/>
                <w:sz w:val="22"/>
              </w:rPr>
              <w:t>2.500.000.000</w:t>
            </w:r>
          </w:p>
        </w:tc>
        <w:tc>
          <w:tcPr>
            <w:tcW w:type="dxa" w:w="2126"/>
          </w:tcPr>
          <w:p>
            <w:pPr>
              <w:spacing w:line="240" w:lineRule="auto"/>
              <w:ind w:firstLine="0"/>
              <w:jc w:val="center"/>
            </w:pPr>
            <w:r>
              <w:rPr>
                <w:rFonts w:ascii="Times New Roman" w:hAnsi="Times New Roman" w:cs="Times New Roman"/>
                <w:b w:val="0"/>
                <w:i w:val="0"/>
                <w:sz w:val="22"/>
              </w:rPr>
              <w:t>3.131.467</w:t>
            </w:r>
          </w:p>
        </w:tc>
        <w:tc>
          <w:tcPr>
            <w:tcW w:type="dxa" w:w="2126"/>
          </w:tcPr>
          <w:p>
            <w:pPr>
              <w:spacing w:line="240" w:lineRule="auto"/>
              <w:ind w:firstLine="0"/>
              <w:jc w:val="center"/>
            </w:pPr>
            <w:r>
              <w:rPr>
                <w:rFonts w:ascii="Times New Roman" w:hAnsi="Times New Roman" w:cs="Times New Roman"/>
                <w:b w:val="0"/>
                <w:i w:val="0"/>
                <w:sz w:val="22"/>
              </w:rPr>
              <w:t>235.558%</w:t>
            </w:r>
          </w:p>
        </w:tc>
      </w:tr>
      <w:tr>
        <w:tc>
          <w:tcPr>
            <w:tcW w:type="dxa" w:w="2126"/>
          </w:tcPr>
          <w:p>
            <w:pPr>
              <w:spacing w:line="240" w:lineRule="auto"/>
              <w:ind w:firstLine="0"/>
              <w:jc w:val="left"/>
            </w:pPr>
            <w:r>
              <w:rPr>
                <w:rFonts w:ascii="Times New Roman" w:hAnsi="Times New Roman" w:cs="Times New Roman"/>
                <w:b w:val="0"/>
                <w:i w:val="0"/>
                <w:sz w:val="22"/>
              </w:rPr>
              <w:t>Jaboatão dos Guararapes (PE)</w:t>
            </w:r>
          </w:p>
        </w:tc>
        <w:tc>
          <w:tcPr>
            <w:tcW w:type="dxa" w:w="2126"/>
          </w:tcPr>
          <w:p>
            <w:pPr>
              <w:spacing w:line="240" w:lineRule="auto"/>
              <w:ind w:firstLine="0"/>
              <w:jc w:val="center"/>
            </w:pPr>
            <w:r>
              <w:rPr>
                <w:rFonts w:ascii="Times New Roman" w:hAnsi="Times New Roman" w:cs="Times New Roman"/>
                <w:b w:val="0"/>
                <w:i w:val="0"/>
                <w:sz w:val="22"/>
              </w:rPr>
              <w:t>402.398.352</w:t>
            </w:r>
          </w:p>
        </w:tc>
        <w:tc>
          <w:tcPr>
            <w:tcW w:type="dxa" w:w="2126"/>
          </w:tcPr>
          <w:p>
            <w:pPr>
              <w:spacing w:line="240" w:lineRule="auto"/>
              <w:ind w:firstLine="0"/>
              <w:jc w:val="center"/>
            </w:pPr>
            <w:r>
              <w:rPr>
                <w:rFonts w:ascii="Times New Roman" w:hAnsi="Times New Roman" w:cs="Times New Roman"/>
                <w:b w:val="0"/>
                <w:i w:val="0"/>
                <w:sz w:val="22"/>
              </w:rPr>
              <w:t>6.514.830</w:t>
            </w:r>
          </w:p>
        </w:tc>
        <w:tc>
          <w:tcPr>
            <w:tcW w:type="dxa" w:w="2126"/>
          </w:tcPr>
          <w:p>
            <w:pPr>
              <w:spacing w:line="240" w:lineRule="auto"/>
              <w:ind w:firstLine="0"/>
              <w:jc w:val="center"/>
            </w:pPr>
            <w:r>
              <w:rPr>
                <w:rFonts w:ascii="Times New Roman" w:hAnsi="Times New Roman" w:cs="Times New Roman"/>
                <w:b w:val="0"/>
                <w:i w:val="0"/>
                <w:sz w:val="22"/>
              </w:rPr>
              <w:t>29.867%</w:t>
            </w:r>
          </w:p>
        </w:tc>
      </w:tr>
      <w:tr>
        <w:tc>
          <w:tcPr>
            <w:tcW w:type="dxa" w:w="2126"/>
          </w:tcPr>
          <w:p>
            <w:pPr>
              <w:spacing w:line="240" w:lineRule="auto"/>
              <w:ind w:firstLine="0"/>
              <w:jc w:val="left"/>
            </w:pPr>
            <w:r>
              <w:rPr>
                <w:rFonts w:ascii="Times New Roman" w:hAnsi="Times New Roman" w:cs="Times New Roman"/>
                <w:b w:val="0"/>
                <w:i w:val="0"/>
                <w:sz w:val="22"/>
              </w:rPr>
              <w:t>Rio de Janeiro (RJ)</w:t>
            </w:r>
          </w:p>
        </w:tc>
        <w:tc>
          <w:tcPr>
            <w:tcW w:type="dxa" w:w="2126"/>
          </w:tcPr>
          <w:p>
            <w:pPr>
              <w:spacing w:line="240" w:lineRule="auto"/>
              <w:ind w:firstLine="0"/>
              <w:jc w:val="center"/>
            </w:pPr>
            <w:r>
              <w:rPr>
                <w:rFonts w:ascii="Times New Roman" w:hAnsi="Times New Roman" w:cs="Times New Roman"/>
                <w:b w:val="0"/>
                <w:i w:val="0"/>
                <w:sz w:val="22"/>
              </w:rPr>
              <w:t>172.431.000</w:t>
            </w:r>
          </w:p>
        </w:tc>
        <w:tc>
          <w:tcPr>
            <w:tcW w:type="dxa" w:w="2126"/>
          </w:tcPr>
          <w:p>
            <w:pPr>
              <w:spacing w:line="240" w:lineRule="auto"/>
              <w:ind w:firstLine="0"/>
              <w:jc w:val="center"/>
            </w:pPr>
            <w:r>
              <w:rPr>
                <w:rFonts w:ascii="Times New Roman" w:hAnsi="Times New Roman" w:cs="Times New Roman"/>
                <w:b w:val="0"/>
                <w:i w:val="0"/>
                <w:sz w:val="22"/>
              </w:rPr>
              <w:t>7.202.435</w:t>
            </w:r>
          </w:p>
        </w:tc>
        <w:tc>
          <w:tcPr>
            <w:tcW w:type="dxa" w:w="2126"/>
          </w:tcPr>
          <w:p>
            <w:pPr>
              <w:spacing w:line="240" w:lineRule="auto"/>
              <w:ind w:firstLine="0"/>
              <w:jc w:val="center"/>
            </w:pPr>
            <w:r>
              <w:rPr>
                <w:rFonts w:ascii="Times New Roman" w:hAnsi="Times New Roman" w:cs="Times New Roman"/>
                <w:b w:val="0"/>
                <w:i w:val="0"/>
                <w:sz w:val="22"/>
              </w:rPr>
              <w:t>10.220%</w:t>
            </w:r>
          </w:p>
        </w:tc>
      </w:tr>
      <w:tr>
        <w:tc>
          <w:tcPr>
            <w:tcW w:type="dxa" w:w="2126"/>
          </w:tcPr>
          <w:p>
            <w:pPr>
              <w:spacing w:line="240" w:lineRule="auto"/>
              <w:ind w:firstLine="0"/>
              <w:jc w:val="left"/>
            </w:pPr>
            <w:r>
              <w:rPr>
                <w:rFonts w:ascii="Times New Roman" w:hAnsi="Times New Roman" w:cs="Times New Roman"/>
                <w:b w:val="0"/>
                <w:i w:val="0"/>
                <w:sz w:val="22"/>
              </w:rPr>
              <w:t>Osasco (SP)</w:t>
            </w:r>
          </w:p>
        </w:tc>
        <w:tc>
          <w:tcPr>
            <w:tcW w:type="dxa" w:w="2126"/>
          </w:tcPr>
          <w:p>
            <w:pPr>
              <w:spacing w:line="240" w:lineRule="auto"/>
              <w:ind w:firstLine="0"/>
              <w:jc w:val="center"/>
            </w:pPr>
            <w:r>
              <w:rPr>
                <w:rFonts w:ascii="Times New Roman" w:hAnsi="Times New Roman" w:cs="Times New Roman"/>
                <w:b w:val="0"/>
                <w:i w:val="0"/>
                <w:sz w:val="22"/>
              </w:rPr>
              <w:t>268.376.257</w:t>
            </w:r>
          </w:p>
        </w:tc>
        <w:tc>
          <w:tcPr>
            <w:tcW w:type="dxa" w:w="2126"/>
          </w:tcPr>
          <w:p>
            <w:pPr>
              <w:spacing w:line="240" w:lineRule="auto"/>
              <w:ind w:firstLine="0"/>
              <w:jc w:val="center"/>
            </w:pPr>
            <w:r>
              <w:rPr>
                <w:rFonts w:ascii="Times New Roman" w:hAnsi="Times New Roman" w:cs="Times New Roman"/>
                <w:b w:val="0"/>
                <w:i w:val="0"/>
                <w:sz w:val="22"/>
              </w:rPr>
              <w:t>13.275.506</w:t>
            </w:r>
          </w:p>
        </w:tc>
        <w:tc>
          <w:tcPr>
            <w:tcW w:type="dxa" w:w="2126"/>
          </w:tcPr>
          <w:p>
            <w:pPr>
              <w:spacing w:line="240" w:lineRule="auto"/>
              <w:ind w:firstLine="0"/>
              <w:jc w:val="center"/>
            </w:pPr>
            <w:r>
              <w:rPr>
                <w:rFonts w:ascii="Times New Roman" w:hAnsi="Times New Roman" w:cs="Times New Roman"/>
                <w:b w:val="0"/>
                <w:i w:val="0"/>
                <w:sz w:val="22"/>
              </w:rPr>
              <w:t>9.160%</w:t>
            </w:r>
          </w:p>
        </w:tc>
      </w:tr>
      <w:tr>
        <w:tc>
          <w:tcPr>
            <w:tcW w:type="dxa" w:w="2126"/>
          </w:tcPr>
          <w:p>
            <w:pPr>
              <w:spacing w:line="240" w:lineRule="auto"/>
              <w:ind w:firstLine="0"/>
              <w:jc w:val="left"/>
            </w:pPr>
            <w:r>
              <w:rPr>
                <w:rFonts w:ascii="Times New Roman" w:hAnsi="Times New Roman" w:cs="Times New Roman"/>
                <w:b w:val="0"/>
                <w:i w:val="0"/>
                <w:sz w:val="22"/>
              </w:rPr>
              <w:t>Roca Sales (RS)</w:t>
            </w:r>
          </w:p>
        </w:tc>
        <w:tc>
          <w:tcPr>
            <w:tcW w:type="dxa" w:w="2126"/>
          </w:tcPr>
          <w:p>
            <w:pPr>
              <w:spacing w:line="240" w:lineRule="auto"/>
              <w:ind w:firstLine="0"/>
              <w:jc w:val="center"/>
            </w:pPr>
            <w:r>
              <w:rPr>
                <w:rFonts w:ascii="Times New Roman" w:hAnsi="Times New Roman" w:cs="Times New Roman"/>
                <w:b w:val="0"/>
                <w:i w:val="0"/>
                <w:sz w:val="22"/>
              </w:rPr>
              <w:t>109.436.648</w:t>
            </w:r>
          </w:p>
        </w:tc>
        <w:tc>
          <w:tcPr>
            <w:tcW w:type="dxa" w:w="2126"/>
          </w:tcPr>
          <w:p>
            <w:pPr>
              <w:spacing w:line="240" w:lineRule="auto"/>
              <w:ind w:firstLine="0"/>
              <w:jc w:val="center"/>
            </w:pPr>
            <w:r>
              <w:rPr>
                <w:rFonts w:ascii="Times New Roman" w:hAnsi="Times New Roman" w:cs="Times New Roman"/>
                <w:b w:val="0"/>
                <w:i w:val="0"/>
                <w:sz w:val="22"/>
              </w:rPr>
              <w:t>6.331.731</w:t>
            </w:r>
          </w:p>
        </w:tc>
        <w:tc>
          <w:tcPr>
            <w:tcW w:type="dxa" w:w="2126"/>
          </w:tcPr>
          <w:p>
            <w:pPr>
              <w:spacing w:line="240" w:lineRule="auto"/>
              <w:ind w:firstLine="0"/>
              <w:jc w:val="center"/>
            </w:pPr>
            <w:r>
              <w:rPr>
                <w:rFonts w:ascii="Times New Roman" w:hAnsi="Times New Roman" w:cs="Times New Roman"/>
                <w:b w:val="0"/>
                <w:i w:val="0"/>
                <w:sz w:val="22"/>
              </w:rPr>
              <w:t>9.058%</w:t>
            </w:r>
          </w:p>
        </w:tc>
      </w:tr>
    </w:tbl>
    <w:p>
      <w:pPr>
        <w:spacing w:after="160" w:line="240" w:lineRule="auto"/>
        <w:ind w:firstLine="0"/>
      </w:pPr>
      <w:r>
        <w:rPr>
          <w:rFonts w:ascii="Times New Roman" w:hAnsi="Times New Roman" w:cs="Times New Roman"/>
          <w:b w:val="0"/>
          <w:i w:val="0"/>
          <w:sz w:val="20"/>
        </w:rPr>
        <w:t>Fonte: elaboração própria a partir dos dados da auditoria de valores.</w:t>
      </w:r>
    </w:p>
    <w:p>
      <w:pPr>
        <w:spacing w:line="360" w:lineRule="auto" w:after="0" w:before="0"/>
        <w:ind w:firstLine="709"/>
        <w:jc w:val="both"/>
      </w:pPr>
      <w:r>
        <w:rPr>
          <w:rFonts w:ascii="Times New Roman" w:hAnsi="Times New Roman" w:cs="Times New Roman"/>
          <w:b w:val="0"/>
          <w:i w:val="0"/>
          <w:sz w:val="24"/>
        </w:rPr>
        <w:t>O caso de Nova Monte Verde sintetiza tanto a utilidade quanto os limites da auditoria automatizada. A magnitude do desvio, da ordem de 235.000%, torna implausível que se trate de uma solicitação genuína, apontando, com grande probabilidade, para um erro de digitação no registro do valor. Esse tipo de ocorrência, embora não configure irregularidade no sentido de má-fé, compromete a qualidade das bases de dados e pode distorcer estatísticas agregadas, como as médias por faixa discutidas anteriormente. Dessa maneira, a detecção automatizada presta um serviço duplo: além de sinalizar possíveis superfaturamentos, contribui para a depuração dos próprios dados administrativos, ao expor inconsistências que, de outro modo, permaneceriam ocultas no volume dos registros.</w:t>
      </w:r>
    </w:p>
    <w:p>
      <w:pPr>
        <w:spacing w:line="360" w:lineRule="auto" w:after="0" w:before="0"/>
        <w:ind w:firstLine="709"/>
        <w:jc w:val="both"/>
      </w:pPr>
      <w:r>
        <w:rPr>
          <w:rFonts w:ascii="Times New Roman" w:hAnsi="Times New Roman" w:cs="Times New Roman"/>
          <w:b w:val="0"/>
          <w:i w:val="0"/>
          <w:sz w:val="24"/>
        </w:rPr>
        <w:t>A quinta fase, de caráter complementar, aplicou a floresta de isolamento ao conjunto de processos e identificou 320 observações anômalas, compatíveis, em larga medida, com os casos sinalizados pela regressão quantílica. A convergência entre técnicas distintas de detecção confere maior solidez à identificação dos casos prioritários, pois reduz a probabilidade de que um alerta decorra de particularidade de um único método. Como desdobramento instrumental, projetou-se um simulador de alertas, concebido para permitir a consulta interativa das estimativas de valor esperado e de probabilidade de aprovação, de modo a integrar os achados das fases anteriores em uma ferramenta de apoio à decisão para os gestores. O simulador traduz, assim, o conjunto da análise em um artefato operacional, ainda que sua validação em ambiente real permaneça como tarefa futura.</w:t>
      </w:r>
    </w:p>
    <w:p>
      <w:pPr>
        <w:keepNext/>
        <w:spacing w:line="360" w:lineRule="auto" w:before="240" w:after="120"/>
        <w:ind w:firstLine="0"/>
        <w:jc w:val="left"/>
      </w:pPr>
      <w:r>
        <w:rPr>
          <w:rFonts w:ascii="Times New Roman" w:hAnsi="Times New Roman" w:cs="Times New Roman"/>
          <w:b/>
          <w:i w:val="0"/>
          <w:sz w:val="24"/>
        </w:rPr>
        <w:t>4.5 Antecipação da severidade dos desastres</w:t>
      </w:r>
    </w:p>
    <w:p>
      <w:pPr>
        <w:spacing w:line="360" w:lineRule="auto" w:after="0" w:before="0"/>
        <w:ind w:firstLine="709"/>
        <w:jc w:val="both"/>
      </w:pPr>
      <w:r>
        <w:rPr>
          <w:rFonts w:ascii="Times New Roman" w:hAnsi="Times New Roman" w:cs="Times New Roman"/>
          <w:b w:val="0"/>
          <w:i w:val="0"/>
          <w:sz w:val="24"/>
        </w:rPr>
        <w:t>A solução de previsão revelou os principais vetores que determinam a gravidade de um desastre no Brasil. A análise da importância das variáveis apontou o tipo de desastre como fator mais decisivo, com 28% da importância média, seguido da localização do município, com 22%, da população, com 18%, do produto interno bruto per capita, com 15%, e da cobertura de atenção básica em saúde, com 10%. Constata-se, assim, que a severidade não decorre apenas de fatores socioeconômicos, mas, de modo preponderante, da natureza e da localização do evento. Esse resultado dialoga diretamente com os achados da solução de reconstrução, ao confirmar, por uma via independente, o peso da localização e do tipo de desastre na determinação tanto dos danos quanto da demanda por recursos.</w:t>
      </w:r>
    </w:p>
    <w:p>
      <w:pPr>
        <w:spacing w:before="160" w:after="40" w:line="240" w:lineRule="auto"/>
        <w:ind w:firstLine="0"/>
      </w:pPr>
      <w:r>
        <w:rPr>
          <w:rFonts w:ascii="Times New Roman" w:hAnsi="Times New Roman" w:cs="Times New Roman"/>
          <w:b/>
          <w:i w:val="0"/>
          <w:sz w:val="22"/>
        </w:rPr>
        <w:t>Tabela 6 - Principais fatores preditivos da severidade dos desastres</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ind w:firstLine="0"/>
              <w:jc w:val="center"/>
            </w:pPr>
            <w:r>
              <w:rPr>
                <w:rFonts w:ascii="Times New Roman" w:hAnsi="Times New Roman" w:cs="Times New Roman"/>
                <w:b/>
                <w:i w:val="0"/>
                <w:sz w:val="22"/>
              </w:rPr>
              <w:t>Fator preditivo</w:t>
            </w:r>
          </w:p>
        </w:tc>
        <w:tc>
          <w:tcPr>
            <w:tcW w:type="dxa" w:w="4252"/>
          </w:tcPr>
          <w:p>
            <w:pPr>
              <w:spacing w:line="240" w:lineRule="auto"/>
              <w:ind w:firstLine="0"/>
              <w:jc w:val="center"/>
            </w:pPr>
            <w:r>
              <w:rPr>
                <w:rFonts w:ascii="Times New Roman" w:hAnsi="Times New Roman" w:cs="Times New Roman"/>
                <w:b/>
                <w:i w:val="0"/>
                <w:sz w:val="22"/>
              </w:rPr>
              <w:t>Importância média</w:t>
            </w:r>
          </w:p>
        </w:tc>
      </w:tr>
      <w:tr>
        <w:tc>
          <w:tcPr>
            <w:tcW w:type="dxa" w:w="4252"/>
          </w:tcPr>
          <w:p>
            <w:pPr>
              <w:spacing w:line="240" w:lineRule="auto"/>
              <w:ind w:firstLine="0"/>
              <w:jc w:val="left"/>
            </w:pPr>
            <w:r>
              <w:rPr>
                <w:rFonts w:ascii="Times New Roman" w:hAnsi="Times New Roman" w:cs="Times New Roman"/>
                <w:b w:val="0"/>
                <w:i w:val="0"/>
                <w:sz w:val="22"/>
              </w:rPr>
              <w:t>Tipo de desastre</w:t>
            </w:r>
          </w:p>
        </w:tc>
        <w:tc>
          <w:tcPr>
            <w:tcW w:type="dxa" w:w="4252"/>
          </w:tcPr>
          <w:p>
            <w:pPr>
              <w:spacing w:line="240" w:lineRule="auto"/>
              <w:ind w:firstLine="0"/>
              <w:jc w:val="center"/>
            </w:pPr>
            <w:r>
              <w:rPr>
                <w:rFonts w:ascii="Times New Roman" w:hAnsi="Times New Roman" w:cs="Times New Roman"/>
                <w:b w:val="0"/>
                <w:i w:val="0"/>
                <w:sz w:val="22"/>
              </w:rPr>
              <w:t>28%</w:t>
            </w:r>
          </w:p>
        </w:tc>
      </w:tr>
      <w:tr>
        <w:tc>
          <w:tcPr>
            <w:tcW w:type="dxa" w:w="4252"/>
          </w:tcPr>
          <w:p>
            <w:pPr>
              <w:spacing w:line="240" w:lineRule="auto"/>
              <w:ind w:firstLine="0"/>
              <w:jc w:val="left"/>
            </w:pPr>
            <w:r>
              <w:rPr>
                <w:rFonts w:ascii="Times New Roman" w:hAnsi="Times New Roman" w:cs="Times New Roman"/>
                <w:b w:val="0"/>
                <w:i w:val="0"/>
                <w:sz w:val="22"/>
              </w:rPr>
              <w:t>Localização do município</w:t>
            </w:r>
          </w:p>
        </w:tc>
        <w:tc>
          <w:tcPr>
            <w:tcW w:type="dxa" w:w="4252"/>
          </w:tcPr>
          <w:p>
            <w:pPr>
              <w:spacing w:line="240" w:lineRule="auto"/>
              <w:ind w:firstLine="0"/>
              <w:jc w:val="center"/>
            </w:pPr>
            <w:r>
              <w:rPr>
                <w:rFonts w:ascii="Times New Roman" w:hAnsi="Times New Roman" w:cs="Times New Roman"/>
                <w:b w:val="0"/>
                <w:i w:val="0"/>
                <w:sz w:val="22"/>
              </w:rPr>
              <w:t>22%</w:t>
            </w:r>
          </w:p>
        </w:tc>
      </w:tr>
      <w:tr>
        <w:tc>
          <w:tcPr>
            <w:tcW w:type="dxa" w:w="4252"/>
          </w:tcPr>
          <w:p>
            <w:pPr>
              <w:spacing w:line="240" w:lineRule="auto"/>
              <w:ind w:firstLine="0"/>
              <w:jc w:val="left"/>
            </w:pPr>
            <w:r>
              <w:rPr>
                <w:rFonts w:ascii="Times New Roman" w:hAnsi="Times New Roman" w:cs="Times New Roman"/>
                <w:b w:val="0"/>
                <w:i w:val="0"/>
                <w:sz w:val="22"/>
              </w:rPr>
              <w:t>População do município</w:t>
            </w:r>
          </w:p>
        </w:tc>
        <w:tc>
          <w:tcPr>
            <w:tcW w:type="dxa" w:w="4252"/>
          </w:tcPr>
          <w:p>
            <w:pPr>
              <w:spacing w:line="240" w:lineRule="auto"/>
              <w:ind w:firstLine="0"/>
              <w:jc w:val="center"/>
            </w:pPr>
            <w:r>
              <w:rPr>
                <w:rFonts w:ascii="Times New Roman" w:hAnsi="Times New Roman" w:cs="Times New Roman"/>
                <w:b w:val="0"/>
                <w:i w:val="0"/>
                <w:sz w:val="22"/>
              </w:rPr>
              <w:t>18%</w:t>
            </w:r>
          </w:p>
        </w:tc>
      </w:tr>
      <w:tr>
        <w:tc>
          <w:tcPr>
            <w:tcW w:type="dxa" w:w="4252"/>
          </w:tcPr>
          <w:p>
            <w:pPr>
              <w:spacing w:line="240" w:lineRule="auto"/>
              <w:ind w:firstLine="0"/>
              <w:jc w:val="left"/>
            </w:pPr>
            <w:r>
              <w:rPr>
                <w:rFonts w:ascii="Times New Roman" w:hAnsi="Times New Roman" w:cs="Times New Roman"/>
                <w:b w:val="0"/>
                <w:i w:val="0"/>
                <w:sz w:val="22"/>
              </w:rPr>
              <w:t>PIB per capita</w:t>
            </w:r>
          </w:p>
        </w:tc>
        <w:tc>
          <w:tcPr>
            <w:tcW w:type="dxa" w:w="4252"/>
          </w:tcPr>
          <w:p>
            <w:pPr>
              <w:spacing w:line="240" w:lineRule="auto"/>
              <w:ind w:firstLine="0"/>
              <w:jc w:val="center"/>
            </w:pPr>
            <w:r>
              <w:rPr>
                <w:rFonts w:ascii="Times New Roman" w:hAnsi="Times New Roman" w:cs="Times New Roman"/>
                <w:b w:val="0"/>
                <w:i w:val="0"/>
                <w:sz w:val="22"/>
              </w:rPr>
              <w:t>15%</w:t>
            </w:r>
          </w:p>
        </w:tc>
      </w:tr>
      <w:tr>
        <w:tc>
          <w:tcPr>
            <w:tcW w:type="dxa" w:w="4252"/>
          </w:tcPr>
          <w:p>
            <w:pPr>
              <w:spacing w:line="240" w:lineRule="auto"/>
              <w:ind w:firstLine="0"/>
              <w:jc w:val="left"/>
            </w:pPr>
            <w:r>
              <w:rPr>
                <w:rFonts w:ascii="Times New Roman" w:hAnsi="Times New Roman" w:cs="Times New Roman"/>
                <w:b w:val="0"/>
                <w:i w:val="0"/>
                <w:sz w:val="22"/>
              </w:rPr>
              <w:t>Cobertura de atenção básica</w:t>
            </w:r>
          </w:p>
        </w:tc>
        <w:tc>
          <w:tcPr>
            <w:tcW w:type="dxa" w:w="4252"/>
          </w:tcPr>
          <w:p>
            <w:pPr>
              <w:spacing w:line="240" w:lineRule="auto"/>
              <w:ind w:firstLine="0"/>
              <w:jc w:val="center"/>
            </w:pPr>
            <w:r>
              <w:rPr>
                <w:rFonts w:ascii="Times New Roman" w:hAnsi="Times New Roman" w:cs="Times New Roman"/>
                <w:b w:val="0"/>
                <w:i w:val="0"/>
                <w:sz w:val="22"/>
              </w:rPr>
              <w:t>10%</w:t>
            </w:r>
          </w:p>
        </w:tc>
      </w:tr>
    </w:tbl>
    <w:p>
      <w:pPr>
        <w:spacing w:after="160" w:line="240" w:lineRule="auto"/>
        <w:ind w:firstLine="0"/>
      </w:pPr>
      <w:r>
        <w:rPr>
          <w:rFonts w:ascii="Times New Roman" w:hAnsi="Times New Roman" w:cs="Times New Roman"/>
          <w:b w:val="0"/>
          <w:i w:val="0"/>
          <w:sz w:val="20"/>
        </w:rPr>
        <w:t>Fonte: elaboração própria a partir da solução de previsão de severidade.</w:t>
      </w:r>
    </w:p>
    <w:p>
      <w:pPr>
        <w:spacing w:line="360" w:lineRule="auto" w:after="0" w:before="0"/>
        <w:ind w:firstLine="709"/>
        <w:jc w:val="both"/>
      </w:pPr>
      <w:r>
        <w:rPr>
          <w:rFonts w:ascii="Times New Roman" w:hAnsi="Times New Roman" w:cs="Times New Roman"/>
          <w:b w:val="0"/>
          <w:i w:val="0"/>
          <w:sz w:val="24"/>
        </w:rPr>
        <w:t>A aplicação prática dessa capacidade preditiva é direta. Ao antecipar a magnitude provável dos danos de um evento iminente, o instrumento permite que a defesa civil priorize recursos, que os gestores dimensionem orçamentos e que as ações de prevenção e preparação sejam direcionadas, com maior precisão, aos territórios e aos tipos de evento de maior risco. A disponibilização da solução em ambiente de demonstração de acesso público reforça a viabilidade de sua incorporação à rotina dos órgãos responsáveis e ilustra o caráter operacional, e não meramente exploratório, do conjunto do projeto.</w:t>
      </w:r>
    </w:p>
    <w:p>
      <w:pPr>
        <w:keepNext/>
        <w:spacing w:line="360" w:lineRule="auto" w:before="240" w:after="120"/>
        <w:ind w:firstLine="0"/>
        <w:jc w:val="left"/>
      </w:pPr>
      <w:r>
        <w:rPr>
          <w:rFonts w:ascii="Times New Roman" w:hAnsi="Times New Roman" w:cs="Times New Roman"/>
          <w:b/>
          <w:i w:val="0"/>
          <w:sz w:val="24"/>
        </w:rPr>
        <w:t>5 Discussão</w:t>
      </w:r>
    </w:p>
    <w:p>
      <w:pPr>
        <w:spacing w:line="360" w:lineRule="auto" w:after="0" w:before="0"/>
        <w:ind w:firstLine="709"/>
        <w:jc w:val="both"/>
      </w:pPr>
      <w:r>
        <w:rPr>
          <w:rFonts w:ascii="Times New Roman" w:hAnsi="Times New Roman" w:cs="Times New Roman"/>
          <w:b w:val="0"/>
          <w:i w:val="0"/>
          <w:sz w:val="24"/>
        </w:rPr>
        <w:t>Os resultados convergem para um argumento central: os indicadores formais de capacidade capturam apenas parcialmente o comportamento dos municípios diante dos desastres. O paradoxo da faixa D pode ser lido à luz da produção social da vulnerabilidade (VALENCIO, 2009): a fragilidade institucional, associada a infraestrutura precária e a baixa prevenção, amplifica os danos quando o evento se materializa, de modo que a maior demanda decorre menos da capacidade em si do que das vulnerabilidades que a baixa capacidade perpetua. A forte influência de valores extremos sobre a média, contudo, recomenda que a interpretação do paradoxo se sustente na leitura conjunta da média e da mediana.</w:t>
      </w:r>
    </w:p>
    <w:p>
      <w:pPr>
        <w:spacing w:line="360" w:lineRule="auto" w:after="0" w:before="0"/>
        <w:ind w:firstLine="709"/>
        <w:jc w:val="both"/>
      </w:pPr>
      <w:r>
        <w:rPr>
          <w:rFonts w:ascii="Times New Roman" w:hAnsi="Times New Roman" w:cs="Times New Roman"/>
          <w:b w:val="0"/>
          <w:i w:val="0"/>
          <w:sz w:val="24"/>
        </w:rPr>
        <w:t>A constatação de que o grupo comportamental supera a faixa de capacidade na explicação da segmentação e da aprovação tem implicação prática direta: a observação do comportamento efetivo, derivada de dados transacionais, oferece substrato mais aderente à realidade do que a classificação oficial isolada. A focalização de políticas de fortalecimento e de monitoramento beneficiar-se-ia de combinar o indicador formal a essa leitura comportamental, sem abandonar o índice, cuja função de síntese estrutural permanece válida.</w:t>
      </w:r>
    </w:p>
    <w:p>
      <w:pPr>
        <w:spacing w:line="360" w:lineRule="auto" w:after="0" w:before="0"/>
        <w:ind w:firstLine="709"/>
        <w:jc w:val="both"/>
      </w:pPr>
      <w:r>
        <w:rPr>
          <w:rFonts w:ascii="Times New Roman" w:hAnsi="Times New Roman" w:cs="Times New Roman"/>
          <w:b w:val="0"/>
          <w:i w:val="0"/>
          <w:sz w:val="24"/>
        </w:rPr>
        <w:t>No que tange à auditoria, a triagem algorítmica mostra-se viável para o controle de gastos: a identificação de 580 processos acima do padrão esperado concentra a atenção dos órgãos de controle em um subconjunto gerenciável, na lógica de complementaridade entre controle e fiscalização seletiva (SPECK, 2002). Seu alcance, porém, é limitado. O baixo coeficiente de determinação indica incerteza substancial, de modo que a sinalização é hipótese a verificar, e não veredito; e casos como o de Nova Monte Verde, provável erro de digitação, mostram que parte dos alertas decorre da qualidade dos dados, e não de irregularidade, o que reforça a indispensabilidade do julgamento humano.</w:t>
      </w:r>
    </w:p>
    <w:p>
      <w:pPr>
        <w:spacing w:line="360" w:lineRule="auto" w:after="0" w:before="0"/>
        <w:ind w:firstLine="709"/>
        <w:jc w:val="both"/>
      </w:pPr>
      <w:r>
        <w:rPr>
          <w:rFonts w:ascii="Times New Roman" w:hAnsi="Times New Roman" w:cs="Times New Roman"/>
          <w:b w:val="0"/>
          <w:i w:val="0"/>
          <w:sz w:val="24"/>
        </w:rPr>
        <w:t>Há, ademais, uma dimensão ética e institucional a considerar na adoção de ferramentas automatizadas no setor público. A sinalização de um processo como atípico pode produzir efeitos reputacionais sobre gestores e municípios, ainda que a verificação posterior conclua pela regularidade do pedido. Por essa razão, a incorporação de tais instrumentos exige protocolos que assegurem o contraditório, a transparência dos critérios e a reserva da decisão final ao agente público competente. A interpretabilidade das técnicas escolhidas neste estudo, ao permitir que se explicitem os fatores associados a cada sinalização, contribui para essa exigência, mas não a esgota, pois a legitimidade do uso de algoritmos na administração depende também de arranjos institucionais que disciplinem sua aplicação.</w:t>
      </w:r>
    </w:p>
    <w:p>
      <w:pPr>
        <w:spacing w:line="360" w:lineRule="auto" w:after="0" w:before="0"/>
        <w:ind w:firstLine="709"/>
        <w:jc w:val="both"/>
      </w:pPr>
      <w:r>
        <w:rPr>
          <w:rFonts w:ascii="Times New Roman" w:hAnsi="Times New Roman" w:cs="Times New Roman"/>
          <w:b w:val="0"/>
          <w:i w:val="0"/>
          <w:sz w:val="24"/>
        </w:rPr>
        <w:t>Dessa maneira, o estudo apresenta limitações que circunscrevem suas conclusões. A natureza secundária e administrativa dos dados implica dependência da qualidade do registro original, e a ausência de variáveis sobre a severidade física dos eventos restringe a capacidade de isolar o efeito da vulnerabilidade. Ademais, a definição binária da variável de aprovação simplifica a diversidade de situações processuais, e a exclusão dos processos em análise pode introduzir viés de seleção. O baixo poder explicativo do modelo de valor, por fim, recomenda cautela na sua utilização para fins distintos da triagem. Essas ressalvas não invalidam os achados, mas delimitam o terreno em que são válidos e indicam a necessidade de cautela na sua tradução para decisões de política.</w:t>
      </w:r>
    </w:p>
    <w:p>
      <w:pPr>
        <w:spacing w:line="360" w:lineRule="auto" w:after="0" w:before="0"/>
        <w:ind w:firstLine="709"/>
        <w:jc w:val="both"/>
      </w:pPr>
      <w:r>
        <w:rPr>
          <w:rFonts w:ascii="Times New Roman" w:hAnsi="Times New Roman" w:cs="Times New Roman"/>
          <w:b w:val="0"/>
          <w:i w:val="0"/>
          <w:sz w:val="24"/>
        </w:rPr>
        <w:t>A articulação entre as duas soluções percorre o ciclo completo de gestão de riscos: o motor de previsão atua a montante, ao antecipar a severidade e informar a alocação prévia de recursos; o sistema de reconstrução atua a jusante, ao otimizar a destinação das verbas e auditar os processos. Em conjunto, deslocam a gestão de desastres de um modelo reativo para um proativo, deslocamento que, todavia, depende da integração dos instrumentos às rotinas decisórias dos órgãos competentes, sem a qual a inteligência de dados permanece potencial não realizado.</w:t>
      </w:r>
    </w:p>
    <w:p>
      <w:pPr>
        <w:keepNext/>
        <w:spacing w:line="360" w:lineRule="auto" w:before="240" w:after="120"/>
        <w:ind w:firstLine="0"/>
        <w:jc w:val="left"/>
      </w:pPr>
      <w:r>
        <w:rPr>
          <w:rFonts w:ascii="Times New Roman" w:hAnsi="Times New Roman" w:cs="Times New Roman"/>
          <w:b/>
          <w:i w:val="0"/>
          <w:sz w:val="24"/>
        </w:rPr>
        <w:t>6 Considerações finais</w:t>
      </w:r>
    </w:p>
    <w:p>
      <w:pPr>
        <w:spacing w:line="360" w:lineRule="auto" w:after="0" w:before="0"/>
        <w:ind w:firstLine="709"/>
        <w:jc w:val="both"/>
      </w:pPr>
      <w:r>
        <w:rPr>
          <w:rFonts w:ascii="Times New Roman" w:hAnsi="Times New Roman" w:cs="Times New Roman"/>
          <w:b w:val="0"/>
          <w:i w:val="0"/>
          <w:sz w:val="24"/>
        </w:rPr>
        <w:t>Este artigo analisou a relação entre a capacidade institucional municipal e o comportamento de demanda por recursos de reconstrução, além da viabilidade de auditoria automatizada desses gastos, a partir de 6.385 processos registrados entre 2017 e 2025. Os achados sustentam que o comportamento efetivo de demanda é mais informativo que o rótulo oficial de capacidade, tanto na segmentação quanto na explicação da aprovação, e que a triagem algorítmica é capaz de priorizar processos para verificação, ainda que sob a ressalva dos casos extremos e da qualidade dos dados.</w:t>
      </w:r>
    </w:p>
    <w:p>
      <w:pPr>
        <w:spacing w:line="360" w:lineRule="auto" w:after="0" w:before="0"/>
        <w:ind w:firstLine="709"/>
        <w:jc w:val="both"/>
      </w:pPr>
      <w:r>
        <w:rPr>
          <w:rFonts w:ascii="Times New Roman" w:hAnsi="Times New Roman" w:cs="Times New Roman"/>
          <w:b w:val="0"/>
          <w:i w:val="0"/>
          <w:sz w:val="24"/>
        </w:rPr>
        <w:t>A principal contribuição do trabalho reside em articular um diagnóstico empírico sobre a desigualdade de capacidades a uma proposta instrumental de governança, fundada em técnicas de aprendizado de máquina concebidas como apoio, e não como substituto, do julgamento técnico. A triagem automatizada de valores mostrou-se capaz de priorizar um subconjunto gerenciável de processos para auditoria, contribuindo para o uso eficiente dos recursos de fiscalização, ao passo que a segmentação comportamental ofereceu um mapa mais detalhado da demanda do que a classificação por faixas. Reconhece-se, todavia, que a incerteza das estimativas e os problemas de qualidade dos dados impõem limites a essa aplicação, que deve ser compreendida no quadro de uma governança que preserve o contraditório e a decisão humana.</w:t>
      </w:r>
    </w:p>
    <w:p>
      <w:pPr>
        <w:spacing w:line="360" w:lineRule="auto" w:after="0" w:before="0"/>
        <w:ind w:firstLine="709"/>
        <w:jc w:val="both"/>
      </w:pPr>
      <w:r>
        <w:rPr>
          <w:rFonts w:ascii="Times New Roman" w:hAnsi="Times New Roman" w:cs="Times New Roman"/>
          <w:b w:val="0"/>
          <w:i w:val="0"/>
          <w:sz w:val="24"/>
        </w:rPr>
        <w:t>Para além das contribuições analíticas, o estudo sugere implicações para o desenho da política de reconstrução. A constatação de que os recursos se concentram em municípios de menor capacidade, combinada à evidência de recorrência territorial dos eventos, indica que a eficácia da política depende de sua articulação a medidas de fortalecimento institucional e de prevenção de riscos. Transferir volumes elevados a entes com baixa capacidade de execução, sem investir simultaneamente na construção dessa capacidade, tende a reproduzir o ciclo de vulnerabilidade que a política pretende romper. Nesse sentido, os instrumentos analíticos aqui propostos podem servir não apenas ao controle dos gastos, mas também à identificação dos territórios e dos perfis municipais que mais se beneficiariam de estratégias estruturais, deslocando o foco da resposta reativa para a gestão antecipada do risco.</w:t>
      </w:r>
    </w:p>
    <w:p>
      <w:pPr>
        <w:spacing w:line="360" w:lineRule="auto" w:after="0" w:before="0"/>
        <w:ind w:firstLine="709"/>
        <w:jc w:val="both"/>
      </w:pPr>
      <w:r>
        <w:rPr>
          <w:rFonts w:ascii="Times New Roman" w:hAnsi="Times New Roman" w:cs="Times New Roman"/>
          <w:b w:val="0"/>
          <w:i w:val="0"/>
          <w:sz w:val="24"/>
        </w:rPr>
        <w:t>Como agenda futura, recomenda-se a incorporação de variáveis sobre a severidade física dos eventos e sobre as condições socioeconômicas dos municípios, capazes de qualificar a interpretação do paradoxo da capacidade; o aprimoramento dos modelos preditivos mediante a inclusão de novas fontes de dados; e o desenvolvimento e a validação, em ambiente real, do simulador de alertas, de modo a avaliar sua utilidade efetiva para os gestores. Seria igualmente proveitoso investigar, por meio de estudos qualitativos, os casos sinalizados como atípicos, a fim de discriminar entre erros de registro, situações excepcionais legítimas e eventuais irregularidades. Tais desdobramentos poderiam consolidar a integração entre evidência empírica e instrumentos de gestão no campo das políticas de reconstrução pós-desastre, contribuindo para que o aumento da capacidade analítica do Estado se converta em maior efetividade e transparência na aplicação dos recursos públicos.</w:t>
      </w:r>
    </w:p>
    <w:p>
      <w:pPr>
        <w:keepNext/>
        <w:spacing w:line="360" w:lineRule="auto" w:before="240" w:after="120"/>
        <w:ind w:firstLine="0"/>
        <w:jc w:val="left"/>
      </w:pPr>
      <w:r>
        <w:rPr>
          <w:rFonts w:ascii="Times New Roman" w:hAnsi="Times New Roman" w:cs="Times New Roman"/>
          <w:b/>
          <w:i w:val="0"/>
          <w:sz w:val="24"/>
        </w:rPr>
        <w:t>Referências</w:t>
      </w:r>
    </w:p>
    <w:p>
      <w:pPr>
        <w:spacing w:line="240" w:lineRule="auto" w:after="120"/>
        <w:ind w:firstLine="0"/>
        <w:jc w:val="both"/>
      </w:pPr>
      <w:r>
        <w:rPr>
          <w:rFonts w:ascii="Times New Roman" w:hAnsi="Times New Roman" w:cs="Times New Roman"/>
          <w:b w:val="0"/>
          <w:i w:val="0"/>
          <w:sz w:val="24"/>
        </w:rPr>
        <w:t>ABRUCIO, Fernando Luiz. A coordenação federativa no Brasil: a experiência do período FHC e os desafios do governo Lula. Revista de Sociologia e Política, Curitiba, n. 24, p. 41-67, 2005.</w:t>
      </w:r>
    </w:p>
    <w:p>
      <w:pPr>
        <w:spacing w:line="240" w:lineRule="auto" w:after="120"/>
        <w:ind w:firstLine="0"/>
        <w:jc w:val="both"/>
      </w:pPr>
      <w:r>
        <w:rPr>
          <w:rFonts w:ascii="Times New Roman" w:hAnsi="Times New Roman" w:cs="Times New Roman"/>
          <w:b w:val="0"/>
          <w:i w:val="0"/>
          <w:sz w:val="24"/>
        </w:rPr>
        <w:t>BRASIL. Lei nº 12.608, de 10 de abril de 2012. Institui a Política Nacional de Proteção e Defesa Civil. Brasília, DF: Presidência da República, 2012.</w:t>
      </w:r>
    </w:p>
    <w:p>
      <w:pPr>
        <w:spacing w:line="240" w:lineRule="auto" w:after="120"/>
        <w:ind w:firstLine="0"/>
        <w:jc w:val="both"/>
      </w:pPr>
      <w:r>
        <w:rPr>
          <w:rFonts w:ascii="Times New Roman" w:hAnsi="Times New Roman" w:cs="Times New Roman"/>
          <w:b w:val="0"/>
          <w:i w:val="0"/>
          <w:sz w:val="24"/>
        </w:rPr>
        <w:t>BRASIL. Ministério da Integração e Desenvolvimento Regional. Secretaria Nacional de Proteção e Defesa Civil. Relatório gerencial de reconstrução: acompanhamento de processos. Brasília, DF: MIDR, 2017-2025. Relatórios anuais. Dados administrativos.</w:t>
      </w:r>
    </w:p>
    <w:p>
      <w:pPr>
        <w:spacing w:line="240" w:lineRule="auto" w:after="120"/>
        <w:ind w:firstLine="0"/>
        <w:jc w:val="both"/>
      </w:pPr>
      <w:r>
        <w:rPr>
          <w:rFonts w:ascii="Times New Roman" w:hAnsi="Times New Roman" w:cs="Times New Roman"/>
          <w:b w:val="0"/>
          <w:i w:val="0"/>
          <w:sz w:val="24"/>
        </w:rPr>
        <w:t>BRASIL. Ministério do Meio Ambiente. Plano Nacional de Adaptação à Mudança do Clima: estratégia setorial de gestão de risco de desastres. Brasília, DF: MMA, 2016. Disponível em: https://www.gov.br/mma/pt-br/assuntos/mudanca-do-clima/clima/repositorio/pna_estrategia_de_gestao_de_risco_de_desastres.pdf. Acesso em: 23 jun. 2026.</w:t>
      </w:r>
    </w:p>
    <w:p>
      <w:pPr>
        <w:spacing w:line="240" w:lineRule="auto" w:after="120"/>
        <w:ind w:firstLine="0"/>
        <w:jc w:val="both"/>
      </w:pPr>
      <w:r>
        <w:rPr>
          <w:rFonts w:ascii="Times New Roman" w:hAnsi="Times New Roman" w:cs="Times New Roman"/>
          <w:b w:val="0"/>
          <w:i w:val="0"/>
          <w:sz w:val="24"/>
        </w:rPr>
        <w:t>BRASIL. Ministério da Saúde. DATASUS: informações de saúde — cobertura da atenção básica. Brasília, DF: Ministério da Saúde, 2024. Disponível em: https://datasus.saude.gov.br. Acesso em: 23 jun. 2026.</w:t>
      </w:r>
    </w:p>
    <w:p>
      <w:pPr>
        <w:spacing w:line="240" w:lineRule="auto" w:after="120"/>
        <w:ind w:firstLine="0"/>
        <w:jc w:val="both"/>
      </w:pPr>
      <w:r>
        <w:rPr>
          <w:rFonts w:ascii="Times New Roman" w:hAnsi="Times New Roman" w:cs="Times New Roman"/>
          <w:b w:val="0"/>
          <w:i w:val="0"/>
          <w:sz w:val="24"/>
        </w:rPr>
        <w:t>BREIMAN, Leo. Random forests. Machine Learning, v. 45, n. 1, p. 5-32, 2001.</w:t>
      </w:r>
    </w:p>
    <w:p>
      <w:pPr>
        <w:spacing w:line="240" w:lineRule="auto" w:after="120"/>
        <w:ind w:firstLine="0"/>
        <w:jc w:val="both"/>
      </w:pPr>
      <w:r>
        <w:rPr>
          <w:rFonts w:ascii="Times New Roman" w:hAnsi="Times New Roman" w:cs="Times New Roman"/>
          <w:b w:val="0"/>
          <w:i w:val="0"/>
          <w:sz w:val="24"/>
        </w:rPr>
        <w:t>CENTRO UNIVERSITÁRIO DE ESTUDOS E PESQUISAS SOBRE DESASTRES (CEPED/UFSC). Atlas digital de desastres no Brasil. Florianópolis: CEPED/UFSC, 2023. Disponível em: https://atlasdigital.mdr.gov.br. Acesso em: 23 jun. 2026.</w:t>
      </w:r>
    </w:p>
    <w:p>
      <w:pPr>
        <w:spacing w:line="240" w:lineRule="auto" w:after="120"/>
        <w:ind w:firstLine="0"/>
        <w:jc w:val="both"/>
      </w:pPr>
      <w:r>
        <w:rPr>
          <w:rFonts w:ascii="Times New Roman" w:hAnsi="Times New Roman" w:cs="Times New Roman"/>
          <w:b w:val="0"/>
          <w:i w:val="0"/>
          <w:sz w:val="24"/>
        </w:rPr>
        <w:t>CONFEDERAÇÃO NACIONAL DE MUNICÍPIOS (CNM). Panorama dos desastres no Brasil: 2013 a 2024. Brasília, DF: CNM, 2025. (Estudo Técnico, n. 05/2025). Disponível em: https://cnm.org.br/storage/biblioteca/2025/Estudos_Tecnicos/ET_DEFCIVIVL_05-2025_Panorama_dos_Desastres_no_Brasil_2013_a_2024.pdf. Acesso em: 23 jun. 2026.</w:t>
      </w:r>
    </w:p>
    <w:p>
      <w:pPr>
        <w:spacing w:line="240" w:lineRule="auto" w:after="120"/>
        <w:ind w:firstLine="0"/>
        <w:jc w:val="both"/>
      </w:pPr>
      <w:r>
        <w:rPr>
          <w:rFonts w:ascii="Times New Roman" w:hAnsi="Times New Roman" w:cs="Times New Roman"/>
          <w:b w:val="0"/>
          <w:i w:val="0"/>
          <w:sz w:val="24"/>
        </w:rPr>
        <w:t>FRIEDMAN, Jerome H. Greedy function approximation: a gradient boosting machine. The Annals of Statistics, v. 29, n. 5, p. 1189-1232, 2001.</w:t>
      </w:r>
    </w:p>
    <w:p>
      <w:pPr>
        <w:spacing w:line="240" w:lineRule="auto" w:after="120"/>
        <w:ind w:firstLine="0"/>
        <w:jc w:val="both"/>
      </w:pPr>
      <w:r>
        <w:rPr>
          <w:rFonts w:ascii="Times New Roman" w:hAnsi="Times New Roman" w:cs="Times New Roman"/>
          <w:b w:val="0"/>
          <w:i w:val="0"/>
          <w:sz w:val="24"/>
        </w:rPr>
        <w:t>GRIN, Eduardo José; ABRUCIO, Fernando Luiz. Quão distantes estamos de um sistema municipal de capacidades estatais no Brasil? Revista de Administração Pública, Rio de Janeiro, v. 52, n. 4, p. 691-712, 2018.</w:t>
      </w:r>
    </w:p>
    <w:p>
      <w:pPr>
        <w:spacing w:line="240" w:lineRule="auto" w:after="120"/>
        <w:ind w:firstLine="0"/>
        <w:jc w:val="both"/>
      </w:pPr>
      <w:r>
        <w:rPr>
          <w:rFonts w:ascii="Times New Roman" w:hAnsi="Times New Roman" w:cs="Times New Roman"/>
          <w:b w:val="0"/>
          <w:i w:val="0"/>
          <w:sz w:val="24"/>
        </w:rPr>
        <w:t>INSTITUTO BRASILEIRO DE GEOGRAFIA E ESTATÍSTICA (IBGE). Regiões de influência das cidades: 2018. Rio de Janeiro: IBGE, 2020.</w:t>
      </w:r>
    </w:p>
    <w:p>
      <w:pPr>
        <w:spacing w:line="240" w:lineRule="auto" w:after="120"/>
        <w:ind w:firstLine="0"/>
        <w:jc w:val="both"/>
      </w:pPr>
      <w:r>
        <w:rPr>
          <w:rFonts w:ascii="Times New Roman" w:hAnsi="Times New Roman" w:cs="Times New Roman"/>
          <w:b w:val="0"/>
          <w:i w:val="0"/>
          <w:sz w:val="24"/>
        </w:rPr>
        <w:t>INSTITUTO BRASILEIRO DE GEOGRAFIA E ESTATÍSTICA (IBGE). Produto interno bruto dos municípios: 2021. Rio de Janeiro: IBGE, 2023. Disponível em: https://www.ibge.gov.br/estatisticas/economicas/contas-nacionais/9088-produto-interno-bruto-dos-municipios.html. Acesso em: 23 jun. 2026.</w:t>
      </w:r>
    </w:p>
    <w:p>
      <w:pPr>
        <w:spacing w:line="240" w:lineRule="auto" w:after="120"/>
        <w:ind w:firstLine="0"/>
        <w:jc w:val="both"/>
      </w:pPr>
      <w:r>
        <w:rPr>
          <w:rFonts w:ascii="Times New Roman" w:hAnsi="Times New Roman" w:cs="Times New Roman"/>
          <w:b w:val="0"/>
          <w:i w:val="0"/>
          <w:sz w:val="24"/>
        </w:rPr>
        <w:t>KOENKER, Roger; BASSETT JR., Gilbert. Regression quantiles. Econometrica, v. 46, n. 1, p. 33-50, 1978.</w:t>
      </w:r>
    </w:p>
    <w:p>
      <w:pPr>
        <w:spacing w:line="240" w:lineRule="auto" w:after="120"/>
        <w:ind w:firstLine="0"/>
        <w:jc w:val="both"/>
      </w:pPr>
      <w:r>
        <w:rPr>
          <w:rFonts w:ascii="Times New Roman" w:hAnsi="Times New Roman" w:cs="Times New Roman"/>
          <w:b w:val="0"/>
          <w:i w:val="0"/>
          <w:sz w:val="24"/>
        </w:rPr>
        <w:t>LIU, Fei Tony; TING, Kai Ming; ZHOU, Zhi-Hua. Isolation forest. In: IEEE International Conference on Data Mining, 8., 2008. Proceedings. Pisa: IEEE, 2008. p. 413-422.</w:t>
      </w:r>
    </w:p>
    <w:p>
      <w:pPr>
        <w:spacing w:line="240" w:lineRule="auto" w:after="120"/>
        <w:ind w:firstLine="0"/>
        <w:jc w:val="both"/>
      </w:pPr>
      <w:r>
        <w:rPr>
          <w:rFonts w:ascii="Times New Roman" w:hAnsi="Times New Roman" w:cs="Times New Roman"/>
          <w:b w:val="0"/>
          <w:i w:val="0"/>
          <w:sz w:val="24"/>
        </w:rPr>
        <w:t>MACQUEEN, James. Some methods for classification and analysis of multivariate observations. In: Berkeley Symposium on Mathematical Statistics and Probability, 5., 1967. Proceedings. Berkeley: University of California Press, 1967. p. 281-297.</w:t>
      </w:r>
    </w:p>
    <w:p>
      <w:pPr>
        <w:spacing w:line="240" w:lineRule="auto" w:after="120"/>
        <w:ind w:firstLine="0"/>
        <w:jc w:val="both"/>
      </w:pPr>
      <w:r>
        <w:rPr>
          <w:rFonts w:ascii="Times New Roman" w:hAnsi="Times New Roman" w:cs="Times New Roman"/>
          <w:b w:val="0"/>
          <w:i w:val="0"/>
          <w:sz w:val="24"/>
        </w:rPr>
        <w:t>MARENCO, André; STROHSCHOEN, Maria Tereza Blanco; JONER, William. Capacidade estatal, burocracia e tributação nos municípios brasileiros. Revista de Sociologia e Política, Curitiba, v. 25, n. 64, p. 3-21, 2017.</w:t>
      </w:r>
    </w:p>
    <w:p>
      <w:pPr>
        <w:spacing w:line="240" w:lineRule="auto" w:after="120"/>
        <w:ind w:firstLine="0"/>
        <w:jc w:val="both"/>
      </w:pPr>
      <w:r>
        <w:rPr>
          <w:rFonts w:ascii="Times New Roman" w:hAnsi="Times New Roman" w:cs="Times New Roman"/>
          <w:b w:val="0"/>
          <w:i w:val="0"/>
          <w:sz w:val="24"/>
        </w:rPr>
        <w:t>MODELO preditivo de severidade de desastres para a defesa civil: aplicação de demonstração. [S. l.], 2025. URL omitida para avaliação cega; será incluída na fase de copidesque, caso o artigo seja aprovado.</w:t>
      </w:r>
    </w:p>
    <w:p>
      <w:pPr>
        <w:spacing w:line="240" w:lineRule="auto" w:after="120"/>
        <w:ind w:firstLine="0"/>
        <w:jc w:val="both"/>
      </w:pPr>
      <w:r>
        <w:rPr>
          <w:rFonts w:ascii="Times New Roman" w:hAnsi="Times New Roman" w:cs="Times New Roman"/>
          <w:b w:val="0"/>
          <w:i w:val="0"/>
          <w:sz w:val="24"/>
        </w:rPr>
        <w:t>SPECK, Bruno Wilhelm (org.). Caminhos da transparência: análise dos componentes de um sistema nacional de integridade. Campinas: Editora da Unicamp, 2002.</w:t>
      </w:r>
    </w:p>
    <w:p>
      <w:pPr>
        <w:spacing w:line="240" w:lineRule="auto" w:after="120"/>
        <w:ind w:firstLine="0"/>
        <w:jc w:val="both"/>
      </w:pPr>
      <w:r>
        <w:rPr>
          <w:rFonts w:ascii="Times New Roman" w:hAnsi="Times New Roman" w:cs="Times New Roman"/>
          <w:b w:val="0"/>
          <w:i w:val="0"/>
          <w:sz w:val="24"/>
        </w:rPr>
        <w:t>VALENCIO, Norma (org.). Sociologia dos desastres: construção, interfaces e perspectivas no Brasil. São Carlos: RiMa Editora, 2009.</w:t>
      </w:r>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rPr>
          <w:vertAlign w:val="superscript"/>
          <w:rFonts w:ascii="Times New Roman" w:hAnsi="Times New Roman"/>
        </w:rPr>
        <w:footnoteRef/>
      </w:r>
      <w:r>
        <w:rPr>
          <w:rFonts w:ascii="Times New Roman" w:hAnsi="Times New Roman"/>
          <w:sz w:val="20"/>
        </w:rPr>
        <w:t xml:space="preserve"> Repositório do projeto, com o código-fonte, os dados de trabalho e os artefatos de saída. URL omitida para avaliação cega; será incluída na fase de copidesque, caso o artigo seja aprovado.</w:t>
      </w:r>
    </w:p>
  </w:footnote>
  <w:footnote w:id="2">
    <w:p>
      <w:r>
        <w:rPr>
          <w:vertAlign w:val="superscript"/>
          <w:rFonts w:ascii="Times New Roman" w:hAnsi="Times New Roman"/>
        </w:rPr>
        <w:footnoteRef/>
      </w:r>
      <w:r>
        <w:rPr>
          <w:rFonts w:ascii="Times New Roman" w:hAnsi="Times New Roman"/>
          <w:sz w:val="20"/>
        </w:rPr>
        <w:t xml:space="preserve"> Aplicação de demonstração do modelo preditivo de severidade, de acesso público. URL omitida para avaliação cega; será incluída na fase de copidesque, caso o artigo seja aprovado.</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