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Source Sans Pro" w:hAnsi="Source Sans Pro" w:cs="Source Sans Pro"/>
          <w:b/>
          <w:i w:val="0"/>
          <w:sz w:val="24"/>
        </w:rPr>
        <w:t>PROGRAMA DE DISCIPLINA</w:t>
      </w:r>
    </w:p>
    <w:p>
      <w:pPr>
        <w:spacing w:after="280"/>
        <w:jc w:val="center"/>
      </w:pPr>
      <w:r>
        <w:rPr>
          <w:rFonts w:ascii="Source Sans Pro" w:hAnsi="Source Sans Pro" w:cs="Source Sans Pro"/>
          <w:b/>
          <w:i w:val="0"/>
          <w:sz w:val="22"/>
        </w:rPr>
        <w:t>MÉTODOS E TÉCNICAS DE PESQUISA QUANTITATIVA</w:t>
      </w:r>
    </w:p>
    <w:p>
      <w:pPr>
        <w:keepNext/>
        <w:spacing w:before="280" w:after="160" w:line="276" w:lineRule="auto"/>
        <w:jc w:val="left"/>
      </w:pPr>
      <w:r>
        <w:rPr>
          <w:rFonts w:ascii="Montserrat" w:hAnsi="Montserrat" w:cs="Montserrat"/>
          <w:b/>
          <w:i w:val="0"/>
          <w:color w:val="8D0333"/>
          <w:sz w:val="28"/>
        </w:rPr>
        <w:t>1 IDENTIFICAÇÃO</w:t>
      </w:r>
    </w:p>
    <w:tbl>
      <w:tblPr>
        <w:tblW w:type="auto" w:w="0"/>
        <w:jc w:val="center"/>
        <w:tblLook w:firstColumn="1" w:firstRow="1" w:lastColumn="0" w:lastRow="0" w:noHBand="0" w:noVBand="1" w:val="04A0"/>
        <w:tblBorders>
          <w:top w:val="single" w:sz="4" w:color="8D0333"/>
          <w:bottom w:val="single" w:sz="4" w:color="8D0333"/>
          <w:insideH w:val="single" w:sz="4" w:color="8D0333"/>
          <w:left w:val="nil"/>
          <w:right w:val="nil"/>
          <w:insideV w:val="nil"/>
        </w:tblBorders>
      </w:tblPr>
      <w:tblGrid>
        <w:gridCol w:w="2381"/>
        <w:gridCol w:w="6690"/>
      </w:tblGrid>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Instituição</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Universidade Federal do Maranhão (UFMA)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Curso</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Administração (Bacharelado)</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Disciplina</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Métodos e Técnicas de Pesquisa Quantitativa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Docente</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Prof. Dr. Tadeu Gomes Teixeira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Carga horária</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60 horas (15 encontros de 4 horas)</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Local</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Laboratório de informática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Recursos</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Google Colab (notebooks Jupyter em Python); APIs públicas de dados (IBGE/SIDRA, Banco Central/SGS, Ipeadata, CVM)</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Avaliações</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3 atividades avaliativas individuais + prova final (15º encontro)</w:t>
            </w:r>
          </w:p>
        </w:tc>
      </w:tr>
    </w:tbl>
    <w:p>
      <w:pPr>
        <w:keepNext/>
        <w:spacing w:before="280" w:after="160" w:line="276" w:lineRule="auto"/>
        <w:jc w:val="left"/>
      </w:pPr>
      <w:r>
        <w:rPr>
          <w:rFonts w:ascii="Montserrat" w:hAnsi="Montserrat" w:cs="Montserrat"/>
          <w:b/>
          <w:i w:val="0"/>
          <w:color w:val="8D0333"/>
          <w:sz w:val="28"/>
        </w:rPr>
        <w:t>2 EMENTA</w:t>
      </w:r>
    </w:p>
    <w:p>
      <w:pPr>
        <w:spacing w:before="0" w:after="160" w:line="276" w:lineRule="auto"/>
        <w:jc w:val="both"/>
      </w:pPr>
      <w:r>
        <w:rPr>
          <w:rFonts w:ascii="Source Sans Pro" w:hAnsi="Source Sans Pro" w:cs="Source Sans Pro"/>
          <w:b w:val="0"/>
          <w:i w:val="0"/>
          <w:sz w:val="22"/>
        </w:rPr>
        <w:t>Introdução à pesquisa quantitativa: conceitos e características, tipos de pesquisa quantitativa, formulação de hipóteses e objetivos de pesquisa. Planejamento da pesquisa: etapas do processo de pesquisa quantitativa, seleção de amostra, escolha de instrumentos de coleta de dados, cálculo do tamanho da amostra. Coleta de dados: técnicas de coleta de dados quantitativos, questionários, escalas, entrevistas, testes, observação sistemática, registros documentais. Análise de dados: técnicas de análise estatística, medidas descritivas, inferência estatística, testes de hipóteses, correlação e regressão. Interpretação e apresentação de resultados: interpretação de resultados, comunicação dos resultados, apresentação de tabelas e gráficos, relatórios de pesquisa quantitativa. Aspectos éticos na pesquisa quantitativa.</w:t>
      </w:r>
    </w:p>
    <w:p>
      <w:pPr>
        <w:keepNext/>
        <w:spacing w:before="280" w:after="160" w:line="276" w:lineRule="auto"/>
        <w:jc w:val="left"/>
      </w:pPr>
      <w:r>
        <w:rPr>
          <w:rFonts w:ascii="Montserrat" w:hAnsi="Montserrat" w:cs="Montserrat"/>
          <w:b/>
          <w:i w:val="0"/>
          <w:color w:val="8D0333"/>
          <w:sz w:val="28"/>
        </w:rPr>
        <w:t>3 OBJETIVOS</w:t>
      </w:r>
    </w:p>
    <w:p>
      <w:pPr>
        <w:keepNext/>
        <w:spacing w:before="200" w:after="160" w:line="276" w:lineRule="auto"/>
        <w:jc w:val="left"/>
      </w:pPr>
      <w:r>
        <w:rPr>
          <w:rFonts w:ascii="Montserrat" w:hAnsi="Montserrat" w:cs="Montserrat"/>
          <w:b/>
          <w:i w:val="0"/>
          <w:color w:val="8D0333"/>
          <w:sz w:val="24"/>
        </w:rPr>
        <w:t>3.1 Objetivo geral</w:t>
      </w:r>
    </w:p>
    <w:p>
      <w:pPr>
        <w:spacing w:before="0" w:after="160" w:line="276" w:lineRule="auto"/>
        <w:ind w:firstLine="709"/>
        <w:jc w:val="both"/>
      </w:pPr>
      <w:r>
        <w:rPr>
          <w:rFonts w:ascii="Source Sans Pro" w:hAnsi="Source Sans Pro" w:cs="Source Sans Pro"/>
          <w:b w:val="0"/>
          <w:i w:val="0"/>
          <w:sz w:val="22"/>
        </w:rPr>
        <w:t>Capacitar o estudante a planejar, executar e comunicar pesquisas quantitativas aplicadas ao campo da Administração, articulando a formulação de problemas e hipóteses, o delineamento metodológico, a coleta sistemática de dados e a análise estatística dos resultados com o uso de ferramentas computacionais.</w:t>
      </w:r>
    </w:p>
    <w:p>
      <w:pPr>
        <w:keepNext/>
        <w:spacing w:before="200" w:after="160" w:line="276" w:lineRule="auto"/>
        <w:jc w:val="left"/>
      </w:pPr>
      <w:r>
        <w:rPr>
          <w:rFonts w:ascii="Montserrat" w:hAnsi="Montserrat" w:cs="Montserrat"/>
          <w:b/>
          <w:i w:val="0"/>
          <w:color w:val="8D0333"/>
          <w:sz w:val="24"/>
        </w:rPr>
        <w:t>3.2 Objetivos específicos</w:t>
      </w:r>
    </w:p>
    <w:p>
      <w:pPr>
        <w:spacing w:before="0" w:after="160" w:line="276" w:lineRule="auto"/>
        <w:ind w:firstLine="709"/>
        <w:jc w:val="both"/>
      </w:pPr>
      <w:r>
        <w:rPr>
          <w:rFonts w:ascii="Source Sans Pro" w:hAnsi="Source Sans Pro" w:cs="Source Sans Pro"/>
          <w:b w:val="0"/>
          <w:i w:val="0"/>
          <w:sz w:val="22"/>
        </w:rPr>
        <w:t>Ao final da disciplina, espera-se que o estudante seja capaz de: (i) distinguir os tipos de pesquisa quantitativa e identificar as situações organizacionais em que cada delineamento é adequado; (ii) formular problemas, objetivos e hipóteses de pesquisa operacionalizáveis; (iii) selecionar amostras e calcular seu tamanho conforme os parâmetros do estudo; (iv) construir e validar instrumentos de coleta, com destaque para questionários e escalas; (v) organizar, tratar e analisar dados em notebooks Jupyter no Google Colab, aplicando técnicas de estatística descritiva e inferencial, testes de hipóteses, correlação e regressão; (vi) interpretar e comunicar resultados por meio de tabelas, gráficos e relatórios de pesquisa reprodutíveis; (vii) reconhecer e aplicar os princípios éticos que regulam a pesquisa com seres humanos no Brasil.</w:t>
      </w:r>
    </w:p>
    <w:p>
      <w:pPr>
        <w:keepNext/>
        <w:spacing w:before="280" w:after="160" w:line="276" w:lineRule="auto"/>
        <w:jc w:val="left"/>
      </w:pPr>
      <w:r>
        <w:rPr>
          <w:rFonts w:ascii="Montserrat" w:hAnsi="Montserrat" w:cs="Montserrat"/>
          <w:b/>
          <w:i w:val="0"/>
          <w:color w:val="8D0333"/>
          <w:sz w:val="28"/>
        </w:rPr>
        <w:t>4 METODOLOGIA</w:t>
      </w:r>
    </w:p>
    <w:p>
      <w:pPr>
        <w:spacing w:before="0" w:after="160" w:line="276" w:lineRule="auto"/>
        <w:ind w:firstLine="709"/>
        <w:jc w:val="both"/>
      </w:pPr>
      <w:r>
        <w:rPr>
          <w:rFonts w:ascii="Source Sans Pro" w:hAnsi="Source Sans Pro" w:cs="Source Sans Pro"/>
          <w:b w:val="0"/>
          <w:i w:val="0"/>
          <w:sz w:val="22"/>
        </w:rPr>
        <w:t>As aulas ocorrem integralmente no laboratório de informática e adotam o Google Colab como ambiente de trabalho. Cada encontro se organiza em dois movimentos articulados: uma exposição dialogada dos conceitos e, em seguida, uma atividade prática em notebook Jupyter preparado pelo professor, no qual os estudantes executam, completam e modificam códigos em Python aplicados a bases de dados reais do contexto brasileiro. Os notebooks seguem o formato de preenchimento guiado: parte do código é fornecida e parte é completada pelo estudante durante a aula, o que dispensa conhecimento prévio de programação e permite progressão gradual ao longo do semestre. Não se trata de uma disciplina de programação: o Python opera como instrumento de cálculo e visualização, e a ênfase permanece na lógica da pesquisa quantitativa, na interpretação dos resultados e na tomada de decisão metodológica.</w:t>
      </w:r>
    </w:p>
    <w:p>
      <w:pPr>
        <w:spacing w:before="0" w:after="160" w:line="276" w:lineRule="auto"/>
        <w:ind w:firstLine="709"/>
        <w:jc w:val="both"/>
      </w:pPr>
      <w:r>
        <w:rPr>
          <w:rFonts w:ascii="Source Sans Pro" w:hAnsi="Source Sans Pro" w:cs="Source Sans Pro"/>
          <w:b w:val="0"/>
          <w:i w:val="0"/>
          <w:sz w:val="22"/>
        </w:rPr>
        <w:t>As atividades práticas utilizam prioritariamente dados empresariais e econômicos de fontes oficiais brasileiras, consumidos diretamente nos notebooks por meio de APIs públicas. Essa escolha cumpre dupla função: aproxima os exercícios estatísticos de problemas concretos de gestão (demografia empresarial, crédito, desempenho setorial, inovação) e familiariza o estudante com o ecossistema de dados abertos que poderá mobilizar em trabalhos de conclusão de curso e na vida profissional.</w:t>
      </w:r>
    </w:p>
    <w:p>
      <w:pPr>
        <w:spacing w:before="0" w:after="160" w:line="276" w:lineRule="auto"/>
        <w:ind w:firstLine="709"/>
        <w:jc w:val="both"/>
      </w:pPr>
      <w:r>
        <w:rPr>
          <w:rFonts w:ascii="Source Sans Pro" w:hAnsi="Source Sans Pro" w:cs="Source Sans Pro"/>
          <w:b w:val="0"/>
          <w:i w:val="0"/>
          <w:sz w:val="22"/>
        </w:rPr>
        <w:t>Todas as atividades e avaliações da disciplina são individuais. Ao longo do semestre, cada estudante desenvolve um projeto individual de pesquisa quantitativa com dados secundários das fontes oficiais trabalhadas em aula (IBGE, Banco Central, IPEA e CVM): formula um problema e hipóteses sobre um tema empresarial ou econômico de seu interesse, delimita as variáveis e a base de dados pertinente, executa as análises em notebook próprio e redige o relatório final. O uso de dados secundários garante que cada estudante disponha de material empírico suficiente sem depender de coleta de campo, ao mesmo tempo em que as técnicas de coleta primária (questionários, escalas, entrevistas estruturadas) são exercitadas em atividades práticas durante as aulas. O desenvolvimento do projeto é acompanhado pelo professor por meio dos notebooks compartilhados no Colab, com devolutivas ao longo do semestre.</w:t>
      </w:r>
    </w:p>
    <w:p>
      <w:pPr>
        <w:keepNext/>
        <w:spacing w:before="200" w:after="160" w:line="276" w:lineRule="auto"/>
        <w:jc w:val="left"/>
      </w:pPr>
      <w:r>
        <w:rPr>
          <w:rFonts w:ascii="Montserrat" w:hAnsi="Montserrat" w:cs="Montserrat"/>
          <w:b/>
          <w:i w:val="0"/>
          <w:color w:val="8D0333"/>
          <w:sz w:val="24"/>
        </w:rPr>
        <w:t>4.1 Fontes de dados da disciplina</w:t>
      </w:r>
    </w:p>
    <w:tbl>
      <w:tblPr>
        <w:tblW w:type="auto" w:w="0"/>
        <w:jc w:val="center"/>
        <w:tblLook w:firstColumn="1" w:firstRow="1" w:lastColumn="0" w:lastRow="0" w:noHBand="0" w:noVBand="1" w:val="04A0"/>
        <w:tblBorders>
          <w:top w:val="single" w:sz="4" w:color="8D0333"/>
          <w:bottom w:val="single" w:sz="4" w:color="8D0333"/>
          <w:insideH w:val="single" w:sz="4" w:color="8D0333"/>
          <w:left w:val="nil"/>
          <w:right w:val="nil"/>
          <w:insideV w:val="nil"/>
        </w:tblBorders>
      </w:tblPr>
      <w:tblGrid>
        <w:gridCol w:w="2268"/>
        <w:gridCol w:w="2268"/>
        <w:gridCol w:w="2268"/>
        <w:gridCol w:w="2268"/>
      </w:tblGrid>
      <w:tr>
        <w:tc>
          <w:tcPr>
            <w:tcW w:type="dxa" w:w="1474"/>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Fonte</w:t>
            </w:r>
          </w:p>
        </w:tc>
        <w:tc>
          <w:tcPr>
            <w:tcW w:type="dxa" w:w="2494"/>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Base / sistema</w:t>
            </w:r>
          </w:p>
        </w:tc>
        <w:tc>
          <w:tcPr>
            <w:tcW w:type="dxa" w:w="204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Acesso no Colab</w:t>
            </w:r>
          </w:p>
        </w:tc>
        <w:tc>
          <w:tcPr>
            <w:tcW w:type="dxa" w:w="306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Conteúdo empresarial</w:t>
            </w:r>
          </w:p>
        </w:tc>
      </w:tr>
      <w:tr>
        <w:tc>
          <w:tcPr>
            <w:tcW w:type="dxa" w:w="1474"/>
            <w:tcMar>
              <w:top w:w="60" w:type="dxa"/>
              <w:bottom w:w="60" w:type="dxa"/>
              <w:left w:w="100" w:type="dxa"/>
              <w:right w:w="100" w:type="dxa"/>
            </w:tcMar>
          </w:tcPr>
          <w:p>
            <w:pPr>
              <w:spacing w:after="0" w:line="240" w:lineRule="auto"/>
            </w:pPr>
            <w:r>
              <w:rPr>
                <w:rFonts w:ascii="Source Sans Pro" w:hAnsi="Source Sans Pro" w:cs="Source Sans Pro"/>
                <w:b w:val="0"/>
                <w:i w:val="0"/>
                <w:sz w:val="18"/>
              </w:rPr>
              <w:t>IBGE</w:t>
            </w:r>
          </w:p>
        </w:tc>
        <w:tc>
          <w:tcPr>
            <w:tcW w:type="dxa" w:w="2494"/>
            <w:tcMar>
              <w:top w:w="60" w:type="dxa"/>
              <w:bottom w:w="60" w:type="dxa"/>
              <w:left w:w="100" w:type="dxa"/>
              <w:right w:w="100" w:type="dxa"/>
            </w:tcMar>
          </w:tcPr>
          <w:p>
            <w:pPr>
              <w:spacing w:after="0" w:line="240" w:lineRule="auto"/>
            </w:pPr>
            <w:r>
              <w:rPr>
                <w:rFonts w:ascii="Source Sans Pro" w:hAnsi="Source Sans Pro" w:cs="Source Sans Pro"/>
                <w:b w:val="0"/>
                <w:i w:val="0"/>
                <w:sz w:val="18"/>
              </w:rPr>
              <w:t>SIDRA: CEMPRE, PIA, PAS, PMC, PINTEC</w:t>
            </w:r>
          </w:p>
        </w:tc>
        <w:tc>
          <w:tcPr>
            <w:tcW w:type="dxa" w:w="2041"/>
            <w:tcMar>
              <w:top w:w="60" w:type="dxa"/>
              <w:bottom w:w="60" w:type="dxa"/>
              <w:left w:w="100" w:type="dxa"/>
              <w:right w:w="100" w:type="dxa"/>
            </w:tcMar>
          </w:tcPr>
          <w:p>
            <w:pPr>
              <w:spacing w:after="0" w:line="240" w:lineRule="auto"/>
            </w:pPr>
            <w:r>
              <w:rPr>
                <w:rFonts w:ascii="Source Sans Pro" w:hAnsi="Source Sans Pro" w:cs="Source Sans Pro"/>
                <w:b w:val="0"/>
                <w:i w:val="0"/>
                <w:sz w:val="18"/>
              </w:rPr>
              <w:t>API SIDRA (biblioteca sidrapy)</w:t>
            </w:r>
          </w:p>
        </w:tc>
        <w:tc>
          <w:tcPr>
            <w:tcW w:type="dxa" w:w="3061"/>
            <w:tcMar>
              <w:top w:w="60" w:type="dxa"/>
              <w:bottom w:w="60" w:type="dxa"/>
              <w:left w:w="100" w:type="dxa"/>
              <w:right w:w="100" w:type="dxa"/>
            </w:tcMar>
          </w:tcPr>
          <w:p>
            <w:pPr>
              <w:spacing w:after="0" w:line="240" w:lineRule="auto"/>
            </w:pPr>
            <w:r>
              <w:rPr>
                <w:rFonts w:ascii="Source Sans Pro" w:hAnsi="Source Sans Pro" w:cs="Source Sans Pro"/>
                <w:b w:val="0"/>
                <w:i w:val="0"/>
                <w:sz w:val="18"/>
              </w:rPr>
              <w:t>Demografia das empresas (aberturas, fechamentos, porte, setor), produção, receita, pessoal ocupado, inovação</w:t>
            </w:r>
          </w:p>
        </w:tc>
      </w:tr>
      <w:tr>
        <w:tc>
          <w:tcPr>
            <w:tcW w:type="dxa" w:w="147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Banco Central do Brasil</w:t>
            </w:r>
          </w:p>
        </w:tc>
        <w:tc>
          <w:tcPr>
            <w:tcW w:type="dxa" w:w="249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SGS (Sistema Gerenciador de Séries Temporais) e expectativas do Boletim Focus</w:t>
            </w:r>
          </w:p>
        </w:tc>
        <w:tc>
          <w:tcPr>
            <w:tcW w:type="dxa" w:w="204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API (biblioteca python-bcb)</w:t>
            </w:r>
          </w:p>
        </w:tc>
        <w:tc>
          <w:tcPr>
            <w:tcW w:type="dxa" w:w="306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Crédito às empresas, inadimplência PJ, taxas de juros, câmbio, indicadores de atividade</w:t>
            </w:r>
          </w:p>
        </w:tc>
      </w:tr>
      <w:tr>
        <w:tc>
          <w:tcPr>
            <w:tcW w:type="dxa" w:w="1474"/>
            <w:tcMar>
              <w:top w:w="60" w:type="dxa"/>
              <w:bottom w:w="60" w:type="dxa"/>
              <w:left w:w="100" w:type="dxa"/>
              <w:right w:w="100" w:type="dxa"/>
            </w:tcMar>
          </w:tcPr>
          <w:p>
            <w:pPr>
              <w:spacing w:after="0" w:line="240" w:lineRule="auto"/>
            </w:pPr>
            <w:r>
              <w:rPr>
                <w:rFonts w:ascii="Source Sans Pro" w:hAnsi="Source Sans Pro" w:cs="Source Sans Pro"/>
                <w:b w:val="0"/>
                <w:i w:val="0"/>
                <w:sz w:val="18"/>
              </w:rPr>
              <w:t>IPEA</w:t>
            </w:r>
          </w:p>
        </w:tc>
        <w:tc>
          <w:tcPr>
            <w:tcW w:type="dxa" w:w="2494"/>
            <w:tcMar>
              <w:top w:w="60" w:type="dxa"/>
              <w:bottom w:w="60" w:type="dxa"/>
              <w:left w:w="100" w:type="dxa"/>
              <w:right w:w="100" w:type="dxa"/>
            </w:tcMar>
          </w:tcPr>
          <w:p>
            <w:pPr>
              <w:spacing w:after="0" w:line="240" w:lineRule="auto"/>
            </w:pPr>
            <w:r>
              <w:rPr>
                <w:rFonts w:ascii="Source Sans Pro" w:hAnsi="Source Sans Pro" w:cs="Source Sans Pro"/>
                <w:b w:val="0"/>
                <w:i w:val="0"/>
                <w:sz w:val="18"/>
              </w:rPr>
              <w:t>Ipeadata</w:t>
            </w:r>
          </w:p>
        </w:tc>
        <w:tc>
          <w:tcPr>
            <w:tcW w:type="dxa" w:w="2041"/>
            <w:tcMar>
              <w:top w:w="60" w:type="dxa"/>
              <w:bottom w:w="60" w:type="dxa"/>
              <w:left w:w="100" w:type="dxa"/>
              <w:right w:w="100" w:type="dxa"/>
            </w:tcMar>
          </w:tcPr>
          <w:p>
            <w:pPr>
              <w:spacing w:after="0" w:line="240" w:lineRule="auto"/>
            </w:pPr>
            <w:r>
              <w:rPr>
                <w:rFonts w:ascii="Source Sans Pro" w:hAnsi="Source Sans Pro" w:cs="Source Sans Pro"/>
                <w:b w:val="0"/>
                <w:i w:val="0"/>
                <w:sz w:val="18"/>
              </w:rPr>
              <w:t>API (biblioteca ipeadatapy)</w:t>
            </w:r>
          </w:p>
        </w:tc>
        <w:tc>
          <w:tcPr>
            <w:tcW w:type="dxa" w:w="3061"/>
            <w:tcMar>
              <w:top w:w="60" w:type="dxa"/>
              <w:bottom w:w="60" w:type="dxa"/>
              <w:left w:w="100" w:type="dxa"/>
              <w:right w:w="100" w:type="dxa"/>
            </w:tcMar>
          </w:tcPr>
          <w:p>
            <w:pPr>
              <w:spacing w:after="0" w:line="240" w:lineRule="auto"/>
            </w:pPr>
            <w:r>
              <w:rPr>
                <w:rFonts w:ascii="Source Sans Pro" w:hAnsi="Source Sans Pro" w:cs="Source Sans Pro"/>
                <w:b w:val="0"/>
                <w:i w:val="0"/>
                <w:sz w:val="18"/>
              </w:rPr>
              <w:t>Séries macroeconômicas e setoriais para contextualização das análises</w:t>
            </w:r>
          </w:p>
        </w:tc>
      </w:tr>
      <w:tr>
        <w:tc>
          <w:tcPr>
            <w:tcW w:type="dxa" w:w="147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CVM</w:t>
            </w:r>
          </w:p>
        </w:tc>
        <w:tc>
          <w:tcPr>
            <w:tcW w:type="dxa" w:w="249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Dados abertos: demonstrações financeiras de companhias abertas (DFP/ITR)</w:t>
            </w:r>
          </w:p>
        </w:tc>
        <w:tc>
          <w:tcPr>
            <w:tcW w:type="dxa" w:w="204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Arquivos CSV lidos com pandas</w:t>
            </w:r>
          </w:p>
        </w:tc>
        <w:tc>
          <w:tcPr>
            <w:tcW w:type="dxa" w:w="306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Receita, lucro, endividamento e indicadores contábeis de empresas listadas</w:t>
            </w:r>
          </w:p>
        </w:tc>
      </w:tr>
    </w:tbl>
    <w:p>
      <w:pPr>
        <w:keepNext/>
        <w:spacing w:before="280" w:after="160" w:line="276" w:lineRule="auto"/>
        <w:jc w:val="left"/>
      </w:pPr>
      <w:r>
        <w:rPr>
          <w:rFonts w:ascii="Montserrat" w:hAnsi="Montserrat" w:cs="Montserrat"/>
          <w:b/>
          <w:i w:val="0"/>
          <w:color w:val="8D0333"/>
          <w:sz w:val="28"/>
        </w:rPr>
        <w:t>5 CRONOGRAMA POR ENCONTRO</w:t>
      </w:r>
    </w:p>
    <w:p>
      <w:pPr>
        <w:keepNext/>
        <w:spacing w:before="200" w:after="160" w:line="276" w:lineRule="auto"/>
        <w:jc w:val="left"/>
      </w:pPr>
      <w:r>
        <w:rPr>
          <w:rFonts w:ascii="Montserrat" w:hAnsi="Montserrat" w:cs="Montserrat"/>
          <w:b/>
          <w:i w:val="0"/>
          <w:color w:val="000000"/>
          <w:sz w:val="22"/>
        </w:rPr>
        <w:t>Unidade I – Fundamentos da pesquisa quantitativa (encontros 1 a 4)</w:t>
      </w:r>
    </w:p>
    <w:p>
      <w:pPr>
        <w:spacing w:before="0" w:after="160" w:line="276" w:lineRule="auto"/>
        <w:jc w:val="both"/>
      </w:pPr>
      <w:r>
        <w:rPr>
          <w:rFonts w:ascii="Source Sans Pro" w:hAnsi="Source Sans Pro" w:cs="Source Sans Pro"/>
          <w:b/>
          <w:i w:val="0"/>
          <w:color w:val="000000"/>
          <w:sz w:val="22"/>
        </w:rPr>
        <w:t xml:space="preserve">Encontro 1 – </w:t>
      </w:r>
      <w:r>
        <w:rPr>
          <w:rFonts w:ascii="Source Sans Pro" w:hAnsi="Source Sans Pro" w:cs="Source Sans Pro"/>
          <w:b w:val="0"/>
          <w:i w:val="0"/>
          <w:sz w:val="22"/>
        </w:rPr>
        <w:t>Apresentação do programa, do sistema de avaliação e do projeto individual de pesquisa. Introdução à pesquisa quantitativa: conceitos, características, pressupostos do paradigma quantitativo e distinções em relação à abordagem qualitativa. Prática no Colab: ambientação ao Google Colab e aos notebooks Jupyter (células de texto e de código, execução); primeiro notebook com extração simples do CEMPRE/IBGE (número de empresas por setor no Maranhão e no Brasil).</w:t>
      </w:r>
    </w:p>
    <w:p>
      <w:pPr>
        <w:spacing w:before="0" w:after="160" w:line="276" w:lineRule="auto"/>
        <w:jc w:val="both"/>
      </w:pPr>
      <w:r>
        <w:rPr>
          <w:rFonts w:ascii="Source Sans Pro" w:hAnsi="Source Sans Pro" w:cs="Source Sans Pro"/>
          <w:b/>
          <w:i w:val="0"/>
          <w:color w:val="000000"/>
          <w:sz w:val="22"/>
        </w:rPr>
        <w:t xml:space="preserve">Encontro 2 – </w:t>
      </w:r>
      <w:r>
        <w:rPr>
          <w:rFonts w:ascii="Source Sans Pro" w:hAnsi="Source Sans Pro" w:cs="Source Sans Pro"/>
          <w:b w:val="0"/>
          <w:i w:val="0"/>
          <w:sz w:val="22"/>
        </w:rPr>
        <w:t>Tipos de pesquisa quantitativa: descritiva, correlacional, experimental e quase-experimental; o levantamento (survey) nas pesquisas em Administração. Prática no Colab: leitura de dados com pandas a partir do SIDRA (sidrapy), com a demografia empresarial do CEMPRE (aberturas, fechamentos e sobrevivência de empresas por porte e setor); discussão sobre os tipos de pesquisa que cada base permite sustentar.</w:t>
      </w:r>
    </w:p>
    <w:p>
      <w:pPr>
        <w:spacing w:before="0" w:after="160" w:line="276" w:lineRule="auto"/>
        <w:jc w:val="both"/>
      </w:pPr>
      <w:r>
        <w:rPr>
          <w:rFonts w:ascii="Source Sans Pro" w:hAnsi="Source Sans Pro" w:cs="Source Sans Pro"/>
          <w:b/>
          <w:i w:val="0"/>
          <w:color w:val="000000"/>
          <w:sz w:val="22"/>
        </w:rPr>
        <w:t xml:space="preserve">Encontro 3 – </w:t>
      </w:r>
      <w:r>
        <w:rPr>
          <w:rFonts w:ascii="Source Sans Pro" w:hAnsi="Source Sans Pro" w:cs="Source Sans Pro"/>
          <w:b w:val="0"/>
          <w:i w:val="0"/>
          <w:sz w:val="22"/>
        </w:rPr>
        <w:t>Formulação do problema de pesquisa, objetivos e hipóteses. Variáveis: classificação, níveis de mensuração e operacionalização de conceitos. Prática no Colab: classificação de variáveis sobre a PAS e a PMC (receita, pessoal ocupado, porte, setor, região); início da definição do tema, do problema e das hipóteses do projeto individual, a partir de cardápio de temas e bases sugerido pelo professor.</w:t>
      </w:r>
    </w:p>
    <w:p>
      <w:pPr>
        <w:spacing w:before="0" w:after="160" w:line="276" w:lineRule="auto"/>
        <w:jc w:val="both"/>
      </w:pPr>
      <w:r>
        <w:rPr>
          <w:rFonts w:ascii="Source Sans Pro" w:hAnsi="Source Sans Pro" w:cs="Source Sans Pro"/>
          <w:b/>
          <w:i w:val="0"/>
          <w:color w:val="000000"/>
          <w:sz w:val="22"/>
        </w:rPr>
        <w:t xml:space="preserve">Encontro 4 – </w:t>
      </w:r>
      <w:r>
        <w:rPr>
          <w:rFonts w:ascii="Source Sans Pro" w:hAnsi="Source Sans Pro" w:cs="Source Sans Pro"/>
          <w:b w:val="0"/>
          <w:i w:val="0"/>
          <w:sz w:val="22"/>
        </w:rPr>
        <w:t>Etapas do processo de pesquisa quantitativa e planejamento do estudo: delineamento, cronograma, matriz de amarração metodológica. Prática no Colab: consumo de séries do Ipeadata (ipeadatapy) e do SGS (python-bcb) para construção do contexto econômico de um problema de pesquisa; delimitação da base de dados e das variáveis do projeto individual e elaboração da matriz de amarração.</w:t>
      </w:r>
    </w:p>
    <w:p>
      <w:pPr>
        <w:keepNext/>
        <w:spacing w:before="200" w:after="160" w:line="276" w:lineRule="auto"/>
        <w:jc w:val="left"/>
      </w:pPr>
      <w:r>
        <w:rPr>
          <w:rFonts w:ascii="Montserrat" w:hAnsi="Montserrat" w:cs="Montserrat"/>
          <w:b/>
          <w:i w:val="0"/>
          <w:color w:val="000000"/>
          <w:sz w:val="22"/>
        </w:rPr>
        <w:t>Unidade II – Amostragem, instrumentos e coleta de dados (encontros 5 a 8)</w:t>
      </w:r>
    </w:p>
    <w:p>
      <w:pPr>
        <w:spacing w:before="0" w:after="160" w:line="276" w:lineRule="auto"/>
        <w:jc w:val="both"/>
      </w:pPr>
      <w:r>
        <w:rPr>
          <w:rFonts w:ascii="Source Sans Pro" w:hAnsi="Source Sans Pro" w:cs="Source Sans Pro"/>
          <w:b/>
          <w:i w:val="0"/>
          <w:color w:val="000000"/>
          <w:sz w:val="22"/>
        </w:rPr>
        <w:t xml:space="preserve">Encontro 5 – </w:t>
      </w:r>
      <w:r>
        <w:rPr>
          <w:rFonts w:ascii="Source Sans Pro" w:hAnsi="Source Sans Pro" w:cs="Source Sans Pro"/>
          <w:b w:val="0"/>
          <w:i w:val="0"/>
          <w:sz w:val="22"/>
        </w:rPr>
        <w:t>Seleção de amostra: população e amostra, técnicas probabilísticas (aleatória simples, sistemática, estratificada, por conglomerados) e não probabilísticas (por conveniência, por cotas, bola de neve). Cálculo do tamanho da amostra: margem de erro e nível de confiança. Prática no Colab: implementação de sorteios amostrais sobre um cadastro real de empresas extraído do CEMPRE e cálculo interativo do tamanho da amostra, com visualização do efeito da margem de erro e do nível de confiança sobre o n necessário.</w:t>
      </w:r>
    </w:p>
    <w:p>
      <w:pPr>
        <w:spacing w:before="0" w:after="160" w:line="276" w:lineRule="auto"/>
        <w:jc w:val="both"/>
      </w:pPr>
      <w:r>
        <w:rPr>
          <w:rFonts w:ascii="Source Sans Pro" w:hAnsi="Source Sans Pro" w:cs="Source Sans Pro"/>
          <w:b/>
          <w:i w:val="0"/>
          <w:color w:val="000000"/>
          <w:sz w:val="22"/>
        </w:rPr>
        <w:t xml:space="preserve">Encontro 6 – </w:t>
      </w:r>
      <w:r>
        <w:rPr>
          <w:rFonts w:ascii="Source Sans Pro" w:hAnsi="Source Sans Pro" w:cs="Source Sans Pro"/>
          <w:b w:val="0"/>
          <w:i w:val="0"/>
          <w:sz w:val="22"/>
        </w:rPr>
        <w:t>Instrumentos de coleta de dados: construção de questionários e escalas (Likert, diferencial semântico); validade e confiabilidade; pré-teste do instrumento. Prática no Colab: cálculo do alfa de Cronbach sobre dados de escala aplicada a gestores; exercício individual de construção de um questionário no Google Formulários a partir de cenário empresarial proposto pelo professor, com avaliação cruzada entre colegas.</w:t>
      </w:r>
    </w:p>
    <w:p>
      <w:pPr>
        <w:spacing w:before="0" w:after="160" w:line="276" w:lineRule="auto"/>
        <w:jc w:val="both"/>
      </w:pPr>
      <w:r>
        <w:rPr>
          <w:rFonts w:ascii="Source Sans Pro" w:hAnsi="Source Sans Pro" w:cs="Source Sans Pro"/>
          <w:b/>
          <w:i w:val="0"/>
          <w:color w:val="000000"/>
          <w:sz w:val="22"/>
        </w:rPr>
        <w:t xml:space="preserve">Encontro 7 – </w:t>
      </w:r>
      <w:r>
        <w:rPr>
          <w:rFonts w:ascii="Source Sans Pro" w:hAnsi="Source Sans Pro" w:cs="Source Sans Pro"/>
          <w:b w:val="0"/>
          <w:i w:val="0"/>
          <w:sz w:val="22"/>
        </w:rPr>
        <w:t>Demais técnicas de coleta: entrevistas estruturadas, testes, observação sistemática e registros documentais. Aspectos éticos na pesquisa quantitativa: Resoluções CNS nº 466/2012 e nº 510/2016, Termo de Consentimento Livre e Esclarecido, Comitês de Ética em Pesquisa e Plataforma Brasil. Prática no Colab: registros documentais como dado quantitativo, com importação das demonstrações financeiras da CVM (dados abertos); pré-teste dos questionários do exercício da aula anterior, com importação das respostas para o notebook.</w:t>
      </w:r>
    </w:p>
    <w:p>
      <w:pPr>
        <w:spacing w:before="0" w:after="160" w:line="276" w:lineRule="auto"/>
        <w:jc w:val="both"/>
      </w:pPr>
      <w:r>
        <w:rPr>
          <w:rFonts w:ascii="Source Sans Pro" w:hAnsi="Source Sans Pro" w:cs="Source Sans Pro"/>
          <w:b/>
          <w:i w:val="0"/>
          <w:color w:val="8D0333"/>
          <w:sz w:val="22"/>
        </w:rPr>
        <w:t xml:space="preserve">Encontro 8 – </w:t>
      </w:r>
      <w:r>
        <w:rPr>
          <w:rFonts w:ascii="Source Sans Pro" w:hAnsi="Source Sans Pro" w:cs="Source Sans Pro"/>
          <w:b w:val="0"/>
          <w:i w:val="0"/>
          <w:sz w:val="22"/>
        </w:rPr>
        <w:t>Atividade avaliativa 1: prova individual sobre os conteúdos das Unidades I e II, com componente prático em notebook (classificação de variáveis, plano amostral e cálculo de tamanho de amostra sobre extrato do CEMPRE), acompanhada da entrega da primeira etapa do projeto individual (problema, hipóteses, variáveis e base de dados escolhida).</w:t>
      </w:r>
    </w:p>
    <w:p>
      <w:pPr>
        <w:keepNext/>
        <w:spacing w:before="200" w:after="160" w:line="276" w:lineRule="auto"/>
        <w:jc w:val="left"/>
      </w:pPr>
      <w:r>
        <w:rPr>
          <w:rFonts w:ascii="Montserrat" w:hAnsi="Montserrat" w:cs="Montserrat"/>
          <w:b/>
          <w:i w:val="0"/>
          <w:color w:val="000000"/>
          <w:sz w:val="22"/>
        </w:rPr>
        <w:t>Unidade III – Análise de dados (encontros 9 a 13)</w:t>
      </w:r>
    </w:p>
    <w:p>
      <w:pPr>
        <w:spacing w:before="0" w:after="160" w:line="276" w:lineRule="auto"/>
        <w:jc w:val="both"/>
      </w:pPr>
      <w:r>
        <w:rPr>
          <w:rFonts w:ascii="Source Sans Pro" w:hAnsi="Source Sans Pro" w:cs="Source Sans Pro"/>
          <w:b/>
          <w:i w:val="0"/>
          <w:color w:val="000000"/>
          <w:sz w:val="22"/>
        </w:rPr>
        <w:t xml:space="preserve">Encontro 9 – </w:t>
      </w:r>
      <w:r>
        <w:rPr>
          <w:rFonts w:ascii="Source Sans Pro" w:hAnsi="Source Sans Pro" w:cs="Source Sans Pro"/>
          <w:b w:val="0"/>
          <w:i w:val="0"/>
          <w:sz w:val="22"/>
        </w:rPr>
        <w:t>Estatística descritiva: medidas de tendência central (média, mediana, moda), medidas de dispersão (amplitude, variância, desvio padrão, coeficiente de variação), distribuições de frequência. Prática no Colab: cálculo de medidas descritivas sobre as demonstrações financeiras da CVM (receita, margem e endividamento de companhias abertas por setor), evidenciando o efeito de valores extremos e a escolha entre média e mediana em dados empresariais.</w:t>
      </w:r>
    </w:p>
    <w:p>
      <w:pPr>
        <w:spacing w:before="0" w:after="160" w:line="276" w:lineRule="auto"/>
        <w:jc w:val="both"/>
      </w:pPr>
      <w:r>
        <w:rPr>
          <w:rFonts w:ascii="Source Sans Pro" w:hAnsi="Source Sans Pro" w:cs="Source Sans Pro"/>
          <w:b/>
          <w:i w:val="0"/>
          <w:color w:val="000000"/>
          <w:sz w:val="22"/>
        </w:rPr>
        <w:t xml:space="preserve">Encontro 10 – </w:t>
      </w:r>
      <w:r>
        <w:rPr>
          <w:rFonts w:ascii="Source Sans Pro" w:hAnsi="Source Sans Pro" w:cs="Source Sans Pro"/>
          <w:b w:val="0"/>
          <w:i w:val="0"/>
          <w:sz w:val="22"/>
        </w:rPr>
        <w:t>Apresentação de dados: princípios de construção de tabelas e gráficos; boas práticas de visualização. Prática no Colab: produção de gráficos (barras, histogramas, boxplots, dispersão) com matplotlib sobre séries do Banco Central (crédito PJ, inadimplência, juros); na segunda parte da aula, tratamento e descritivas iniciais da base do projeto individual de cada estudante, com acompanhamento do professor.</w:t>
      </w:r>
    </w:p>
    <w:p>
      <w:pPr>
        <w:spacing w:before="0" w:after="160" w:line="276" w:lineRule="auto"/>
        <w:jc w:val="both"/>
      </w:pPr>
      <w:r>
        <w:rPr>
          <w:rFonts w:ascii="Source Sans Pro" w:hAnsi="Source Sans Pro" w:cs="Source Sans Pro"/>
          <w:b/>
          <w:i w:val="0"/>
          <w:color w:val="000000"/>
          <w:sz w:val="22"/>
        </w:rPr>
        <w:t xml:space="preserve">Encontro 11 – </w:t>
      </w:r>
      <w:r>
        <w:rPr>
          <w:rFonts w:ascii="Source Sans Pro" w:hAnsi="Source Sans Pro" w:cs="Source Sans Pro"/>
          <w:b w:val="0"/>
          <w:i w:val="0"/>
          <w:sz w:val="22"/>
        </w:rPr>
        <w:t>Inferência estatística: distribuição normal, estimação por ponto e por intervalo, intervalos de confiança e a lógica dos testes de hipóteses (hipótese nula, nível de significância, valor-p). Prática no Colab: simulação do teorema central do limite; testes t de Student e qui-quadrado com a biblioteca scipy sobre dados empresariais reais (comparação de indicadores contábeis entre setores na base CVM; associação entre porte e sobrevivência de empresas no CEMPRE).</w:t>
      </w:r>
    </w:p>
    <w:p>
      <w:pPr>
        <w:spacing w:before="0" w:after="160" w:line="276" w:lineRule="auto"/>
        <w:jc w:val="both"/>
      </w:pPr>
      <w:r>
        <w:rPr>
          <w:rFonts w:ascii="Source Sans Pro" w:hAnsi="Source Sans Pro" w:cs="Source Sans Pro"/>
          <w:b/>
          <w:i w:val="0"/>
          <w:color w:val="8D0333"/>
          <w:sz w:val="22"/>
        </w:rPr>
        <w:t xml:space="preserve">Encontro 12 – </w:t>
      </w:r>
      <w:r>
        <w:rPr>
          <w:rFonts w:ascii="Source Sans Pro" w:hAnsi="Source Sans Pro" w:cs="Source Sans Pro"/>
          <w:b w:val="0"/>
          <w:i w:val="0"/>
          <w:sz w:val="22"/>
        </w:rPr>
        <w:t>Atividade avaliativa 2: atividade prática individual no Colab, na qual cada estudante recebe um banco de dados empresarial preparado pelo professor a partir das fontes da disciplina (CVM ou IBGE) e um roteiro de questões de pesquisa, devendo produzir estatísticas descritivas, gráficos e testes de hipóteses, com interpretação dos resultados registrada no próprio notebook, entregue ao final da aula.</w:t>
      </w:r>
    </w:p>
    <w:p>
      <w:pPr>
        <w:spacing w:before="0" w:after="160" w:line="276" w:lineRule="auto"/>
        <w:jc w:val="both"/>
      </w:pPr>
      <w:r>
        <w:rPr>
          <w:rFonts w:ascii="Source Sans Pro" w:hAnsi="Source Sans Pro" w:cs="Source Sans Pro"/>
          <w:b/>
          <w:i w:val="0"/>
          <w:color w:val="000000"/>
          <w:sz w:val="22"/>
        </w:rPr>
        <w:t xml:space="preserve">Encontro 13 – </w:t>
      </w:r>
      <w:r>
        <w:rPr>
          <w:rFonts w:ascii="Source Sans Pro" w:hAnsi="Source Sans Pro" w:cs="Source Sans Pro"/>
          <w:b w:val="0"/>
          <w:i w:val="0"/>
          <w:sz w:val="22"/>
        </w:rPr>
        <w:t>Correlação (coeficiente de Pearson) e regressão linear simples: pressupostos, estimação, interpretação dos coeficientes e limites da análise. Prática no Colab: matriz de correlação entre séries macroeconômicas (Ipeadata, SGS) e desempenho setorial (PMC/PMS), com mapas de calor; ajuste e interpretação de regressões com statsmodels sobre dados da CVM; aplicação das técnicas pertinentes à base do projeto individual de cada estudante.</w:t>
      </w:r>
    </w:p>
    <w:p>
      <w:pPr>
        <w:keepNext/>
        <w:spacing w:before="200" w:after="160" w:line="276" w:lineRule="auto"/>
        <w:jc w:val="left"/>
      </w:pPr>
      <w:r>
        <w:rPr>
          <w:rFonts w:ascii="Montserrat" w:hAnsi="Montserrat" w:cs="Montserrat"/>
          <w:b/>
          <w:i w:val="0"/>
          <w:color w:val="000000"/>
          <w:sz w:val="22"/>
        </w:rPr>
        <w:t>Unidade IV – Interpretação e comunicação dos resultados (encontros 14 e 15)</w:t>
      </w:r>
    </w:p>
    <w:p>
      <w:pPr>
        <w:spacing w:before="0" w:after="160" w:line="276" w:lineRule="auto"/>
        <w:jc w:val="both"/>
      </w:pPr>
      <w:r>
        <w:rPr>
          <w:rFonts w:ascii="Source Sans Pro" w:hAnsi="Source Sans Pro" w:cs="Source Sans Pro"/>
          <w:b/>
          <w:i w:val="0"/>
          <w:color w:val="8D0333"/>
          <w:sz w:val="22"/>
        </w:rPr>
        <w:t xml:space="preserve">Encontro 14 – </w:t>
      </w:r>
      <w:r>
        <w:rPr>
          <w:rFonts w:ascii="Source Sans Pro" w:hAnsi="Source Sans Pro" w:cs="Source Sans Pro"/>
          <w:b w:val="0"/>
          <w:i w:val="0"/>
          <w:sz w:val="22"/>
        </w:rPr>
        <w:t>Interpretação e comunicação de resultados: estrutura do relatório de pesquisa quantitativa, redação de resultados e discussão, o notebook como instrumento de pesquisa reprodutível. Atividade avaliativa 3: entrega do relatório final individual acompanhado do notebook completo, com apresentação sintética dos resultados por estudante em formato de slide único (três a cinco minutos por apresentação), privilegiando a comunicação objetiva de problema, método e achados.</w:t>
      </w:r>
    </w:p>
    <w:p>
      <w:pPr>
        <w:spacing w:before="0" w:after="160" w:line="276" w:lineRule="auto"/>
        <w:jc w:val="both"/>
      </w:pPr>
      <w:r>
        <w:rPr>
          <w:rFonts w:ascii="Source Sans Pro" w:hAnsi="Source Sans Pro" w:cs="Source Sans Pro"/>
          <w:b/>
          <w:i w:val="0"/>
          <w:color w:val="8D0333"/>
          <w:sz w:val="22"/>
        </w:rPr>
        <w:t xml:space="preserve">Encontro 15 – </w:t>
      </w:r>
      <w:r>
        <w:rPr>
          <w:rFonts w:ascii="Source Sans Pro" w:hAnsi="Source Sans Pro" w:cs="Source Sans Pro"/>
          <w:b w:val="0"/>
          <w:i w:val="0"/>
          <w:sz w:val="22"/>
        </w:rPr>
        <w:t>Prova final, destinada aos estudantes que não obtiverem a média necessária para aprovação direta, conforme as normas acadêmicas da UFMA, abrangendo todo o conteúdo da disciplina, com componentes conceitual e prático em notebook.</w:t>
      </w:r>
    </w:p>
    <w:p>
      <w:pPr>
        <w:keepNext/>
        <w:spacing w:before="280" w:after="160" w:line="276" w:lineRule="auto"/>
        <w:jc w:val="left"/>
      </w:pPr>
      <w:r>
        <w:rPr>
          <w:rFonts w:ascii="Montserrat" w:hAnsi="Montserrat" w:cs="Montserrat"/>
          <w:b/>
          <w:i w:val="0"/>
          <w:color w:val="8D0333"/>
          <w:sz w:val="28"/>
        </w:rPr>
        <w:t>6 SISTEMA DE AVALIAÇÃO</w:t>
      </w:r>
    </w:p>
    <w:p>
      <w:pPr>
        <w:spacing w:before="0" w:after="160" w:line="276" w:lineRule="auto"/>
        <w:ind w:firstLine="709"/>
        <w:jc w:val="both"/>
      </w:pPr>
      <w:r>
        <w:rPr>
          <w:rFonts w:ascii="Source Sans Pro" w:hAnsi="Source Sans Pro" w:cs="Source Sans Pro"/>
          <w:b w:val="0"/>
          <w:i w:val="0"/>
          <w:sz w:val="22"/>
        </w:rPr>
        <w:t>A nota semestral corresponde à média aritmética das três atividades avaliativas, todas individuais: prova com componente prático em notebook (encontro 8), atividade prática de análise de dados no Colab (encontro 12) e projeto individual de pesquisa, composto pelo relatório final, pelo notebook reprodutível e pela apresentação sintética (encontro 14). A entrega dos notebooks das atividades práticas semanais, embora não pontuada isoladamente, integra o acompanhamento formativo e compõe critério de participação. O estudante que não alcançar a média exigida para aprovação direta realizará a prova final no 15º encontro, nos termos das normas de avaliação de desempenho acadêmico vigentes na UFMA. A frequência mínima obrigatória é de 75% da carga horária.</w:t>
      </w:r>
    </w:p>
    <w:p>
      <w:pPr>
        <w:keepNext/>
        <w:spacing w:before="280" w:after="160" w:line="276" w:lineRule="auto"/>
        <w:jc w:val="left"/>
      </w:pPr>
      <w:r>
        <w:rPr>
          <w:rFonts w:ascii="Montserrat" w:hAnsi="Montserrat" w:cs="Montserrat"/>
          <w:b/>
          <w:i w:val="0"/>
          <w:color w:val="8D0333"/>
          <w:sz w:val="28"/>
        </w:rPr>
        <w:t>7 BIBLIOGRAFIA</w:t>
      </w:r>
    </w:p>
    <w:p>
      <w:pPr>
        <w:keepNext/>
        <w:spacing w:before="200" w:after="160" w:line="276" w:lineRule="auto"/>
        <w:jc w:val="left"/>
      </w:pPr>
      <w:r>
        <w:rPr>
          <w:rFonts w:ascii="Montserrat" w:hAnsi="Montserrat" w:cs="Montserrat"/>
          <w:b/>
          <w:i w:val="0"/>
          <w:color w:val="8D0333"/>
          <w:sz w:val="24"/>
        </w:rPr>
        <w:t>7.1 Básica</w:t>
      </w:r>
    </w:p>
    <w:p>
      <w:pPr>
        <w:spacing w:before="0" w:after="120" w:line="276" w:lineRule="auto"/>
        <w:jc w:val="left"/>
      </w:pPr>
      <w:r>
        <w:rPr>
          <w:rFonts w:ascii="Source Sans Pro" w:hAnsi="Source Sans Pro" w:cs="Source Sans Pro"/>
          <w:b w:val="0"/>
          <w:i w:val="0"/>
          <w:sz w:val="22"/>
        </w:rPr>
        <w:t xml:space="preserve">GIL, Antonio Carlos. </w:t>
      </w:r>
      <w:r>
        <w:rPr>
          <w:rFonts w:ascii="Source Sans Pro" w:hAnsi="Source Sans Pro" w:cs="Source Sans Pro"/>
          <w:b w:val="0"/>
          <w:i/>
          <w:sz w:val="22"/>
        </w:rPr>
        <w:t>Métodos e técnicas de pesquisa social</w:t>
      </w:r>
      <w:r>
        <w:rPr>
          <w:rFonts w:ascii="Source Sans Pro" w:hAnsi="Source Sans Pro" w:cs="Source Sans Pro"/>
          <w:b w:val="0"/>
          <w:i w:val="0"/>
          <w:sz w:val="22"/>
        </w:rPr>
        <w:t>. 7. ed. São Paulo: Atlas, 2019.</w:t>
      </w:r>
    </w:p>
    <w:p>
      <w:pPr>
        <w:spacing w:before="0" w:after="120" w:line="276" w:lineRule="auto"/>
        <w:jc w:val="left"/>
      </w:pPr>
      <w:r>
        <w:rPr>
          <w:rFonts w:ascii="Source Sans Pro" w:hAnsi="Source Sans Pro" w:cs="Source Sans Pro"/>
          <w:b w:val="0"/>
          <w:i w:val="0"/>
          <w:sz w:val="22"/>
        </w:rPr>
        <w:t xml:space="preserve">HAIR JR., Joseph F. et al. </w:t>
      </w:r>
      <w:r>
        <w:rPr>
          <w:rFonts w:ascii="Source Sans Pro" w:hAnsi="Source Sans Pro" w:cs="Source Sans Pro"/>
          <w:b w:val="0"/>
          <w:i/>
          <w:sz w:val="22"/>
        </w:rPr>
        <w:t>Fundamentos de métodos de pesquisa em administração</w:t>
      </w:r>
      <w:r>
        <w:rPr>
          <w:rFonts w:ascii="Source Sans Pro" w:hAnsi="Source Sans Pro" w:cs="Source Sans Pro"/>
          <w:b w:val="0"/>
          <w:i w:val="0"/>
          <w:sz w:val="22"/>
        </w:rPr>
        <w:t>. Porto Alegre: Bookman, 2005.</w:t>
      </w:r>
    </w:p>
    <w:p>
      <w:pPr>
        <w:spacing w:before="0" w:after="120" w:line="276" w:lineRule="auto"/>
        <w:jc w:val="left"/>
      </w:pPr>
      <w:r>
        <w:rPr>
          <w:rFonts w:ascii="Source Sans Pro" w:hAnsi="Source Sans Pro" w:cs="Source Sans Pro"/>
          <w:b w:val="0"/>
          <w:i w:val="0"/>
          <w:sz w:val="22"/>
        </w:rPr>
        <w:t xml:space="preserve">RICHARDSON, Roberto Jarry. </w:t>
      </w:r>
      <w:r>
        <w:rPr>
          <w:rFonts w:ascii="Source Sans Pro" w:hAnsi="Source Sans Pro" w:cs="Source Sans Pro"/>
          <w:b w:val="0"/>
          <w:i/>
          <w:sz w:val="22"/>
        </w:rPr>
        <w:t>Pesquisa social: métodos e técnicas</w:t>
      </w:r>
      <w:r>
        <w:rPr>
          <w:rFonts w:ascii="Source Sans Pro" w:hAnsi="Source Sans Pro" w:cs="Source Sans Pro"/>
          <w:b w:val="0"/>
          <w:i w:val="0"/>
          <w:sz w:val="22"/>
        </w:rPr>
        <w:t>. 4. ed. São Paulo: Atlas, 2017.</w:t>
      </w:r>
    </w:p>
    <w:p>
      <w:pPr>
        <w:keepNext/>
        <w:spacing w:before="200" w:after="160" w:line="276" w:lineRule="auto"/>
        <w:jc w:val="left"/>
      </w:pPr>
      <w:r>
        <w:rPr>
          <w:rFonts w:ascii="Montserrat" w:hAnsi="Montserrat" w:cs="Montserrat"/>
          <w:b/>
          <w:i w:val="0"/>
          <w:color w:val="8D0333"/>
          <w:sz w:val="24"/>
        </w:rPr>
        <w:t>7.2 Complementar</w:t>
      </w:r>
    </w:p>
    <w:p>
      <w:pPr>
        <w:spacing w:before="0" w:after="120" w:line="276" w:lineRule="auto"/>
        <w:jc w:val="left"/>
      </w:pPr>
      <w:r>
        <w:rPr>
          <w:rFonts w:ascii="Source Sans Pro" w:hAnsi="Source Sans Pro" w:cs="Source Sans Pro"/>
          <w:b w:val="0"/>
          <w:i w:val="0"/>
          <w:sz w:val="22"/>
        </w:rPr>
        <w:t xml:space="preserve">ANDERSON, David R.; SWEENEY, Dennis J.; WILLIAMS, Thomas A. </w:t>
      </w:r>
      <w:r>
        <w:rPr>
          <w:rFonts w:ascii="Source Sans Pro" w:hAnsi="Source Sans Pro" w:cs="Source Sans Pro"/>
          <w:b w:val="0"/>
          <w:i/>
          <w:sz w:val="22"/>
        </w:rPr>
        <w:t>Estatística aplicada à administração e economia</w:t>
      </w:r>
      <w:r>
        <w:rPr>
          <w:rFonts w:ascii="Source Sans Pro" w:hAnsi="Source Sans Pro" w:cs="Source Sans Pro"/>
          <w:b w:val="0"/>
          <w:i w:val="0"/>
          <w:sz w:val="22"/>
        </w:rPr>
        <w:t>. 3. ed. São Paulo: Cengage Learning, 2013.</w:t>
      </w:r>
    </w:p>
    <w:p>
      <w:pPr>
        <w:spacing w:before="0" w:after="120" w:line="276" w:lineRule="auto"/>
        <w:jc w:val="left"/>
      </w:pPr>
      <w:r>
        <w:rPr>
          <w:rFonts w:ascii="Source Sans Pro" w:hAnsi="Source Sans Pro" w:cs="Source Sans Pro"/>
          <w:b w:val="0"/>
          <w:i w:val="0"/>
          <w:sz w:val="22"/>
        </w:rPr>
        <w:t xml:space="preserve">BABBIE, Earl. </w:t>
      </w:r>
      <w:r>
        <w:rPr>
          <w:rFonts w:ascii="Source Sans Pro" w:hAnsi="Source Sans Pro" w:cs="Source Sans Pro"/>
          <w:b w:val="0"/>
          <w:i/>
          <w:sz w:val="22"/>
        </w:rPr>
        <w:t>Métodos de pesquisa de survey</w:t>
      </w:r>
      <w:r>
        <w:rPr>
          <w:rFonts w:ascii="Source Sans Pro" w:hAnsi="Source Sans Pro" w:cs="Source Sans Pro"/>
          <w:b w:val="0"/>
          <w:i w:val="0"/>
          <w:sz w:val="22"/>
        </w:rPr>
        <w:t>. Belo Horizonte: Editora UFMG, 1999.</w:t>
      </w:r>
    </w:p>
    <w:p>
      <w:pPr>
        <w:spacing w:before="0" w:after="120" w:line="276" w:lineRule="auto"/>
        <w:jc w:val="left"/>
      </w:pPr>
      <w:r>
        <w:rPr>
          <w:rFonts w:ascii="Source Sans Pro" w:hAnsi="Source Sans Pro" w:cs="Source Sans Pro"/>
          <w:b w:val="0"/>
          <w:i w:val="0"/>
          <w:sz w:val="22"/>
        </w:rPr>
        <w:t xml:space="preserve">COOPER, Donald R.; SCHINDLER, Pamela S. </w:t>
      </w:r>
      <w:r>
        <w:rPr>
          <w:rFonts w:ascii="Source Sans Pro" w:hAnsi="Source Sans Pro" w:cs="Source Sans Pro"/>
          <w:b w:val="0"/>
          <w:i/>
          <w:sz w:val="22"/>
        </w:rPr>
        <w:t>Métodos de pesquisa em administração</w:t>
      </w:r>
      <w:r>
        <w:rPr>
          <w:rFonts w:ascii="Source Sans Pro" w:hAnsi="Source Sans Pro" w:cs="Source Sans Pro"/>
          <w:b w:val="0"/>
          <w:i w:val="0"/>
          <w:sz w:val="22"/>
        </w:rPr>
        <w:t>. 12. ed. Porto Alegre: AMGH, 2016.</w:t>
      </w:r>
    </w:p>
    <w:p>
      <w:pPr>
        <w:spacing w:before="0" w:after="120" w:line="276" w:lineRule="auto"/>
        <w:jc w:val="left"/>
      </w:pPr>
      <w:r>
        <w:rPr>
          <w:rFonts w:ascii="Source Sans Pro" w:hAnsi="Source Sans Pro" w:cs="Source Sans Pro"/>
          <w:b w:val="0"/>
          <w:i w:val="0"/>
          <w:sz w:val="22"/>
        </w:rPr>
        <w:t xml:space="preserve">FÁVERO, Luiz Paulo; BELFIORE, Patrícia. </w:t>
      </w:r>
      <w:r>
        <w:rPr>
          <w:rFonts w:ascii="Source Sans Pro" w:hAnsi="Source Sans Pro" w:cs="Source Sans Pro"/>
          <w:b w:val="0"/>
          <w:i/>
          <w:sz w:val="22"/>
        </w:rPr>
        <w:t>Manual de análise de dados: estatística e modelagem multivariada com Excel, SPSS e Stata</w:t>
      </w:r>
      <w:r>
        <w:rPr>
          <w:rFonts w:ascii="Source Sans Pro" w:hAnsi="Source Sans Pro" w:cs="Source Sans Pro"/>
          <w:b w:val="0"/>
          <w:i w:val="0"/>
          <w:sz w:val="22"/>
        </w:rPr>
        <w:t>. Rio de Janeiro: Elsevier, 2017.</w:t>
      </w:r>
    </w:p>
    <w:p>
      <w:pPr>
        <w:spacing w:before="0" w:after="120" w:line="276" w:lineRule="auto"/>
        <w:jc w:val="left"/>
      </w:pPr>
      <w:r>
        <w:rPr>
          <w:rFonts w:ascii="Source Sans Pro" w:hAnsi="Source Sans Pro" w:cs="Source Sans Pro"/>
          <w:b w:val="0"/>
          <w:i w:val="0"/>
          <w:sz w:val="22"/>
        </w:rPr>
        <w:t xml:space="preserve">GRUS, Joel. </w:t>
      </w:r>
      <w:r>
        <w:rPr>
          <w:rFonts w:ascii="Source Sans Pro" w:hAnsi="Source Sans Pro" w:cs="Source Sans Pro"/>
          <w:b w:val="0"/>
          <w:i/>
          <w:sz w:val="22"/>
        </w:rPr>
        <w:t>Data science do zero: noções fundamentais com Python</w:t>
      </w:r>
      <w:r>
        <w:rPr>
          <w:rFonts w:ascii="Source Sans Pro" w:hAnsi="Source Sans Pro" w:cs="Source Sans Pro"/>
          <w:b w:val="0"/>
          <w:i w:val="0"/>
          <w:sz w:val="22"/>
        </w:rPr>
        <w:t>. 2. ed. Rio de Janeiro: Alta Books, 2021.</w:t>
      </w:r>
    </w:p>
    <w:p>
      <w:pPr>
        <w:spacing w:before="0" w:after="120" w:line="276" w:lineRule="auto"/>
        <w:jc w:val="left"/>
      </w:pPr>
      <w:r>
        <w:rPr>
          <w:rFonts w:ascii="Source Sans Pro" w:hAnsi="Source Sans Pro" w:cs="Source Sans Pro"/>
          <w:b w:val="0"/>
          <w:i w:val="0"/>
          <w:sz w:val="22"/>
        </w:rPr>
        <w:t xml:space="preserve">MCKINNEY, Wes. </w:t>
      </w:r>
      <w:r>
        <w:rPr>
          <w:rFonts w:ascii="Source Sans Pro" w:hAnsi="Source Sans Pro" w:cs="Source Sans Pro"/>
          <w:b w:val="0"/>
          <w:i/>
          <w:sz w:val="22"/>
        </w:rPr>
        <w:t>Python para análise de dados: tratamento de dados com pandas, NumPy e Jupyter</w:t>
      </w:r>
      <w:r>
        <w:rPr>
          <w:rFonts w:ascii="Source Sans Pro" w:hAnsi="Source Sans Pro" w:cs="Source Sans Pro"/>
          <w:b w:val="0"/>
          <w:i w:val="0"/>
          <w:sz w:val="22"/>
        </w:rPr>
        <w:t>. 3. ed. São Paulo: Novatec, 2023.</w:t>
      </w:r>
    </w:p>
    <w:sectPr w:rsidR="00FC693F" w:rsidRPr="0006063C" w:rsidSect="00034616">
      <w:headerReference w:type="default" r:id="rId9"/>
      <w:footerReference w:type="default" r:id="rId10"/>
      <w:pgSz w:w="11906" w:h="16838"/>
      <w:pgMar w:top="1701" w:right="1134" w:bottom="1134" w:left="170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Source Sans Pro" w:hAnsi="Source Sans Pro" w:cs="Source Sans Pro"/>
        <w:b w:val="0"/>
        <w:i w:val="0"/>
        <w:sz w:val="16"/>
      </w:rPr>
      <w:t>Cidade Universitária Dom Delgado – Av. dos Portugueses, 1966, Bacanga, São Luís – MA, CEP 65080-805</w:t>
    </w:r>
  </w:p>
  <w:p>
    <w:pPr>
      <w:spacing w:line="240" w:lineRule="auto"/>
      <w:jc w:val="center"/>
    </w:pPr>
    <w:r>
      <w:rPr>
        <w:rFonts w:ascii="Montserrat" w:hAnsi="Montserrat" w:cs="Montserrat"/>
        <w:b/>
        <w:i w:val="0"/>
        <w:color w:val="8D0333"/>
        <w:sz w:val="14"/>
      </w:rPr>
      <w:t>SEMPRE+ QUALIDADE INOVAÇÃO INCLUSÃO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Pr>
    <w:r>
      <w:drawing>
        <wp:inline xmlns:a="http://schemas.openxmlformats.org/drawingml/2006/main" xmlns:pic="http://schemas.openxmlformats.org/drawingml/2006/picture">
          <wp:extent cx="720000" cy="720000"/>
          <wp:docPr id="1" name="Picture 1"/>
          <wp:cNvGraphicFramePr>
            <a:graphicFrameLocks noChangeAspect="1"/>
          </wp:cNvGraphicFramePr>
          <a:graphic>
            <a:graphicData uri="http://schemas.openxmlformats.org/drawingml/2006/picture">
              <pic:pic>
                <pic:nvPicPr>
                  <pic:cNvPr id="0" name="logo-ufma.png"/>
                  <pic:cNvPicPr/>
                </pic:nvPicPr>
                <pic:blipFill>
                  <a:blip r:embed="rId1"/>
                  <a:stretch>
                    <a:fillRect/>
                  </a:stretch>
                </pic:blipFill>
                <pic:spPr>
                  <a:xfrm>
                    <a:off x="0" y="0"/>
                    <a:ext cx="720000" cy="720000"/>
                  </a:xfrm>
                  <a:prstGeom prst="rect"/>
                </pic:spPr>
              </pic:pic>
            </a:graphicData>
          </a:graphic>
        </wp:inline>
      </w:drawing>
    </w:r>
  </w:p>
  <w:p>
    <w:pPr>
      <w:spacing w:before="0" w:after="40" w:line="240" w:lineRule="auto"/>
      <w:jc w:val="center"/>
    </w:pPr>
    <w:r>
      <w:rPr>
        <w:rFonts w:ascii="Montserrat" w:hAnsi="Montserrat" w:cs="Montserrat"/>
        <w:b w:val="0"/>
        <w:i w:val="0"/>
        <w:sz w:val="18"/>
      </w:rPr>
      <w:t>Ministério da Educação</w:t>
    </w:r>
  </w:p>
  <w:p>
    <w:pPr>
      <w:spacing w:before="0" w:after="40" w:line="240" w:lineRule="auto"/>
      <w:jc w:val="center"/>
    </w:pPr>
    <w:r>
      <w:rPr>
        <w:rFonts w:ascii="Montserrat" w:hAnsi="Montserrat" w:cs="Montserrat"/>
        <w:b/>
        <w:i w:val="0"/>
        <w:sz w:val="28"/>
      </w:rPr>
      <w:t>UNIVERSIDADE FEDERAL DO MARANHÃO</w:t>
    </w:r>
  </w:p>
  <w:p>
    <w:pPr>
      <w:spacing w:before="0" w:after="40" w:line="240" w:lineRule="auto"/>
      <w:jc w:val="center"/>
    </w:pPr>
    <w:r>
      <w:rPr>
        <w:rFonts w:ascii="Montserrat" w:hAnsi="Montserrat" w:cs="Montserrat"/>
        <w:b w:val="0"/>
        <w:i w:val="0"/>
        <w:sz w:val="18"/>
      </w:rPr>
      <w:t>CENTRO DE CIÊNCIAS SOCIAIS</w:t>
    </w:r>
  </w:p>
  <w:p>
    <w:pPr>
      <w:spacing w:before="0" w:after="40" w:line="240" w:lineRule="auto"/>
      <w:jc w:val="center"/>
    </w:pPr>
    <w:r>
      <w:rPr>
        <w:rFonts w:ascii="Montserrat" w:hAnsi="Montserrat" w:cs="Montserrat"/>
        <w:b w:val="0"/>
        <w:i w:val="0"/>
        <w:sz w:val="18"/>
      </w:rPr>
      <w:t>CURSO DE ADMINISTRAÇÃO</w:t>
    </w:r>
  </w:p>
  <w:p>
    <w:pPr>
      <w:spacing w:before="0" w:after="120" w:line="240" w:lineRule="auto"/>
      <w:jc w:val="center"/>
    </w:pPr>
    <w:r>
      <w:rPr>
        <w:rFonts w:ascii="Montserrat" w:hAnsi="Montserrat" w:cs="Montserrat"/>
        <w:b w:val="0"/>
        <w:i w:val="0"/>
        <w:sz w:val="18"/>
      </w:rPr>
      <w:t>Docente: Prof. Dr. Tadeu Gomes Teixeira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