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Source Sans Pro" w:hAnsi="Source Sans Pro" w:cs="Source Sans Pro"/>
          <w:b/>
          <w:i w:val="0"/>
          <w:sz w:val="24"/>
        </w:rPr>
        <w:t>PROGRAMA DE DISCIPLINA</w:t>
      </w:r>
    </w:p>
    <w:p>
      <w:pPr>
        <w:spacing w:after="280"/>
        <w:jc w:val="center"/>
      </w:pPr>
      <w:r>
        <w:rPr>
          <w:rFonts w:ascii="Source Sans Pro" w:hAnsi="Source Sans Pro" w:cs="Source Sans Pro"/>
          <w:b/>
          <w:i w:val="0"/>
          <w:sz w:val="22"/>
        </w:rPr>
        <w:t>MÉTODOS E TÉCNICAS DE PESQUISA QUANTITATIVA</w:t>
      </w:r>
    </w:p>
    <w:p>
      <w:pPr>
        <w:keepNext/>
        <w:spacing w:before="280" w:after="160" w:line="276" w:lineRule="auto"/>
        <w:jc w:val="left"/>
      </w:pPr>
      <w:r>
        <w:rPr>
          <w:rFonts w:ascii="Montserrat" w:hAnsi="Montserrat" w:cs="Montserrat"/>
          <w:b/>
          <w:i w:val="0"/>
          <w:color w:val="8D0333"/>
          <w:sz w:val="28"/>
        </w:rPr>
        <w:t>1 IDENTIFICAÇÃO</w:t>
      </w:r>
    </w:p>
    <w:tbl>
      <w:tblPr>
        <w:tblW w:type="auto" w:w="0"/>
        <w:jc w:val="center"/>
        <w:tblLook w:firstColumn="1" w:firstRow="1" w:lastColumn="0" w:lastRow="0" w:noHBand="0" w:noVBand="1" w:val="04A0"/>
        <w:tblBorders>
          <w:top w:val="single" w:sz="4" w:color="8D0333"/>
          <w:bottom w:val="single" w:sz="4" w:color="8D0333"/>
          <w:insideH w:val="single" w:sz="4" w:color="8D0333"/>
          <w:left w:val="nil"/>
          <w:right w:val="nil"/>
          <w:insideV w:val="nil"/>
        </w:tblBorders>
      </w:tblPr>
      <w:tblGrid>
        <w:gridCol w:w="2381"/>
        <w:gridCol w:w="6690"/>
      </w:tblGrid>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Instituição</w:t>
            </w:r>
          </w:p>
        </w:tc>
        <w:tc>
          <w:tcPr>
            <w:tcW w:type="dxa" w:w="6690"/>
            <w:tcMar>
              <w:top w:w="60" w:type="dxa"/>
              <w:bottom w:w="60" w:type="dxa"/>
              <w:left w:w="100" w:type="dxa"/>
              <w:right w:w="100" w:type="dxa"/>
            </w:tcMar>
          </w:tcPr>
          <w:p>
            <w:pPr>
              <w:spacing w:after="0" w:line="240" w:lineRule="auto"/>
            </w:pPr>
            <w:r>
              <w:rPr>
                <w:rFonts w:ascii="Source Sans Pro" w:hAnsi="Source Sans Pro" w:cs="Source Sans Pro"/>
                <w:b w:val="0"/>
                <w:i w:val="0"/>
                <w:sz w:val="20"/>
              </w:rPr>
              <w:t>Universidade Federal do Maranhão (UFMA)</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Curso</w:t>
            </w:r>
          </w:p>
        </w:tc>
        <w:tc>
          <w:tcPr>
            <w:tcW w:type="dxa" w:w="6690"/>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20"/>
              </w:rPr>
              <w:t>Administração (Bacharelado)</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Disciplina</w:t>
            </w:r>
          </w:p>
        </w:tc>
        <w:tc>
          <w:tcPr>
            <w:tcW w:type="dxa" w:w="6690"/>
            <w:tcMar>
              <w:top w:w="60" w:type="dxa"/>
              <w:bottom w:w="60" w:type="dxa"/>
              <w:left w:w="100" w:type="dxa"/>
              <w:right w:w="100" w:type="dxa"/>
            </w:tcMar>
          </w:tcPr>
          <w:p>
            <w:pPr>
              <w:spacing w:after="0" w:line="240" w:lineRule="auto"/>
            </w:pPr>
            <w:r>
              <w:rPr>
                <w:rFonts w:ascii="Source Sans Pro" w:hAnsi="Source Sans Pro" w:cs="Source Sans Pro"/>
                <w:b w:val="0"/>
                <w:i w:val="0"/>
                <w:sz w:val="20"/>
              </w:rPr>
              <w:t>Métodos e Técnicas de Pesquisa Quantitativa</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Docente</w:t>
            </w:r>
          </w:p>
        </w:tc>
        <w:tc>
          <w:tcPr>
            <w:tcW w:type="dxa" w:w="6690"/>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20"/>
              </w:rPr>
              <w:t>Prof. Dr. Tadeu Gomes Teixeira</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Carga horária</w:t>
            </w:r>
          </w:p>
        </w:tc>
        <w:tc>
          <w:tcPr>
            <w:tcW w:type="dxa" w:w="6690"/>
            <w:tcMar>
              <w:top w:w="60" w:type="dxa"/>
              <w:bottom w:w="60" w:type="dxa"/>
              <w:left w:w="100" w:type="dxa"/>
              <w:right w:w="100" w:type="dxa"/>
            </w:tcMar>
          </w:tcPr>
          <w:p>
            <w:pPr>
              <w:spacing w:after="0" w:line="240" w:lineRule="auto"/>
            </w:pPr>
            <w:r>
              <w:rPr>
                <w:rFonts w:ascii="Source Sans Pro" w:hAnsi="Source Sans Pro" w:cs="Source Sans Pro"/>
                <w:b w:val="0"/>
                <w:i w:val="0"/>
                <w:sz w:val="20"/>
              </w:rPr>
              <w:t>60 horas (15 encontros de 4 horas)</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Local</w:t>
            </w:r>
          </w:p>
        </w:tc>
        <w:tc>
          <w:tcPr>
            <w:tcW w:type="dxa" w:w="6690"/>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20"/>
              </w:rPr>
              <w:t>Laboratório de informática</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Recursos</w:t>
            </w:r>
          </w:p>
        </w:tc>
        <w:tc>
          <w:tcPr>
            <w:tcW w:type="dxa" w:w="6690"/>
            <w:tcMar>
              <w:top w:w="60" w:type="dxa"/>
              <w:bottom w:w="60" w:type="dxa"/>
              <w:left w:w="100" w:type="dxa"/>
              <w:right w:w="100" w:type="dxa"/>
            </w:tcMar>
          </w:tcPr>
          <w:p>
            <w:pPr>
              <w:spacing w:after="0" w:line="240" w:lineRule="auto"/>
            </w:pPr>
            <w:r>
              <w:rPr>
                <w:rFonts w:ascii="Source Sans Pro" w:hAnsi="Source Sans Pro" w:cs="Source Sans Pro"/>
                <w:b w:val="0"/>
                <w:i w:val="0"/>
                <w:sz w:val="20"/>
              </w:rPr>
              <w:t>Google Colab (notebooks Jupyter em Python, publicados pré-executados); APIs e dados abertos (IBGE/SIDRA, Banco Central/SGS, Ipeadata, CVM, ANP, ANTT/DNIT, Receita Federal)</w:t>
            </w:r>
          </w:p>
        </w:tc>
      </w:tr>
      <w:tr>
        <w:tc>
          <w:tcPr>
            <w:tcW w:type="dxa" w:w="238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20"/>
              </w:rPr>
              <w:t>Avaliações</w:t>
            </w:r>
          </w:p>
        </w:tc>
        <w:tc>
          <w:tcPr>
            <w:tcW w:type="dxa" w:w="6690"/>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20"/>
              </w:rPr>
              <w:t>3 atividades avaliativas individuais (5º, 9º e 14º encontros) + prova final (15º encontro)</w:t>
            </w:r>
          </w:p>
        </w:tc>
      </w:tr>
    </w:tbl>
    <w:p>
      <w:pPr>
        <w:keepNext/>
        <w:spacing w:before="280" w:after="160" w:line="276" w:lineRule="auto"/>
        <w:jc w:val="left"/>
      </w:pPr>
      <w:r>
        <w:rPr>
          <w:rFonts w:ascii="Montserrat" w:hAnsi="Montserrat" w:cs="Montserrat"/>
          <w:b/>
          <w:i w:val="0"/>
          <w:color w:val="8D0333"/>
          <w:sz w:val="28"/>
        </w:rPr>
        <w:t>2 EMENTA</w:t>
      </w:r>
    </w:p>
    <w:p>
      <w:pPr>
        <w:spacing w:before="0" w:after="160" w:line="276" w:lineRule="auto"/>
        <w:jc w:val="both"/>
      </w:pPr>
      <w:r>
        <w:rPr>
          <w:rFonts w:ascii="Source Sans Pro" w:hAnsi="Source Sans Pro" w:cs="Source Sans Pro"/>
          <w:b w:val="0"/>
          <w:i w:val="0"/>
          <w:sz w:val="22"/>
        </w:rPr>
        <w:t>Introdução à pesquisa quantitativa: conceitos, características e tipos de pesquisa; problema, objetivos e hipóteses; variáveis e níveis de mensuração. Dados e estatística descritiva: fontes de dados secundários e acesso por API, distribuições de frequência, medidas de tendência central, de dispersão e de forma da distribuição. População, amostra e mensuração: delineamentos de pesquisa, técnicas de amostragem, distribuição amostral, erro padrão, margem de erro e cálculo do tamanho da amostra; instrumentos de coleta de dados, escalas, validade e confiabilidade. Inferência estatística: intervalos de confiança, testes de hipóteses paramétricos e não paramétricos, teste qui-quadrado e análise de variância. Associação e modelagem: correlação, regressão linear simples e múltipla e regressão logística. Interpretação e comunicação de resultados: tabelas, gráficos e relatórios de pesquisa reprodutíveis. Aspectos éticos na pesquisa quantitativa e uso responsável de inteligência artificial generativa.</w:t>
      </w:r>
    </w:p>
    <w:p>
      <w:pPr>
        <w:keepNext/>
        <w:spacing w:before="280" w:after="160" w:line="276" w:lineRule="auto"/>
        <w:jc w:val="left"/>
      </w:pPr>
      <w:r>
        <w:rPr>
          <w:rFonts w:ascii="Montserrat" w:hAnsi="Montserrat" w:cs="Montserrat"/>
          <w:b/>
          <w:i w:val="0"/>
          <w:color w:val="8D0333"/>
          <w:sz w:val="28"/>
        </w:rPr>
        <w:t>3 OBJETIVOS</w:t>
      </w:r>
    </w:p>
    <w:p>
      <w:pPr>
        <w:keepNext/>
        <w:spacing w:before="200" w:after="160" w:line="276" w:lineRule="auto"/>
        <w:jc w:val="left"/>
      </w:pPr>
      <w:r>
        <w:rPr>
          <w:rFonts w:ascii="Montserrat" w:hAnsi="Montserrat" w:cs="Montserrat"/>
          <w:b/>
          <w:i w:val="0"/>
          <w:color w:val="8D0333"/>
          <w:sz w:val="24"/>
        </w:rPr>
        <w:t>3.1 Objetivo geral</w:t>
      </w:r>
    </w:p>
    <w:p>
      <w:pPr>
        <w:spacing w:before="0" w:after="160" w:line="276" w:lineRule="auto"/>
        <w:ind w:firstLine="709"/>
        <w:jc w:val="both"/>
      </w:pPr>
      <w:r>
        <w:rPr>
          <w:rFonts w:ascii="Source Sans Pro" w:hAnsi="Source Sans Pro" w:cs="Source Sans Pro"/>
          <w:b w:val="0"/>
          <w:i w:val="0"/>
          <w:sz w:val="22"/>
        </w:rPr>
        <w:t>Capacitar o estudante a planejar, executar e comunicar pesquisas quantitativas aplicadas ao campo da Administração, articulando a formulação de problemas e hipóteses, o delineamento metodológico, a coleta sistemática de dados e a análise estatística dos resultados com o uso de ferramentas computacionais.</w:t>
      </w:r>
    </w:p>
    <w:p>
      <w:pPr>
        <w:keepNext/>
        <w:spacing w:before="200" w:after="160" w:line="276" w:lineRule="auto"/>
        <w:jc w:val="left"/>
      </w:pPr>
      <w:r>
        <w:rPr>
          <w:rFonts w:ascii="Montserrat" w:hAnsi="Montserrat" w:cs="Montserrat"/>
          <w:b/>
          <w:i w:val="0"/>
          <w:color w:val="8D0333"/>
          <w:sz w:val="24"/>
        </w:rPr>
        <w:t>3.2 Objetivos específicos</w:t>
      </w:r>
    </w:p>
    <w:p>
      <w:pPr>
        <w:spacing w:before="0" w:after="160" w:line="276" w:lineRule="auto"/>
        <w:ind w:firstLine="709"/>
        <w:jc w:val="both"/>
      </w:pPr>
      <w:r>
        <w:rPr>
          <w:rFonts w:ascii="Source Sans Pro" w:hAnsi="Source Sans Pro" w:cs="Source Sans Pro"/>
          <w:b w:val="0"/>
          <w:i w:val="0"/>
          <w:sz w:val="22"/>
        </w:rPr>
        <w:t>Ao final da disciplina, espera-se que o estudante seja capaz de: (i) distinguir os tipos de pesquisa quantitativa e identificar as situações organizacionais em que cada delineamento é adequado; (ii) formular problemas, objetivos e hipóteses de pesquisa operacionalizáveis; (iii) descrever um conjunto de dados escolhendo a medida adequada ao nível de mensuração e à forma da distribuição; (iv) obter dados de fontes oficiais brasileiras por meio de APIs públicas; (v) planejar amostras probabilísticas e calcular o seu tamanho a partir da margem de erro aceita; (vi) construir instrumentos de coleta, com destaque para questionários e escalas, e avaliar a sua confiabilidade; (vii) escolher, executar no Google Colab e interpretar intervalos de confiança, testes de hipóteses, correlação e modelos de regressão linear e logística; (viii) comunicar resultados por meio de tabelas, gráficos e relatórios de pesquisa reprodutíveis, com uso verificado e registrado de inteligência artificial generativa; (ix) reconhecer e aplicar os princípios éticos que regulam a pesquisa com seres humanos e o uso de dados no Brasil.</w:t>
      </w:r>
    </w:p>
    <w:p>
      <w:pPr>
        <w:keepNext/>
        <w:spacing w:before="280" w:after="160" w:line="276" w:lineRule="auto"/>
        <w:jc w:val="left"/>
      </w:pPr>
      <w:r>
        <w:rPr>
          <w:rFonts w:ascii="Montserrat" w:hAnsi="Montserrat" w:cs="Montserrat"/>
          <w:b/>
          <w:i w:val="0"/>
          <w:color w:val="8D0333"/>
          <w:sz w:val="28"/>
        </w:rPr>
        <w:t>4 METODOLOGIA</w:t>
      </w:r>
    </w:p>
    <w:p>
      <w:pPr>
        <w:spacing w:before="0" w:after="160" w:line="276" w:lineRule="auto"/>
        <w:ind w:firstLine="709"/>
        <w:jc w:val="both"/>
      </w:pPr>
      <w:r>
        <w:rPr>
          <w:rFonts w:ascii="Source Sans Pro" w:hAnsi="Source Sans Pro" w:cs="Source Sans Pro"/>
          <w:b w:val="0"/>
          <w:i w:val="0"/>
          <w:sz w:val="22"/>
        </w:rPr>
        <w:t>As aulas ocorrem integralmente no laboratório de informática e adotam o Google Colab como ambiente de trabalho. A disciplina se organiza em quatro módulos, com a estatística como base: (I) pesquisa quantitativa, dados e estatística descritiva; (II) população, amostra e mensuração; (III) inferência estatística; (IV) associação, modelagem e comunicação. Cada encontro articula três movimentos: a exposição dialogada do conceito de pesquisa, um bloco de estatística com a mesma estrutura em todos os encontros (a pergunta que a estatística responde, o conceito, a fórmula, um exemplo resolvido passo a passo com dado real, o código e a frase de leitura do resultado) e uma atividade prática em notebook Jupyter preparado pelo professor. Os notebooks são publicados pré-executados, com as saídas salvas, e o estudante não escreve código: executa células prontas, altera apenas os valores declarados no bloco de configuração e redige a frase de leitura de cada resultado, conferido por uma função que o compara com o valor esperado. Não há cálculo à mão: a fórmula é explicada para que se entenda de onde vem o número, e o número sai de uma célula executada. Não se trata de uma disciplina de programação: o Python opera como instrumento de cálculo e visualização, e a ênfase permanece na lógica da pesquisa quantitativa, na interpretação dos resultados e na decisão metodológica.</w:t>
      </w:r>
    </w:p>
    <w:p>
      <w:pPr>
        <w:spacing w:before="0" w:after="160" w:line="276" w:lineRule="auto"/>
        <w:ind w:firstLine="709"/>
        <w:jc w:val="both"/>
      </w:pPr>
      <w:r>
        <w:rPr>
          <w:rFonts w:ascii="Source Sans Pro" w:hAnsi="Source Sans Pro" w:cs="Source Sans Pro"/>
          <w:b w:val="0"/>
          <w:i w:val="0"/>
          <w:sz w:val="22"/>
        </w:rPr>
        <w:t>As atividades práticas utilizam prioritariamente dados empresariais e econômicos de fontes oficiais brasileiras, consumidos diretamente nos notebooks por meio de APIs públicas. Essa escolha cumpre dupla função: aproxima os exercícios estatísticos de problemas concretos de gestão (demografia empresarial, crédito, desempenho setorial, inovação) e familiariza o estudante com o ecossistema de dados abertos que poderá mobilizar em trabalhos de conclusão de curso e na vida profissional.</w:t>
      </w:r>
    </w:p>
    <w:p>
      <w:pPr>
        <w:spacing w:before="0" w:after="160" w:line="276" w:lineRule="auto"/>
        <w:ind w:firstLine="709"/>
        <w:jc w:val="both"/>
      </w:pPr>
      <w:r>
        <w:rPr>
          <w:rFonts w:ascii="Source Sans Pro" w:hAnsi="Source Sans Pro" w:cs="Source Sans Pro"/>
          <w:b w:val="0"/>
          <w:i w:val="0"/>
          <w:sz w:val="22"/>
        </w:rPr>
        <w:t>Todas as atividades e avaliações da disciplina são individuais. Ao longo do semestre, cada estudante desenvolve um projeto individual de pesquisa quantitativa com dados secundários das fontes oficiais trabalhadas em aula (IBGE, Banco Central, IPEA, CVM, ANP e Receita Federal, entre outras): formula um problema e hipóteses sobre um tema empresarial ou econômico de seu interesse, delimita as variáveis e a base de dados pertinente, executa as análises em notebook próprio e redige o relatório final. O uso de dados secundários garante que cada estudante disponha de material empírico suficiente sem depender de coleta de campo, ao mesmo tempo em que as técnicas de coleta primária (questionários, escalas, entrevistas estruturadas) são exercitadas em atividades práticas durante as aulas. O desenvolvimento do projeto é acompanhado pelo professor por meio dos notebooks compartilhados no Colab, com devolutivas ao longo do semestre.</w:t>
      </w:r>
    </w:p>
    <w:p>
      <w:pPr>
        <w:spacing w:before="0" w:after="160" w:line="276" w:lineRule="auto"/>
        <w:ind w:firstLine="709"/>
        <w:jc w:val="both"/>
      </w:pPr>
      <w:r>
        <w:rPr>
          <w:rFonts w:ascii="Source Sans Pro" w:hAnsi="Source Sans Pro" w:cs="Source Sans Pro"/>
          <w:b w:val="0"/>
          <w:i w:val="0"/>
          <w:sz w:val="22"/>
        </w:rPr>
        <w:t>O uso de assistentes de inteligência artificial generativa é permitido e incentivado nas aulas, no projeto individual e nas avaliações, com uma exigência: o registro do pedido feito ao assistente e da checagem realizada sobre a resposta. Na primeira atividade avaliativa a consulta é livre nas três partes, inclusive na parte conceitual, mediante esse registro; o uso é vedado apenas na parte conceitual da prova final. A regra da disciplina é que a IA explica, o código calcula e o estudante confere e escreve: nenhum número entra no relatório sem ter saído de uma célula executada e conferida.</w:t>
      </w:r>
    </w:p>
    <w:p>
      <w:pPr>
        <w:keepNext/>
        <w:spacing w:before="200" w:after="160" w:line="276" w:lineRule="auto"/>
        <w:jc w:val="left"/>
      </w:pPr>
      <w:r>
        <w:rPr>
          <w:rFonts w:ascii="Montserrat" w:hAnsi="Montserrat" w:cs="Montserrat"/>
          <w:b/>
          <w:i w:val="0"/>
          <w:color w:val="8D0333"/>
          <w:sz w:val="24"/>
        </w:rPr>
        <w:t>4.1 Fontes de dados da disciplina</w:t>
      </w:r>
    </w:p>
    <w:tbl>
      <w:tblPr>
        <w:tblW w:type="auto" w:w="0"/>
        <w:jc w:val="center"/>
        <w:tblLook w:firstColumn="1" w:firstRow="1" w:lastColumn="0" w:lastRow="0" w:noHBand="0" w:noVBand="1" w:val="04A0"/>
        <w:tblBorders>
          <w:top w:val="single" w:sz="4" w:color="8D0333"/>
          <w:bottom w:val="single" w:sz="4" w:color="8D0333"/>
          <w:insideH w:val="single" w:sz="4" w:color="8D0333"/>
          <w:left w:val="nil"/>
          <w:right w:val="nil"/>
          <w:insideV w:val="nil"/>
        </w:tblBorders>
      </w:tblPr>
      <w:tblGrid>
        <w:gridCol w:w="2268"/>
        <w:gridCol w:w="2268"/>
        <w:gridCol w:w="2268"/>
        <w:gridCol w:w="2268"/>
      </w:tblGrid>
      <w:tr>
        <w:tc>
          <w:tcPr>
            <w:tcW w:type="dxa" w:w="1474"/>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18"/>
              </w:rPr>
              <w:t>Fonte</w:t>
            </w:r>
          </w:p>
        </w:tc>
        <w:tc>
          <w:tcPr>
            <w:tcW w:type="dxa" w:w="2494"/>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18"/>
              </w:rPr>
              <w:t>Base / sistema</w:t>
            </w:r>
          </w:p>
        </w:tc>
        <w:tc>
          <w:tcPr>
            <w:tcW w:type="dxa" w:w="204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18"/>
              </w:rPr>
              <w:t>Acesso no Colab</w:t>
            </w:r>
          </w:p>
        </w:tc>
        <w:tc>
          <w:tcPr>
            <w:tcW w:type="dxa" w:w="3061"/>
            <w:tcMar>
              <w:top w:w="60" w:type="dxa"/>
              <w:bottom w:w="60" w:type="dxa"/>
              <w:left w:w="100" w:type="dxa"/>
              <w:right w:w="100" w:type="dxa"/>
            </w:tcMar>
            <w:shd w:val="clear" w:fill="8D0333"/>
          </w:tcPr>
          <w:p>
            <w:pPr>
              <w:spacing w:after="0" w:line="240" w:lineRule="auto"/>
            </w:pPr>
            <w:r>
              <w:rPr>
                <w:rFonts w:ascii="Source Sans Pro" w:hAnsi="Source Sans Pro" w:cs="Source Sans Pro"/>
                <w:b/>
                <w:i w:val="0"/>
                <w:color w:val="FFFFFF"/>
                <w:sz w:val="18"/>
              </w:rPr>
              <w:t>Conteúdo empresarial</w:t>
            </w:r>
          </w:p>
        </w:tc>
      </w:tr>
      <w:tr>
        <w:tc>
          <w:tcPr>
            <w:tcW w:type="dxa" w:w="1474"/>
            <w:tcMar>
              <w:top w:w="60" w:type="dxa"/>
              <w:bottom w:w="60" w:type="dxa"/>
              <w:left w:w="100" w:type="dxa"/>
              <w:right w:w="100" w:type="dxa"/>
            </w:tcMar>
          </w:tcPr>
          <w:p>
            <w:pPr>
              <w:spacing w:after="0" w:line="240" w:lineRule="auto"/>
            </w:pPr>
            <w:r>
              <w:rPr>
                <w:rFonts w:ascii="Source Sans Pro" w:hAnsi="Source Sans Pro" w:cs="Source Sans Pro"/>
                <w:b w:val="0"/>
                <w:i w:val="0"/>
                <w:sz w:val="18"/>
              </w:rPr>
              <w:t>IBGE</w:t>
            </w:r>
          </w:p>
        </w:tc>
        <w:tc>
          <w:tcPr>
            <w:tcW w:type="dxa" w:w="2494"/>
            <w:tcMar>
              <w:top w:w="60" w:type="dxa"/>
              <w:bottom w:w="60" w:type="dxa"/>
              <w:left w:w="100" w:type="dxa"/>
              <w:right w:w="100" w:type="dxa"/>
            </w:tcMar>
          </w:tcPr>
          <w:p>
            <w:pPr>
              <w:spacing w:after="0" w:line="240" w:lineRule="auto"/>
            </w:pPr>
            <w:r>
              <w:rPr>
                <w:rFonts w:ascii="Source Sans Pro" w:hAnsi="Source Sans Pro" w:cs="Source Sans Pro"/>
                <w:b w:val="0"/>
                <w:i w:val="0"/>
                <w:sz w:val="18"/>
              </w:rPr>
              <w:t>SIDRA: CEMPRE, PIA, PAS, PMC, PINTEC</w:t>
            </w:r>
          </w:p>
        </w:tc>
        <w:tc>
          <w:tcPr>
            <w:tcW w:type="dxa" w:w="2041"/>
            <w:tcMar>
              <w:top w:w="60" w:type="dxa"/>
              <w:bottom w:w="60" w:type="dxa"/>
              <w:left w:w="100" w:type="dxa"/>
              <w:right w:w="100" w:type="dxa"/>
            </w:tcMar>
          </w:tcPr>
          <w:p>
            <w:pPr>
              <w:spacing w:after="0" w:line="240" w:lineRule="auto"/>
            </w:pPr>
            <w:r>
              <w:rPr>
                <w:rFonts w:ascii="Source Sans Pro" w:hAnsi="Source Sans Pro" w:cs="Source Sans Pro"/>
                <w:b w:val="0"/>
                <w:i w:val="0"/>
                <w:sz w:val="18"/>
              </w:rPr>
              <w:t>API SIDRA (biblioteca sidrapy)</w:t>
            </w:r>
          </w:p>
        </w:tc>
        <w:tc>
          <w:tcPr>
            <w:tcW w:type="dxa" w:w="3061"/>
            <w:tcMar>
              <w:top w:w="60" w:type="dxa"/>
              <w:bottom w:w="60" w:type="dxa"/>
              <w:left w:w="100" w:type="dxa"/>
              <w:right w:w="100" w:type="dxa"/>
            </w:tcMar>
          </w:tcPr>
          <w:p>
            <w:pPr>
              <w:spacing w:after="0" w:line="240" w:lineRule="auto"/>
            </w:pPr>
            <w:r>
              <w:rPr>
                <w:rFonts w:ascii="Source Sans Pro" w:hAnsi="Source Sans Pro" w:cs="Source Sans Pro"/>
                <w:b w:val="0"/>
                <w:i w:val="0"/>
                <w:sz w:val="18"/>
              </w:rPr>
              <w:t>Demografia das empresas (aberturas, fechamentos, porte, setor), produção, receita, pessoal ocupado, inovação</w:t>
            </w:r>
          </w:p>
        </w:tc>
      </w:tr>
      <w:tr>
        <w:tc>
          <w:tcPr>
            <w:tcW w:type="dxa" w:w="1474"/>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Banco Central do Brasil</w:t>
            </w:r>
          </w:p>
        </w:tc>
        <w:tc>
          <w:tcPr>
            <w:tcW w:type="dxa" w:w="2494"/>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SGS (Sistema Gerenciador de Séries Temporais) e expectativas do Boletim Focus</w:t>
            </w:r>
          </w:p>
        </w:tc>
        <w:tc>
          <w:tcPr>
            <w:tcW w:type="dxa" w:w="2041"/>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API (biblioteca python-bcb)</w:t>
            </w:r>
          </w:p>
        </w:tc>
        <w:tc>
          <w:tcPr>
            <w:tcW w:type="dxa" w:w="3061"/>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Crédito às empresas, inadimplência PJ, taxas de juros, câmbio, indicadores de atividade</w:t>
            </w:r>
          </w:p>
        </w:tc>
      </w:tr>
      <w:tr>
        <w:tc>
          <w:tcPr>
            <w:tcW w:type="dxa" w:w="1474"/>
            <w:tcMar>
              <w:top w:w="60" w:type="dxa"/>
              <w:bottom w:w="60" w:type="dxa"/>
              <w:left w:w="100" w:type="dxa"/>
              <w:right w:w="100" w:type="dxa"/>
            </w:tcMar>
          </w:tcPr>
          <w:p>
            <w:pPr>
              <w:spacing w:after="0" w:line="240" w:lineRule="auto"/>
            </w:pPr>
            <w:r>
              <w:rPr>
                <w:rFonts w:ascii="Source Sans Pro" w:hAnsi="Source Sans Pro" w:cs="Source Sans Pro"/>
                <w:b w:val="0"/>
                <w:i w:val="0"/>
                <w:sz w:val="18"/>
              </w:rPr>
              <w:t>IPEA</w:t>
            </w:r>
          </w:p>
        </w:tc>
        <w:tc>
          <w:tcPr>
            <w:tcW w:type="dxa" w:w="2494"/>
            <w:tcMar>
              <w:top w:w="60" w:type="dxa"/>
              <w:bottom w:w="60" w:type="dxa"/>
              <w:left w:w="100" w:type="dxa"/>
              <w:right w:w="100" w:type="dxa"/>
            </w:tcMar>
          </w:tcPr>
          <w:p>
            <w:pPr>
              <w:spacing w:after="0" w:line="240" w:lineRule="auto"/>
            </w:pPr>
            <w:r>
              <w:rPr>
                <w:rFonts w:ascii="Source Sans Pro" w:hAnsi="Source Sans Pro" w:cs="Source Sans Pro"/>
                <w:b w:val="0"/>
                <w:i w:val="0"/>
                <w:sz w:val="18"/>
              </w:rPr>
              <w:t>Ipeadata</w:t>
            </w:r>
          </w:p>
        </w:tc>
        <w:tc>
          <w:tcPr>
            <w:tcW w:type="dxa" w:w="2041"/>
            <w:tcMar>
              <w:top w:w="60" w:type="dxa"/>
              <w:bottom w:w="60" w:type="dxa"/>
              <w:left w:w="100" w:type="dxa"/>
              <w:right w:w="100" w:type="dxa"/>
            </w:tcMar>
          </w:tcPr>
          <w:p>
            <w:pPr>
              <w:spacing w:after="0" w:line="240" w:lineRule="auto"/>
            </w:pPr>
            <w:r>
              <w:rPr>
                <w:rFonts w:ascii="Source Sans Pro" w:hAnsi="Source Sans Pro" w:cs="Source Sans Pro"/>
                <w:b w:val="0"/>
                <w:i w:val="0"/>
                <w:sz w:val="18"/>
              </w:rPr>
              <w:t>API (biblioteca ipeadatapy)</w:t>
            </w:r>
          </w:p>
        </w:tc>
        <w:tc>
          <w:tcPr>
            <w:tcW w:type="dxa" w:w="3061"/>
            <w:tcMar>
              <w:top w:w="60" w:type="dxa"/>
              <w:bottom w:w="60" w:type="dxa"/>
              <w:left w:w="100" w:type="dxa"/>
              <w:right w:w="100" w:type="dxa"/>
            </w:tcMar>
          </w:tcPr>
          <w:p>
            <w:pPr>
              <w:spacing w:after="0" w:line="240" w:lineRule="auto"/>
            </w:pPr>
            <w:r>
              <w:rPr>
                <w:rFonts w:ascii="Source Sans Pro" w:hAnsi="Source Sans Pro" w:cs="Source Sans Pro"/>
                <w:b w:val="0"/>
                <w:i w:val="0"/>
                <w:sz w:val="18"/>
              </w:rPr>
              <w:t>Séries macroeconômicas e setoriais para contextualização das análises</w:t>
            </w:r>
          </w:p>
        </w:tc>
      </w:tr>
      <w:tr>
        <w:tc>
          <w:tcPr>
            <w:tcW w:type="dxa" w:w="1474"/>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CVM</w:t>
            </w:r>
          </w:p>
        </w:tc>
        <w:tc>
          <w:tcPr>
            <w:tcW w:type="dxa" w:w="2494"/>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Dados abertos: demonstrações financeiras de companhias abertas (DFP/ITR)</w:t>
            </w:r>
          </w:p>
        </w:tc>
        <w:tc>
          <w:tcPr>
            <w:tcW w:type="dxa" w:w="2041"/>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Arquivos CSV lidos com pandas</w:t>
            </w:r>
          </w:p>
        </w:tc>
        <w:tc>
          <w:tcPr>
            <w:tcW w:type="dxa" w:w="3061"/>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Receita, lucro, endividamento e indicadores contábeis de empresas listadas</w:t>
            </w:r>
          </w:p>
        </w:tc>
      </w:tr>
      <w:tr>
        <w:tc>
          <w:tcPr>
            <w:tcW w:type="dxa" w:w="1474"/>
            <w:tcMar>
              <w:top w:w="60" w:type="dxa"/>
              <w:bottom w:w="60" w:type="dxa"/>
              <w:left w:w="100" w:type="dxa"/>
              <w:right w:w="100" w:type="dxa"/>
            </w:tcMar>
          </w:tcPr>
          <w:p>
            <w:pPr>
              <w:spacing w:after="0" w:line="240" w:lineRule="auto"/>
            </w:pPr>
            <w:r>
              <w:rPr>
                <w:rFonts w:ascii="Source Sans Pro" w:hAnsi="Source Sans Pro" w:cs="Source Sans Pro"/>
                <w:b w:val="0"/>
                <w:i w:val="0"/>
                <w:sz w:val="18"/>
              </w:rPr>
              <w:t>ANP</w:t>
            </w:r>
          </w:p>
        </w:tc>
        <w:tc>
          <w:tcPr>
            <w:tcW w:type="dxa" w:w="2494"/>
            <w:tcMar>
              <w:top w:w="60" w:type="dxa"/>
              <w:bottom w:w="60" w:type="dxa"/>
              <w:left w:w="100" w:type="dxa"/>
              <w:right w:w="100" w:type="dxa"/>
            </w:tcMar>
          </w:tcPr>
          <w:p>
            <w:pPr>
              <w:spacing w:after="0" w:line="240" w:lineRule="auto"/>
            </w:pPr>
            <w:r>
              <w:rPr>
                <w:rFonts w:ascii="Source Sans Pro" w:hAnsi="Source Sans Pro" w:cs="Source Sans Pro"/>
                <w:b w:val="0"/>
                <w:i w:val="0"/>
                <w:sz w:val="18"/>
              </w:rPr>
              <w:t>Série Histórica de Preços de Combustíveis (SHPC) e processamento de petróleo</w:t>
            </w:r>
          </w:p>
        </w:tc>
        <w:tc>
          <w:tcPr>
            <w:tcW w:type="dxa" w:w="2041"/>
            <w:tcMar>
              <w:top w:w="60" w:type="dxa"/>
              <w:bottom w:w="60" w:type="dxa"/>
              <w:left w:w="100" w:type="dxa"/>
              <w:right w:w="100" w:type="dxa"/>
            </w:tcMar>
          </w:tcPr>
          <w:p>
            <w:pPr>
              <w:spacing w:after="0" w:line="240" w:lineRule="auto"/>
            </w:pPr>
            <w:r>
              <w:rPr>
                <w:rFonts w:ascii="Source Sans Pro" w:hAnsi="Source Sans Pro" w:cs="Source Sans Pro"/>
                <w:b w:val="0"/>
                <w:i w:val="0"/>
                <w:sz w:val="18"/>
              </w:rPr>
              <w:t>Arquivos CSV abertos lidos com pandas</w:t>
            </w:r>
          </w:p>
        </w:tc>
        <w:tc>
          <w:tcPr>
            <w:tcW w:type="dxa" w:w="3061"/>
            <w:tcMar>
              <w:top w:w="60" w:type="dxa"/>
              <w:bottom w:w="60" w:type="dxa"/>
              <w:left w:w="100" w:type="dxa"/>
              <w:right w:w="100" w:type="dxa"/>
            </w:tcMar>
          </w:tcPr>
          <w:p>
            <w:pPr>
              <w:spacing w:after="0" w:line="240" w:lineRule="auto"/>
            </w:pPr>
            <w:r>
              <w:rPr>
                <w:rFonts w:ascii="Source Sans Pro" w:hAnsi="Source Sans Pro" w:cs="Source Sans Pro"/>
                <w:b w:val="0"/>
                <w:i w:val="0"/>
                <w:sz w:val="18"/>
              </w:rPr>
              <w:t>Preço de revenda por posto e município; cadastro de postos usado nos exercícios de amostragem</w:t>
            </w:r>
          </w:p>
        </w:tc>
      </w:tr>
      <w:tr>
        <w:tc>
          <w:tcPr>
            <w:tcW w:type="dxa" w:w="1474"/>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ANTT e DNIT</w:t>
            </w:r>
          </w:p>
        </w:tc>
        <w:tc>
          <w:tcPr>
            <w:tcW w:type="dxa" w:w="2494"/>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Catálogos de dados abertos (CKAN)</w:t>
            </w:r>
          </w:p>
        </w:tc>
        <w:tc>
          <w:tcPr>
            <w:tcW w:type="dxa" w:w="2041"/>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API CKAN pública, sem chave</w:t>
            </w:r>
          </w:p>
        </w:tc>
        <w:tc>
          <w:tcPr>
            <w:tcW w:type="dxa" w:w="3061"/>
            <w:tcMar>
              <w:top w:w="60" w:type="dxa"/>
              <w:bottom w:w="60" w:type="dxa"/>
              <w:left w:w="100" w:type="dxa"/>
              <w:right w:w="100" w:type="dxa"/>
            </w:tcMar>
            <w:shd w:val="clear" w:fill="F5F5F5"/>
          </w:tcPr>
          <w:p>
            <w:pPr>
              <w:spacing w:after="0" w:line="240" w:lineRule="auto"/>
            </w:pPr>
            <w:r>
              <w:rPr>
                <w:rFonts w:ascii="Source Sans Pro" w:hAnsi="Source Sans Pro" w:cs="Source Sans Pro"/>
                <w:b w:val="0"/>
                <w:i w:val="0"/>
                <w:sz w:val="18"/>
              </w:rPr>
              <w:t>Busca de bases em catálogo aberto; transporte de cargas e infraestrutura rodoviária</w:t>
            </w:r>
          </w:p>
        </w:tc>
      </w:tr>
      <w:tr>
        <w:tc>
          <w:tcPr>
            <w:tcW w:type="dxa" w:w="1474"/>
            <w:tcMar>
              <w:top w:w="60" w:type="dxa"/>
              <w:bottom w:w="60" w:type="dxa"/>
              <w:left w:w="100" w:type="dxa"/>
              <w:right w:w="100" w:type="dxa"/>
            </w:tcMar>
          </w:tcPr>
          <w:p>
            <w:pPr>
              <w:spacing w:after="0" w:line="240" w:lineRule="auto"/>
            </w:pPr>
            <w:r>
              <w:rPr>
                <w:rFonts w:ascii="Source Sans Pro" w:hAnsi="Source Sans Pro" w:cs="Source Sans Pro"/>
                <w:b w:val="0"/>
                <w:i w:val="0"/>
                <w:sz w:val="18"/>
              </w:rPr>
              <w:t>Receita Federal</w:t>
            </w:r>
          </w:p>
        </w:tc>
        <w:tc>
          <w:tcPr>
            <w:tcW w:type="dxa" w:w="2494"/>
            <w:tcMar>
              <w:top w:w="60" w:type="dxa"/>
              <w:bottom w:w="60" w:type="dxa"/>
              <w:left w:w="100" w:type="dxa"/>
              <w:right w:w="100" w:type="dxa"/>
            </w:tcMar>
          </w:tcPr>
          <w:p>
            <w:pPr>
              <w:spacing w:after="0" w:line="240" w:lineRule="auto"/>
            </w:pPr>
            <w:r>
              <w:rPr>
                <w:rFonts w:ascii="Source Sans Pro" w:hAnsi="Source Sans Pro" w:cs="Source Sans Pro"/>
                <w:b w:val="0"/>
                <w:i w:val="0"/>
                <w:sz w:val="18"/>
              </w:rPr>
              <w:t>Base CNPJ: tabelas de municípios e de atividades (CNAE)</w:t>
            </w:r>
          </w:p>
        </w:tc>
        <w:tc>
          <w:tcPr>
            <w:tcW w:type="dxa" w:w="2041"/>
            <w:tcMar>
              <w:top w:w="60" w:type="dxa"/>
              <w:bottom w:w="60" w:type="dxa"/>
              <w:left w:w="100" w:type="dxa"/>
              <w:right w:w="100" w:type="dxa"/>
            </w:tcMar>
          </w:tcPr>
          <w:p>
            <w:pPr>
              <w:spacing w:after="0" w:line="240" w:lineRule="auto"/>
            </w:pPr>
            <w:r>
              <w:rPr>
                <w:rFonts w:ascii="Source Sans Pro" w:hAnsi="Source Sans Pro" w:cs="Source Sans Pro"/>
                <w:b w:val="0"/>
                <w:i w:val="0"/>
                <w:sz w:val="18"/>
              </w:rPr>
              <w:t>Download direto (WebDAV com token público)</w:t>
            </w:r>
          </w:p>
        </w:tc>
        <w:tc>
          <w:tcPr>
            <w:tcW w:type="dxa" w:w="3061"/>
            <w:tcMar>
              <w:top w:w="60" w:type="dxa"/>
              <w:bottom w:w="60" w:type="dxa"/>
              <w:left w:w="100" w:type="dxa"/>
              <w:right w:w="100" w:type="dxa"/>
            </w:tcMar>
          </w:tcPr>
          <w:p>
            <w:pPr>
              <w:spacing w:after="0" w:line="240" w:lineRule="auto"/>
            </w:pPr>
            <w:r>
              <w:rPr>
                <w:rFonts w:ascii="Source Sans Pro" w:hAnsi="Source Sans Pro" w:cs="Source Sans Pro"/>
                <w:b w:val="0"/>
                <w:i w:val="0"/>
                <w:sz w:val="18"/>
              </w:rPr>
              <w:t>Universo de referência para o planejamento de amostras de empresas</w:t>
            </w:r>
          </w:p>
        </w:tc>
      </w:tr>
    </w:tbl>
    <w:p>
      <w:pPr>
        <w:keepNext/>
        <w:spacing w:before="280" w:after="160" w:line="276" w:lineRule="auto"/>
        <w:jc w:val="left"/>
      </w:pPr>
      <w:r>
        <w:rPr>
          <w:rFonts w:ascii="Montserrat" w:hAnsi="Montserrat" w:cs="Montserrat"/>
          <w:b/>
          <w:i w:val="0"/>
          <w:color w:val="8D0333"/>
          <w:sz w:val="28"/>
        </w:rPr>
        <w:t>5 CRONOGRAMA POR ENCONTRO</w:t>
      </w:r>
    </w:p>
    <w:p>
      <w:pPr>
        <w:keepNext/>
        <w:spacing w:before="200" w:after="160" w:line="276" w:lineRule="auto"/>
        <w:jc w:val="left"/>
      </w:pPr>
      <w:r>
        <w:rPr>
          <w:rFonts w:ascii="Montserrat" w:hAnsi="Montserrat" w:cs="Montserrat"/>
          <w:b/>
          <w:i w:val="0"/>
          <w:color w:val="000000"/>
          <w:sz w:val="22"/>
        </w:rPr>
        <w:t>Módulo I – Pesquisa quantitativa, dados e estatística descritiva (encontros 1 a 5)</w:t>
      </w:r>
    </w:p>
    <w:p>
      <w:pPr>
        <w:spacing w:before="0" w:after="160" w:line="276" w:lineRule="auto"/>
        <w:jc w:val="both"/>
      </w:pPr>
      <w:r>
        <w:rPr>
          <w:rFonts w:ascii="Source Sans Pro" w:hAnsi="Source Sans Pro" w:cs="Source Sans Pro"/>
          <w:b/>
          <w:i w:val="0"/>
          <w:color w:val="000000"/>
          <w:sz w:val="22"/>
        </w:rPr>
        <w:t xml:space="preserve">Encontro 1 – </w:t>
      </w:r>
      <w:r>
        <w:rPr>
          <w:rFonts w:ascii="Source Sans Pro" w:hAnsi="Source Sans Pro" w:cs="Source Sans Pro"/>
          <w:b w:val="0"/>
          <w:i w:val="0"/>
          <w:sz w:val="22"/>
        </w:rPr>
        <w:t>Apresentação do programa, do sistema de avaliação, do uso de inteligência artificial e do projeto individual de pesquisa. Introdução à pesquisa quantitativa: ciência e senso comum, características e pressupostos do paradigma quantitativo. Estatística: ler um conjunto de dados (dado e informação, observação e variável, frequência absoluta e relativa, porcentagem e o denominador, razão, proporção e taxa, ponto percentual e número-índice). Prática no Colab: ambientação ao Google Colab, o que é uma API e primeira extração do CEMPRE/IBGE.</w:t>
      </w:r>
    </w:p>
    <w:p>
      <w:pPr>
        <w:spacing w:before="0" w:after="160" w:line="276" w:lineRule="auto"/>
        <w:jc w:val="both"/>
      </w:pPr>
      <w:r>
        <w:rPr>
          <w:rFonts w:ascii="Source Sans Pro" w:hAnsi="Source Sans Pro" w:cs="Source Sans Pro"/>
          <w:b/>
          <w:i w:val="0"/>
          <w:color w:val="000000"/>
          <w:sz w:val="22"/>
        </w:rPr>
        <w:t xml:space="preserve">Encontro 2 – </w:t>
      </w:r>
      <w:r>
        <w:rPr>
          <w:rFonts w:ascii="Source Sans Pro" w:hAnsi="Source Sans Pro" w:cs="Source Sans Pro"/>
          <w:b w:val="0"/>
          <w:i w:val="0"/>
          <w:sz w:val="22"/>
        </w:rPr>
        <w:t>Variáveis, tipos de dado e níveis de mensuração (nominal, ordinal, intervalar e de razão). Estatística: a regra da medida, segundo a qual o nível de mensuração decide a medida de posição, a de dispersão e o gráfico; frequência acumulada em dados ordinais. Prática no Colab: descrição de bases da PAS e da PMC/IBGE.</w:t>
      </w:r>
    </w:p>
    <w:p>
      <w:pPr>
        <w:spacing w:before="0" w:after="160" w:line="276" w:lineRule="auto"/>
        <w:jc w:val="both"/>
      </w:pPr>
      <w:r>
        <w:rPr>
          <w:rFonts w:ascii="Source Sans Pro" w:hAnsi="Source Sans Pro" w:cs="Source Sans Pro"/>
          <w:b/>
          <w:i w:val="0"/>
          <w:color w:val="000000"/>
          <w:sz w:val="22"/>
        </w:rPr>
        <w:t xml:space="preserve">Encontro 3 – </w:t>
      </w:r>
      <w:r>
        <w:rPr>
          <w:rFonts w:ascii="Source Sans Pro" w:hAnsi="Source Sans Pro" w:cs="Source Sans Pro"/>
          <w:b w:val="0"/>
          <w:i w:val="0"/>
          <w:sz w:val="22"/>
        </w:rPr>
        <w:t>Problema, objetivos, hipóteses e matriz de amarração; escolha da base do projeto individual. Estatística: medidas de tendência central (média, média ponderada, mediana e moda) e a escolha da medida pelo nível, pela forma da distribuição e pelos valores extremos. Prática no Colab: séries do Banco Central (SGS) e do Ipeadata e preços de combustíveis da ANP.</w:t>
      </w:r>
    </w:p>
    <w:p>
      <w:pPr>
        <w:spacing w:before="0" w:after="160" w:line="276" w:lineRule="auto"/>
        <w:jc w:val="both"/>
      </w:pPr>
      <w:r>
        <w:rPr>
          <w:rFonts w:ascii="Source Sans Pro" w:hAnsi="Source Sans Pro" w:cs="Source Sans Pro"/>
          <w:b/>
          <w:i w:val="0"/>
          <w:color w:val="000000"/>
          <w:sz w:val="22"/>
        </w:rPr>
        <w:t xml:space="preserve">Encontro 4 – </w:t>
      </w:r>
      <w:r>
        <w:rPr>
          <w:rFonts w:ascii="Source Sans Pro" w:hAnsi="Source Sans Pro" w:cs="Source Sans Pro"/>
          <w:b w:val="0"/>
          <w:i w:val="0"/>
          <w:sz w:val="22"/>
        </w:rPr>
        <w:t>O projeto e a base de dados: mapa de fontes de dados para a Administração, critérios de escolha, qualidade do dado e ética no uso de dados secundários. Estatística: medidas de dispersão (amplitude, variância, desvio padrão, coeficiente de variação e intervalo interquartílico) e forma da distribuição (classes, histograma, quartis, boxplot, escore z e assimetria). Prática no Colab: demonstrações financeiras das companhias abertas (CVM).</w:t>
      </w:r>
    </w:p>
    <w:p>
      <w:pPr>
        <w:spacing w:before="0" w:after="160" w:line="276" w:lineRule="auto"/>
        <w:jc w:val="both"/>
      </w:pPr>
      <w:r>
        <w:rPr>
          <w:rFonts w:ascii="Source Sans Pro" w:hAnsi="Source Sans Pro" w:cs="Source Sans Pro"/>
          <w:b/>
          <w:i w:val="0"/>
          <w:color w:val="000000"/>
          <w:sz w:val="22"/>
        </w:rPr>
        <w:t xml:space="preserve">Encontro 5 – </w:t>
      </w:r>
      <w:r>
        <w:rPr>
          <w:rFonts w:ascii="Source Sans Pro" w:hAnsi="Source Sans Pro" w:cs="Source Sans Pro"/>
          <w:b w:val="0"/>
          <w:i w:val="0"/>
          <w:sz w:val="22"/>
        </w:rPr>
        <w:t>Atividade avaliativa 1 (AV1): estatística descritiva no Colab, em uma parte conceitual e uma parte prática, ambas com consulta livre e registro do uso de inteligência artificial, acompanhada da primeira entrega do projeto individual (tema, questão de pesquisa, objetivo geral, fontes de dados, carga dos dados funcionando por arquivo publicado ou por API, critérios de escolha da fonte e indicação de como a estatística descritiva será usada no projeto).</w:t>
      </w:r>
    </w:p>
    <w:p>
      <w:pPr>
        <w:keepNext/>
        <w:spacing w:before="200" w:after="160" w:line="276" w:lineRule="auto"/>
        <w:jc w:val="left"/>
      </w:pPr>
      <w:r>
        <w:rPr>
          <w:rFonts w:ascii="Montserrat" w:hAnsi="Montserrat" w:cs="Montserrat"/>
          <w:b/>
          <w:i w:val="0"/>
          <w:color w:val="000000"/>
          <w:sz w:val="22"/>
        </w:rPr>
        <w:t>Módulo II – População, amostra e mensuração (encontros 6 a 9)</w:t>
      </w:r>
    </w:p>
    <w:p>
      <w:pPr>
        <w:spacing w:before="0" w:after="160" w:line="276" w:lineRule="auto"/>
        <w:jc w:val="both"/>
      </w:pPr>
      <w:r>
        <w:rPr>
          <w:rFonts w:ascii="Source Sans Pro" w:hAnsi="Source Sans Pro" w:cs="Source Sans Pro"/>
          <w:b/>
          <w:i w:val="0"/>
          <w:color w:val="000000"/>
          <w:sz w:val="22"/>
        </w:rPr>
        <w:t xml:space="preserve">Encontro 6 – </w:t>
      </w:r>
      <w:r>
        <w:rPr>
          <w:rFonts w:ascii="Source Sans Pro" w:hAnsi="Source Sans Pro" w:cs="Source Sans Pro"/>
          <w:b w:val="0"/>
          <w:i w:val="0"/>
          <w:sz w:val="22"/>
        </w:rPr>
        <w:t>Delineamentos de pesquisa: descritivo, correlacional, experimental, quase-experimental e levantamento (survey). População, cadastro, amostra, parâmetro e estatística; amostragem não probabilística e seus vieses. Prática no Colab: sorteio de amostras sobre um cadastro real de postos de combustível (ANP) e medida do erro de amostragem.</w:t>
      </w:r>
    </w:p>
    <w:p>
      <w:pPr>
        <w:spacing w:before="0" w:after="160" w:line="276" w:lineRule="auto"/>
        <w:jc w:val="both"/>
      </w:pPr>
      <w:r>
        <w:rPr>
          <w:rFonts w:ascii="Source Sans Pro" w:hAnsi="Source Sans Pro" w:cs="Source Sans Pro"/>
          <w:b/>
          <w:i w:val="0"/>
          <w:color w:val="000000"/>
          <w:sz w:val="22"/>
        </w:rPr>
        <w:t xml:space="preserve">Encontro 7 – </w:t>
      </w:r>
      <w:r>
        <w:rPr>
          <w:rFonts w:ascii="Source Sans Pro" w:hAnsi="Source Sans Pro" w:cs="Source Sans Pro"/>
          <w:b w:val="0"/>
          <w:i w:val="0"/>
          <w:sz w:val="22"/>
        </w:rPr>
        <w:t>Técnicas probabilísticas de amostragem: aleatória simples, sistemática, estratificada e por conglomerados, escolhidas pelo formato do cadastro. Estatística: distribuição amostral, erro padrão e teorema central do limite, por simulação. Prática no Colab: mil amostras sorteadas do mesmo cadastro.</w:t>
      </w:r>
    </w:p>
    <w:p>
      <w:pPr>
        <w:spacing w:before="0" w:after="160" w:line="276" w:lineRule="auto"/>
        <w:jc w:val="both"/>
      </w:pPr>
      <w:r>
        <w:rPr>
          <w:rFonts w:ascii="Source Sans Pro" w:hAnsi="Source Sans Pro" w:cs="Source Sans Pro"/>
          <w:b/>
          <w:i w:val="0"/>
          <w:color w:val="000000"/>
          <w:sz w:val="22"/>
        </w:rPr>
        <w:t xml:space="preserve">Encontro 8 – </w:t>
      </w:r>
      <w:r>
        <w:rPr>
          <w:rFonts w:ascii="Source Sans Pro" w:hAnsi="Source Sans Pro" w:cs="Source Sans Pro"/>
          <w:b w:val="0"/>
          <w:i w:val="0"/>
          <w:sz w:val="22"/>
        </w:rPr>
        <w:t>Erro de amostragem aleatório e sistemático. Instrumentos de coleta de dados: questionários e escalas (Likert), validade e confiabilidade (alfa de Cronbach). Ética na coleta de dados primários: consentimento livre e esclarecido, Resolução CNS nº 510/2016 e Lei Geral de Proteção de Dados. Estatística: nível de confiança, margem de erro e cálculo do tamanho da amostra a partir do intervalo de confiança. Prática no Colab: simulador de tamanho de amostra.</w:t>
      </w:r>
    </w:p>
    <w:p>
      <w:pPr>
        <w:spacing w:before="0" w:after="160" w:line="276" w:lineRule="auto"/>
        <w:jc w:val="both"/>
      </w:pPr>
      <w:r>
        <w:rPr>
          <w:rFonts w:ascii="Source Sans Pro" w:hAnsi="Source Sans Pro" w:cs="Source Sans Pro"/>
          <w:b/>
          <w:i w:val="0"/>
          <w:color w:val="000000"/>
          <w:sz w:val="22"/>
        </w:rPr>
        <w:t xml:space="preserve">Encontro 9 – </w:t>
      </w:r>
      <w:r>
        <w:rPr>
          <w:rFonts w:ascii="Source Sans Pro" w:hAnsi="Source Sans Pro" w:cs="Source Sans Pro"/>
          <w:b w:val="0"/>
          <w:i w:val="0"/>
          <w:sz w:val="22"/>
        </w:rPr>
        <w:t>Atividade avaliativa 2 (AV2), sobre os Módulos I e II, inteiramente no Colab: descrição completa de uma base de dados, plano de amostragem justificado pelo cadastro e tamanho de amostra calculado, com registro do uso de inteligência artificial.</w:t>
      </w:r>
    </w:p>
    <w:p>
      <w:pPr>
        <w:keepNext/>
        <w:spacing w:before="200" w:after="160" w:line="276" w:lineRule="auto"/>
        <w:jc w:val="left"/>
      </w:pPr>
      <w:r>
        <w:rPr>
          <w:rFonts w:ascii="Montserrat" w:hAnsi="Montserrat" w:cs="Montserrat"/>
          <w:b/>
          <w:i w:val="0"/>
          <w:color w:val="000000"/>
          <w:sz w:val="22"/>
        </w:rPr>
        <w:t>Módulo III – Inferência estatística (encontros 10 a 12)</w:t>
      </w:r>
    </w:p>
    <w:p>
      <w:pPr>
        <w:spacing w:before="0" w:after="160" w:line="276" w:lineRule="auto"/>
        <w:jc w:val="both"/>
      </w:pPr>
      <w:r>
        <w:rPr>
          <w:rFonts w:ascii="Source Sans Pro" w:hAnsi="Source Sans Pro" w:cs="Source Sans Pro"/>
          <w:b/>
          <w:i w:val="0"/>
          <w:color w:val="000000"/>
          <w:sz w:val="22"/>
        </w:rPr>
        <w:t xml:space="preserve">Encontro 10 – </w:t>
      </w:r>
      <w:r>
        <w:rPr>
          <w:rFonts w:ascii="Source Sans Pro" w:hAnsi="Source Sans Pro" w:cs="Source Sans Pro"/>
          <w:b w:val="0"/>
          <w:i w:val="0"/>
          <w:sz w:val="22"/>
        </w:rPr>
        <w:t>Intervalo de confiança para a média e para a proporção, e o que o nível de confiança significa. A lógica do teste de hipóteses: hipóteses nula e alternativa, nível de significância, valor-p e decisão. Prática no Colab: teste t de uma amostra, com a leitura escrita de cada resultado.</w:t>
      </w:r>
    </w:p>
    <w:p>
      <w:pPr>
        <w:spacing w:before="0" w:after="160" w:line="276" w:lineRule="auto"/>
        <w:jc w:val="both"/>
      </w:pPr>
      <w:r>
        <w:rPr>
          <w:rFonts w:ascii="Source Sans Pro" w:hAnsi="Source Sans Pro" w:cs="Source Sans Pro"/>
          <w:b/>
          <w:i w:val="0"/>
          <w:color w:val="000000"/>
          <w:sz w:val="22"/>
        </w:rPr>
        <w:t xml:space="preserve">Encontro 11 – </w:t>
      </w:r>
      <w:r>
        <w:rPr>
          <w:rFonts w:ascii="Source Sans Pro" w:hAnsi="Source Sans Pro" w:cs="Source Sans Pro"/>
          <w:b w:val="0"/>
          <w:i w:val="0"/>
          <w:sz w:val="22"/>
        </w:rPr>
        <w:t>Erros tipo I e II e poder do teste. Testes t para uma amostra, para duas amostras independentes e para amostras pareadas; teste qui-quadrado de independência e de aderência; fluxograma de escolha do teste. Prática no Colab com dados da ANP e da CVM.</w:t>
      </w:r>
    </w:p>
    <w:p>
      <w:pPr>
        <w:spacing w:before="0" w:after="160" w:line="276" w:lineRule="auto"/>
        <w:jc w:val="both"/>
      </w:pPr>
      <w:r>
        <w:rPr>
          <w:rFonts w:ascii="Source Sans Pro" w:hAnsi="Source Sans Pro" w:cs="Source Sans Pro"/>
          <w:b/>
          <w:i w:val="0"/>
          <w:color w:val="000000"/>
          <w:sz w:val="22"/>
        </w:rPr>
        <w:t xml:space="preserve">Encontro 12 – </w:t>
      </w:r>
      <w:r>
        <w:rPr>
          <w:rFonts w:ascii="Source Sans Pro" w:hAnsi="Source Sans Pro" w:cs="Source Sans Pro"/>
          <w:b w:val="0"/>
          <w:i w:val="0"/>
          <w:sz w:val="22"/>
        </w:rPr>
        <w:t>Análise de variância (ANOVA) de um fator; testes não paramétricos (Mann-Whitney, Wilcoxon e Kruskal-Wallis) e as situações em que o teste paramétrico não cabe; revisão do módulo. Prática no Colab guiada no projeto individual.</w:t>
      </w:r>
    </w:p>
    <w:p>
      <w:pPr>
        <w:keepNext/>
        <w:spacing w:before="200" w:after="160" w:line="276" w:lineRule="auto"/>
        <w:jc w:val="left"/>
      </w:pPr>
      <w:r>
        <w:rPr>
          <w:rFonts w:ascii="Montserrat" w:hAnsi="Montserrat" w:cs="Montserrat"/>
          <w:b/>
          <w:i w:val="0"/>
          <w:color w:val="000000"/>
          <w:sz w:val="22"/>
        </w:rPr>
        <w:t>Módulo IV – Associação, modelagem e comunicação (encontros 13 a 15)</w:t>
      </w:r>
    </w:p>
    <w:p>
      <w:pPr>
        <w:spacing w:before="0" w:after="160" w:line="276" w:lineRule="auto"/>
        <w:jc w:val="both"/>
      </w:pPr>
      <w:r>
        <w:rPr>
          <w:rFonts w:ascii="Source Sans Pro" w:hAnsi="Source Sans Pro" w:cs="Source Sans Pro"/>
          <w:b/>
          <w:i w:val="0"/>
          <w:color w:val="000000"/>
          <w:sz w:val="22"/>
        </w:rPr>
        <w:t xml:space="preserve">Encontro 13 – </w:t>
      </w:r>
      <w:r>
        <w:rPr>
          <w:rFonts w:ascii="Source Sans Pro" w:hAnsi="Source Sans Pro" w:cs="Source Sans Pro"/>
          <w:b w:val="0"/>
          <w:i w:val="0"/>
          <w:sz w:val="22"/>
        </w:rPr>
        <w:t>Correlação (coeficientes de Pearson e de Spearman) e os seus limites quanto à causalidade. Regressão linear simples e múltipla: coeficientes, coeficiente de determinação e resíduos. Regressão logística: log-odds, razão de chances e probabilidade prevista. Prática no Colab: ajuste de modelos sobre dados da CVM e sobre a base do projeto individual.</w:t>
      </w:r>
    </w:p>
    <w:p>
      <w:pPr>
        <w:spacing w:before="0" w:after="160" w:line="276" w:lineRule="auto"/>
        <w:jc w:val="both"/>
      </w:pPr>
      <w:r>
        <w:rPr>
          <w:rFonts w:ascii="Source Sans Pro" w:hAnsi="Source Sans Pro" w:cs="Source Sans Pro"/>
          <w:b/>
          <w:i w:val="0"/>
          <w:color w:val="000000"/>
          <w:sz w:val="22"/>
        </w:rPr>
        <w:t xml:space="preserve">Encontro 14 – </w:t>
      </w:r>
      <w:r>
        <w:rPr>
          <w:rFonts w:ascii="Source Sans Pro" w:hAnsi="Source Sans Pro" w:cs="Source Sans Pro"/>
          <w:b w:val="0"/>
          <w:i w:val="0"/>
          <w:sz w:val="22"/>
        </w:rPr>
        <w:t>Interpretação e comunicação de resultados: estrutura do relatório de pesquisa quantitativa, correspondência entre a pergunta, a estatística e a frase de resultado, e leitura crítica de resultados publicados. Atividade avaliativa 3 (AV3): relatório final, notebook reprodutível e apresentação sintética do projeto individual.</w:t>
      </w:r>
    </w:p>
    <w:p>
      <w:pPr>
        <w:spacing w:before="0" w:after="160" w:line="276" w:lineRule="auto"/>
        <w:jc w:val="both"/>
      </w:pPr>
      <w:r>
        <w:rPr>
          <w:rFonts w:ascii="Source Sans Pro" w:hAnsi="Source Sans Pro" w:cs="Source Sans Pro"/>
          <w:b/>
          <w:i w:val="0"/>
          <w:color w:val="000000"/>
          <w:sz w:val="22"/>
        </w:rPr>
        <w:t xml:space="preserve">Encontro 15 – </w:t>
      </w:r>
      <w:r>
        <w:rPr>
          <w:rFonts w:ascii="Source Sans Pro" w:hAnsi="Source Sans Pro" w:cs="Source Sans Pro"/>
          <w:b w:val="0"/>
          <w:i w:val="0"/>
          <w:sz w:val="22"/>
        </w:rPr>
        <w:t>Prova final, destinada aos estudantes que não obtiverem a média necessária para aprovação direta, conforme as normas acadêmicas da UFMA, abrangendo todo o conteúdo da disciplina e realizada integralmente no notebook do Colab, em duas partes: a Parte A, conceitual e de estatística, respondida sem consulta em células de texto do próprio notebook, e a Parte B, prática, com descritivas, gráfico, intervalo de confiança, teste de hipóteses e regressão sobre base real, com consulta permitida e registro do uso de inteligência artificial. Cada resultado exige a leitura em linguagem corrente.</w:t>
      </w:r>
    </w:p>
    <w:p>
      <w:pPr>
        <w:keepNext/>
        <w:spacing w:before="280" w:after="160" w:line="276" w:lineRule="auto"/>
        <w:jc w:val="left"/>
      </w:pPr>
      <w:r>
        <w:rPr>
          <w:rFonts w:ascii="Montserrat" w:hAnsi="Montserrat" w:cs="Montserrat"/>
          <w:b/>
          <w:i w:val="0"/>
          <w:color w:val="8D0333"/>
          <w:sz w:val="28"/>
        </w:rPr>
        <w:t>6 SISTEMA DE AVALIAÇÃO</w:t>
      </w:r>
    </w:p>
    <w:p>
      <w:pPr>
        <w:spacing w:before="0" w:after="160" w:line="276" w:lineRule="auto"/>
        <w:ind w:firstLine="709"/>
        <w:jc w:val="both"/>
      </w:pPr>
      <w:r>
        <w:rPr>
          <w:rFonts w:ascii="Source Sans Pro" w:hAnsi="Source Sans Pro" w:cs="Source Sans Pro"/>
          <w:b w:val="0"/>
          <w:i w:val="0"/>
          <w:sz w:val="22"/>
        </w:rPr>
        <w:t>A nota semestral corresponde à média aritmética das três atividades avaliativas, todas individuais e realizadas no Google Colab: a AV1, de estatística descritiva, com a primeira entrega do projeto (encontro 5); a AV2, sobre os Módulos I e II, com a descrição de uma base e um plano de amostragem (encontro 9); e a AV3, o projeto individual de pesquisa, composto pelo relatório final, pelo notebook reprodutível e pela apresentação sintética (encontro 14). A entrega dos notebooks das atividades práticas semanais, embora não pontuada isoladamente, integra o acompanhamento formativo e compõe critério de participação. O uso de inteligência artificial é registrado em célula própria; o registro não desconta pontos, e a sua omissão constitui falta de honestidade acadêmica. O estudante que não alcançar a média exigida para aprovação direta realizará a prova final no 15º encontro, nos termos das normas de avaliação de desempenho acadêmico vigentes na UFMA. A frequência mínima obrigatória é de 75% da carga horária.</w:t>
      </w:r>
    </w:p>
    <w:p>
      <w:pPr>
        <w:keepNext/>
        <w:spacing w:before="280" w:after="160" w:line="276" w:lineRule="auto"/>
        <w:jc w:val="left"/>
      </w:pPr>
      <w:r>
        <w:rPr>
          <w:rFonts w:ascii="Montserrat" w:hAnsi="Montserrat" w:cs="Montserrat"/>
          <w:b/>
          <w:i w:val="0"/>
          <w:color w:val="8D0333"/>
          <w:sz w:val="28"/>
        </w:rPr>
        <w:t>7 BIBLIOGRAFIA</w:t>
      </w:r>
    </w:p>
    <w:p>
      <w:pPr>
        <w:keepNext/>
        <w:spacing w:before="200" w:after="160" w:line="276" w:lineRule="auto"/>
        <w:jc w:val="left"/>
      </w:pPr>
      <w:r>
        <w:rPr>
          <w:rFonts w:ascii="Montserrat" w:hAnsi="Montserrat" w:cs="Montserrat"/>
          <w:b/>
          <w:i w:val="0"/>
          <w:color w:val="8D0333"/>
          <w:sz w:val="24"/>
        </w:rPr>
        <w:t>7.1 Básica</w:t>
      </w:r>
    </w:p>
    <w:p>
      <w:pPr>
        <w:spacing w:before="0" w:after="120" w:line="276" w:lineRule="auto"/>
        <w:jc w:val="left"/>
      </w:pPr>
      <w:r>
        <w:rPr>
          <w:rFonts w:ascii="Source Sans Pro" w:hAnsi="Source Sans Pro" w:cs="Source Sans Pro"/>
          <w:b w:val="0"/>
          <w:i w:val="0"/>
          <w:sz w:val="22"/>
        </w:rPr>
        <w:t xml:space="preserve">GIL, Antonio Carlos. </w:t>
      </w:r>
      <w:r>
        <w:rPr>
          <w:rFonts w:ascii="Source Sans Pro" w:hAnsi="Source Sans Pro" w:cs="Source Sans Pro"/>
          <w:b w:val="0"/>
          <w:i/>
          <w:sz w:val="22"/>
        </w:rPr>
        <w:t>Como elaborar projetos de pesquisa</w:t>
      </w:r>
      <w:r>
        <w:rPr>
          <w:rFonts w:ascii="Source Sans Pro" w:hAnsi="Source Sans Pro" w:cs="Source Sans Pro"/>
          <w:b w:val="0"/>
          <w:i w:val="0"/>
          <w:sz w:val="22"/>
        </w:rPr>
        <w:t>. 7. ed. Barueri: Atlas, 2022.</w:t>
      </w:r>
    </w:p>
    <w:p>
      <w:pPr>
        <w:spacing w:before="0" w:after="120" w:line="276" w:lineRule="auto"/>
        <w:jc w:val="left"/>
      </w:pPr>
      <w:r>
        <w:rPr>
          <w:rFonts w:ascii="Source Sans Pro" w:hAnsi="Source Sans Pro" w:cs="Source Sans Pro"/>
          <w:b w:val="0"/>
          <w:i w:val="0"/>
          <w:sz w:val="22"/>
        </w:rPr>
        <w:t xml:space="preserve">GIL, Antonio Carlos. </w:t>
      </w:r>
      <w:r>
        <w:rPr>
          <w:rFonts w:ascii="Source Sans Pro" w:hAnsi="Source Sans Pro" w:cs="Source Sans Pro"/>
          <w:b w:val="0"/>
          <w:i/>
          <w:sz w:val="22"/>
        </w:rPr>
        <w:t>Métodos e técnicas de pesquisa social</w:t>
      </w:r>
      <w:r>
        <w:rPr>
          <w:rFonts w:ascii="Source Sans Pro" w:hAnsi="Source Sans Pro" w:cs="Source Sans Pro"/>
          <w:b w:val="0"/>
          <w:i w:val="0"/>
          <w:sz w:val="22"/>
        </w:rPr>
        <w:t>. 7. ed. São Paulo: Atlas, 2019.</w:t>
      </w:r>
    </w:p>
    <w:p>
      <w:pPr>
        <w:spacing w:before="0" w:after="120" w:line="276" w:lineRule="auto"/>
        <w:jc w:val="left"/>
      </w:pPr>
      <w:r>
        <w:rPr>
          <w:rFonts w:ascii="Source Sans Pro" w:hAnsi="Source Sans Pro" w:cs="Source Sans Pro"/>
          <w:b w:val="0"/>
          <w:i w:val="0"/>
          <w:sz w:val="22"/>
        </w:rPr>
        <w:t xml:space="preserve">HAIR JR., Joseph F. et al. </w:t>
      </w:r>
      <w:r>
        <w:rPr>
          <w:rFonts w:ascii="Source Sans Pro" w:hAnsi="Source Sans Pro" w:cs="Source Sans Pro"/>
          <w:b w:val="0"/>
          <w:i/>
          <w:sz w:val="22"/>
        </w:rPr>
        <w:t>Fundamentos de métodos de pesquisa em administração</w:t>
      </w:r>
      <w:r>
        <w:rPr>
          <w:rFonts w:ascii="Source Sans Pro" w:hAnsi="Source Sans Pro" w:cs="Source Sans Pro"/>
          <w:b w:val="0"/>
          <w:i w:val="0"/>
          <w:sz w:val="22"/>
        </w:rPr>
        <w:t>. Porto Alegre: Bookman, 2005.</w:t>
      </w:r>
    </w:p>
    <w:p>
      <w:pPr>
        <w:spacing w:before="0" w:after="120" w:line="276" w:lineRule="auto"/>
        <w:jc w:val="left"/>
      </w:pPr>
      <w:r>
        <w:rPr>
          <w:rFonts w:ascii="Source Sans Pro" w:hAnsi="Source Sans Pro" w:cs="Source Sans Pro"/>
          <w:b w:val="0"/>
          <w:i w:val="0"/>
          <w:sz w:val="22"/>
        </w:rPr>
        <w:t xml:space="preserve">RICHARDSON, Roberto Jarry. </w:t>
      </w:r>
      <w:r>
        <w:rPr>
          <w:rFonts w:ascii="Source Sans Pro" w:hAnsi="Source Sans Pro" w:cs="Source Sans Pro"/>
          <w:b w:val="0"/>
          <w:i/>
          <w:sz w:val="22"/>
        </w:rPr>
        <w:t>Pesquisa social: métodos e técnicas</w:t>
      </w:r>
      <w:r>
        <w:rPr>
          <w:rFonts w:ascii="Source Sans Pro" w:hAnsi="Source Sans Pro" w:cs="Source Sans Pro"/>
          <w:b w:val="0"/>
          <w:i w:val="0"/>
          <w:sz w:val="22"/>
        </w:rPr>
        <w:t>. 4. ed. São Paulo: Atlas, 2017.</w:t>
      </w:r>
    </w:p>
    <w:p>
      <w:pPr>
        <w:keepNext/>
        <w:spacing w:before="200" w:after="160" w:line="276" w:lineRule="auto"/>
        <w:jc w:val="left"/>
      </w:pPr>
      <w:r>
        <w:rPr>
          <w:rFonts w:ascii="Montserrat" w:hAnsi="Montserrat" w:cs="Montserrat"/>
          <w:b/>
          <w:i w:val="0"/>
          <w:color w:val="8D0333"/>
          <w:sz w:val="24"/>
        </w:rPr>
        <w:t>7.2 Complementar</w:t>
      </w:r>
    </w:p>
    <w:p>
      <w:pPr>
        <w:spacing w:before="0" w:after="120" w:line="276" w:lineRule="auto"/>
        <w:jc w:val="left"/>
      </w:pPr>
      <w:r>
        <w:rPr>
          <w:rFonts w:ascii="Source Sans Pro" w:hAnsi="Source Sans Pro" w:cs="Source Sans Pro"/>
          <w:b w:val="0"/>
          <w:i w:val="0"/>
          <w:sz w:val="22"/>
        </w:rPr>
        <w:t xml:space="preserve">ANDERSON, David R.; SWEENEY, Dennis J.; WILLIAMS, Thomas A. </w:t>
      </w:r>
      <w:r>
        <w:rPr>
          <w:rFonts w:ascii="Source Sans Pro" w:hAnsi="Source Sans Pro" w:cs="Source Sans Pro"/>
          <w:b w:val="0"/>
          <w:i/>
          <w:sz w:val="22"/>
        </w:rPr>
        <w:t>Estatística aplicada à administração e economia</w:t>
      </w:r>
      <w:r>
        <w:rPr>
          <w:rFonts w:ascii="Source Sans Pro" w:hAnsi="Source Sans Pro" w:cs="Source Sans Pro"/>
          <w:b w:val="0"/>
          <w:i w:val="0"/>
          <w:sz w:val="22"/>
        </w:rPr>
        <w:t>. 3. ed. São Paulo: Cengage Learning, 2013.</w:t>
      </w:r>
    </w:p>
    <w:p>
      <w:pPr>
        <w:spacing w:before="0" w:after="120" w:line="276" w:lineRule="auto"/>
        <w:jc w:val="left"/>
      </w:pPr>
      <w:r>
        <w:rPr>
          <w:rFonts w:ascii="Source Sans Pro" w:hAnsi="Source Sans Pro" w:cs="Source Sans Pro"/>
          <w:b w:val="0"/>
          <w:i w:val="0"/>
          <w:sz w:val="22"/>
        </w:rPr>
        <w:t xml:space="preserve">BABBIE, Earl. </w:t>
      </w:r>
      <w:r>
        <w:rPr>
          <w:rFonts w:ascii="Source Sans Pro" w:hAnsi="Source Sans Pro" w:cs="Source Sans Pro"/>
          <w:b w:val="0"/>
          <w:i/>
          <w:sz w:val="22"/>
        </w:rPr>
        <w:t>Métodos de pesquisa de survey</w:t>
      </w:r>
      <w:r>
        <w:rPr>
          <w:rFonts w:ascii="Source Sans Pro" w:hAnsi="Source Sans Pro" w:cs="Source Sans Pro"/>
          <w:b w:val="0"/>
          <w:i w:val="0"/>
          <w:sz w:val="22"/>
        </w:rPr>
        <w:t>. Belo Horizonte: Editora UFMG, 1999.</w:t>
      </w:r>
    </w:p>
    <w:p>
      <w:pPr>
        <w:spacing w:before="0" w:after="120" w:line="276" w:lineRule="auto"/>
        <w:jc w:val="left"/>
      </w:pPr>
      <w:r>
        <w:rPr>
          <w:rFonts w:ascii="Source Sans Pro" w:hAnsi="Source Sans Pro" w:cs="Source Sans Pro"/>
          <w:b w:val="0"/>
          <w:i w:val="0"/>
          <w:sz w:val="22"/>
        </w:rPr>
        <w:t xml:space="preserve">BLUMAN, Allan G. </w:t>
      </w:r>
      <w:r>
        <w:rPr>
          <w:rFonts w:ascii="Source Sans Pro" w:hAnsi="Source Sans Pro" w:cs="Source Sans Pro"/>
          <w:b w:val="0"/>
          <w:i/>
          <w:sz w:val="22"/>
        </w:rPr>
        <w:t>Elementary statistics: a step by step approach</w:t>
      </w:r>
      <w:r>
        <w:rPr>
          <w:rFonts w:ascii="Source Sans Pro" w:hAnsi="Source Sans Pro" w:cs="Source Sans Pro"/>
          <w:b w:val="0"/>
          <w:i w:val="0"/>
          <w:sz w:val="22"/>
        </w:rPr>
        <w:t>. 8. ed. New York: McGraw-Hill, 2012.</w:t>
      </w:r>
    </w:p>
    <w:p>
      <w:pPr>
        <w:spacing w:before="0" w:after="120" w:line="276" w:lineRule="auto"/>
        <w:jc w:val="left"/>
      </w:pPr>
      <w:r>
        <w:rPr>
          <w:rFonts w:ascii="Source Sans Pro" w:hAnsi="Source Sans Pro" w:cs="Source Sans Pro"/>
          <w:b w:val="0"/>
          <w:i w:val="0"/>
          <w:sz w:val="22"/>
        </w:rPr>
        <w:t xml:space="preserve">COOPER, Donald R.; SCHINDLER, Pamela S. </w:t>
      </w:r>
      <w:r>
        <w:rPr>
          <w:rFonts w:ascii="Source Sans Pro" w:hAnsi="Source Sans Pro" w:cs="Source Sans Pro"/>
          <w:b w:val="0"/>
          <w:i/>
          <w:sz w:val="22"/>
        </w:rPr>
        <w:t>Métodos de pesquisa em administração</w:t>
      </w:r>
      <w:r>
        <w:rPr>
          <w:rFonts w:ascii="Source Sans Pro" w:hAnsi="Source Sans Pro" w:cs="Source Sans Pro"/>
          <w:b w:val="0"/>
          <w:i w:val="0"/>
          <w:sz w:val="22"/>
        </w:rPr>
        <w:t>. 12. ed. Porto Alegre: AMGH, 2016.</w:t>
      </w:r>
    </w:p>
    <w:p>
      <w:pPr>
        <w:spacing w:before="0" w:after="120" w:line="276" w:lineRule="auto"/>
        <w:jc w:val="left"/>
      </w:pPr>
      <w:r>
        <w:rPr>
          <w:rFonts w:ascii="Source Sans Pro" w:hAnsi="Source Sans Pro" w:cs="Source Sans Pro"/>
          <w:b w:val="0"/>
          <w:i w:val="0"/>
          <w:sz w:val="22"/>
        </w:rPr>
        <w:t xml:space="preserve">FÁVERO, Luiz Paulo; BELFIORE, Patrícia. </w:t>
      </w:r>
      <w:r>
        <w:rPr>
          <w:rFonts w:ascii="Source Sans Pro" w:hAnsi="Source Sans Pro" w:cs="Source Sans Pro"/>
          <w:b w:val="0"/>
          <w:i/>
          <w:sz w:val="22"/>
        </w:rPr>
        <w:t>Manual de análise de dados: estatística e modelagem multivariada com Excel, SPSS e Stata</w:t>
      </w:r>
      <w:r>
        <w:rPr>
          <w:rFonts w:ascii="Source Sans Pro" w:hAnsi="Source Sans Pro" w:cs="Source Sans Pro"/>
          <w:b w:val="0"/>
          <w:i w:val="0"/>
          <w:sz w:val="22"/>
        </w:rPr>
        <w:t>. Rio de Janeiro: Elsevier, 2017.</w:t>
      </w:r>
    </w:p>
    <w:p>
      <w:pPr>
        <w:spacing w:before="0" w:after="120" w:line="276" w:lineRule="auto"/>
        <w:jc w:val="left"/>
      </w:pPr>
      <w:r>
        <w:rPr>
          <w:rFonts w:ascii="Source Sans Pro" w:hAnsi="Source Sans Pro" w:cs="Source Sans Pro"/>
          <w:b w:val="0"/>
          <w:i w:val="0"/>
          <w:sz w:val="22"/>
        </w:rPr>
        <w:t xml:space="preserve">GRUS, Joel. </w:t>
      </w:r>
      <w:r>
        <w:rPr>
          <w:rFonts w:ascii="Source Sans Pro" w:hAnsi="Source Sans Pro" w:cs="Source Sans Pro"/>
          <w:b w:val="0"/>
          <w:i/>
          <w:sz w:val="22"/>
        </w:rPr>
        <w:t>Data science do zero: noções fundamentais com Python</w:t>
      </w:r>
      <w:r>
        <w:rPr>
          <w:rFonts w:ascii="Source Sans Pro" w:hAnsi="Source Sans Pro" w:cs="Source Sans Pro"/>
          <w:b w:val="0"/>
          <w:i w:val="0"/>
          <w:sz w:val="22"/>
        </w:rPr>
        <w:t>. 2. ed. Rio de Janeiro: Alta Books, 2021.</w:t>
      </w:r>
    </w:p>
    <w:p>
      <w:pPr>
        <w:spacing w:before="0" w:after="120" w:line="276" w:lineRule="auto"/>
        <w:jc w:val="left"/>
      </w:pPr>
      <w:r>
        <w:rPr>
          <w:rFonts w:ascii="Source Sans Pro" w:hAnsi="Source Sans Pro" w:cs="Source Sans Pro"/>
          <w:b w:val="0"/>
          <w:i w:val="0"/>
          <w:sz w:val="22"/>
        </w:rPr>
        <w:t xml:space="preserve">LAVILLE, Christian; DIONNE, Jean. </w:t>
      </w:r>
      <w:r>
        <w:rPr>
          <w:rFonts w:ascii="Source Sans Pro" w:hAnsi="Source Sans Pro" w:cs="Source Sans Pro"/>
          <w:b w:val="0"/>
          <w:i/>
          <w:sz w:val="22"/>
        </w:rPr>
        <w:t>A construção do saber: manual de metodologia da pesquisa em ciências humanas</w:t>
      </w:r>
      <w:r>
        <w:rPr>
          <w:rFonts w:ascii="Source Sans Pro" w:hAnsi="Source Sans Pro" w:cs="Source Sans Pro"/>
          <w:b w:val="0"/>
          <w:i w:val="0"/>
          <w:sz w:val="22"/>
        </w:rPr>
        <w:t>. Porto Alegre: Artmed, 1999.</w:t>
      </w:r>
    </w:p>
    <w:p>
      <w:pPr>
        <w:spacing w:before="0" w:after="120" w:line="276" w:lineRule="auto"/>
        <w:jc w:val="left"/>
      </w:pPr>
      <w:r>
        <w:rPr>
          <w:rFonts w:ascii="Source Sans Pro" w:hAnsi="Source Sans Pro" w:cs="Source Sans Pro"/>
          <w:b w:val="0"/>
          <w:i w:val="0"/>
          <w:sz w:val="22"/>
        </w:rPr>
        <w:t xml:space="preserve">MCKINNEY, Wes. </w:t>
      </w:r>
      <w:r>
        <w:rPr>
          <w:rFonts w:ascii="Source Sans Pro" w:hAnsi="Source Sans Pro" w:cs="Source Sans Pro"/>
          <w:b w:val="0"/>
          <w:i/>
          <w:sz w:val="22"/>
        </w:rPr>
        <w:t>Python para análise de dados: tratamento de dados com pandas, NumPy e Jupyter</w:t>
      </w:r>
      <w:r>
        <w:rPr>
          <w:rFonts w:ascii="Source Sans Pro" w:hAnsi="Source Sans Pro" w:cs="Source Sans Pro"/>
          <w:b w:val="0"/>
          <w:i w:val="0"/>
          <w:sz w:val="22"/>
        </w:rPr>
        <w:t>. 3. ed. São Paulo: Novatec, 2023.</w:t>
      </w:r>
    </w:p>
    <w:p>
      <w:pPr>
        <w:spacing w:before="0" w:after="120" w:line="276" w:lineRule="auto"/>
        <w:jc w:val="left"/>
      </w:pPr>
      <w:r>
        <w:rPr>
          <w:rFonts w:ascii="Source Sans Pro" w:hAnsi="Source Sans Pro" w:cs="Source Sans Pro"/>
          <w:b w:val="0"/>
          <w:i w:val="0"/>
          <w:sz w:val="22"/>
        </w:rPr>
        <w:t xml:space="preserve">PINTO, Suzi Samá; SILVA, Carla Silva da. </w:t>
      </w:r>
      <w:r>
        <w:rPr>
          <w:rFonts w:ascii="Source Sans Pro" w:hAnsi="Source Sans Pro" w:cs="Source Sans Pro"/>
          <w:b w:val="0"/>
          <w:i/>
          <w:sz w:val="22"/>
        </w:rPr>
        <w:t>Estatística: volume I</w:t>
      </w:r>
      <w:r>
        <w:rPr>
          <w:rFonts w:ascii="Source Sans Pro" w:hAnsi="Source Sans Pro" w:cs="Source Sans Pro"/>
          <w:b w:val="0"/>
          <w:i w:val="0"/>
          <w:sz w:val="22"/>
        </w:rPr>
        <w:t>. Rio Grande: Editora da FURG, 2020.</w:t>
      </w:r>
    </w:p>
    <w:p>
      <w:pPr>
        <w:spacing w:before="0" w:after="120" w:line="276" w:lineRule="auto"/>
        <w:jc w:val="left"/>
      </w:pPr>
      <w:r>
        <w:rPr>
          <w:rFonts w:ascii="Source Sans Pro" w:hAnsi="Source Sans Pro" w:cs="Source Sans Pro"/>
          <w:b w:val="0"/>
          <w:i w:val="0"/>
          <w:sz w:val="22"/>
        </w:rPr>
        <w:t xml:space="preserve">SILVA, Carla Silva da; SAMÁ, Suzi. </w:t>
      </w:r>
      <w:r>
        <w:rPr>
          <w:rFonts w:ascii="Source Sans Pro" w:hAnsi="Source Sans Pro" w:cs="Source Sans Pro"/>
          <w:b w:val="0"/>
          <w:i/>
          <w:sz w:val="22"/>
        </w:rPr>
        <w:t>Estatística: volume II</w:t>
      </w:r>
      <w:r>
        <w:rPr>
          <w:rFonts w:ascii="Source Sans Pro" w:hAnsi="Source Sans Pro" w:cs="Source Sans Pro"/>
          <w:b w:val="0"/>
          <w:i w:val="0"/>
          <w:sz w:val="22"/>
        </w:rPr>
        <w:t>. Rio Grande: Editora da FURG, 2021.</w:t>
      </w:r>
    </w:p>
    <w:p>
      <w:pPr>
        <w:spacing w:before="0" w:after="120" w:line="276" w:lineRule="auto"/>
        <w:jc w:val="left"/>
      </w:pPr>
      <w:r>
        <w:rPr>
          <w:rFonts w:ascii="Source Sans Pro" w:hAnsi="Source Sans Pro" w:cs="Source Sans Pro"/>
          <w:b w:val="0"/>
          <w:i w:val="0"/>
          <w:sz w:val="22"/>
        </w:rPr>
        <w:t xml:space="preserve">VIEIRA, Sonia. </w:t>
      </w:r>
      <w:r>
        <w:rPr>
          <w:rFonts w:ascii="Source Sans Pro" w:hAnsi="Source Sans Pro" w:cs="Source Sans Pro"/>
          <w:b w:val="0"/>
          <w:i/>
          <w:sz w:val="22"/>
        </w:rPr>
        <w:t>Elementos de estatística</w:t>
      </w:r>
      <w:r>
        <w:rPr>
          <w:rFonts w:ascii="Source Sans Pro" w:hAnsi="Source Sans Pro" w:cs="Source Sans Pro"/>
          <w:b w:val="0"/>
          <w:i w:val="0"/>
          <w:sz w:val="22"/>
        </w:rPr>
        <w:t>. 4. ed. São Paulo: Atlas, 2003.</w:t>
      </w:r>
    </w:p>
    <w:sectPr w:rsidR="00FC693F" w:rsidRPr="0006063C" w:rsidSect="00034616">
      <w:headerReference w:type="default" r:id="rId9"/>
      <w:footerReference w:type="default" r:id="rId10"/>
      <w:pgSz w:w="11906" w:h="16838"/>
      <w:pgMar w:top="1701" w:right="1134" w:bottom="1134" w:left="170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Source Sans Pro" w:hAnsi="Source Sans Pro" w:cs="Source Sans Pro"/>
        <w:b w:val="0"/>
        <w:i w:val="0"/>
        <w:sz w:val="16"/>
      </w:rPr>
      <w:t>Cidade Universitária Dom Delgado – Av. dos Portugueses, 1966, Bacanga, São Luís – MA, CEP 65080-805</w:t>
    </w:r>
  </w:p>
  <w:p>
    <w:pPr>
      <w:spacing w:line="240" w:lineRule="auto"/>
      <w:jc w:val="center"/>
    </w:pPr>
    <w:r>
      <w:rPr>
        <w:rFonts w:ascii="Montserrat" w:hAnsi="Montserrat" w:cs="Montserrat"/>
        <w:b/>
        <w:i w:val="0"/>
        <w:color w:val="8D0333"/>
        <w:sz w:val="14"/>
      </w:rPr>
      <w:t>SEMPRE+ QUALIDADE INOVAÇÃO INCLUSÃO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logo-ufma.png"/>
                  <pic:cNvPicPr/>
                </pic:nvPicPr>
                <pic:blipFill>
                  <a:blip r:embed="rId1"/>
                  <a:stretch>
                    <a:fillRect/>
                  </a:stretch>
                </pic:blipFill>
                <pic:spPr>
                  <a:xfrm>
                    <a:off x="0" y="0"/>
                    <a:ext cx="720000" cy="720000"/>
                  </a:xfrm>
                  <a:prstGeom prst="rect"/>
                </pic:spPr>
              </pic:pic>
            </a:graphicData>
          </a:graphic>
        </wp:inline>
      </w:drawing>
    </w:r>
  </w:p>
  <w:p>
    <w:pPr>
      <w:spacing w:before="0" w:after="40" w:line="240" w:lineRule="auto"/>
      <w:jc w:val="center"/>
    </w:pPr>
    <w:r>
      <w:rPr>
        <w:rFonts w:ascii="Montserrat" w:hAnsi="Montserrat" w:cs="Montserrat"/>
        <w:b w:val="0"/>
        <w:i w:val="0"/>
        <w:sz w:val="18"/>
      </w:rPr>
      <w:t>Ministério da Educação</w:t>
    </w:r>
  </w:p>
  <w:p>
    <w:pPr>
      <w:spacing w:before="0" w:after="40" w:line="240" w:lineRule="auto"/>
      <w:jc w:val="center"/>
    </w:pPr>
    <w:r>
      <w:rPr>
        <w:rFonts w:ascii="Montserrat" w:hAnsi="Montserrat" w:cs="Montserrat"/>
        <w:b/>
        <w:i w:val="0"/>
        <w:sz w:val="28"/>
      </w:rPr>
      <w:t>UNIVERSIDADE FEDERAL DO MARANHÃO</w:t>
    </w:r>
  </w:p>
  <w:p>
    <w:pPr>
      <w:spacing w:before="0" w:after="40" w:line="240" w:lineRule="auto"/>
      <w:jc w:val="center"/>
    </w:pPr>
    <w:r>
      <w:rPr>
        <w:rFonts w:ascii="Montserrat" w:hAnsi="Montserrat" w:cs="Montserrat"/>
        <w:b w:val="0"/>
        <w:i w:val="0"/>
        <w:sz w:val="18"/>
      </w:rPr>
      <w:t>CENTRO DE CIÊNCIAS SOCIAIS</w:t>
    </w:r>
  </w:p>
  <w:p>
    <w:pPr>
      <w:spacing w:before="0" w:after="40" w:line="240" w:lineRule="auto"/>
      <w:jc w:val="center"/>
    </w:pPr>
    <w:r>
      <w:rPr>
        <w:rFonts w:ascii="Montserrat" w:hAnsi="Montserrat" w:cs="Montserrat"/>
        <w:b w:val="0"/>
        <w:i w:val="0"/>
        <w:sz w:val="18"/>
      </w:rPr>
      <w:t>CURSO DE ADMINISTRAÇÃO</w:t>
    </w:r>
  </w:p>
  <w:p>
    <w:pPr>
      <w:spacing w:before="0" w:after="120" w:line="240" w:lineRule="auto"/>
      <w:jc w:val="center"/>
    </w:pPr>
    <w:r>
      <w:rPr>
        <w:rFonts w:ascii="Montserrat" w:hAnsi="Montserrat" w:cs="Montserrat"/>
        <w:b w:val="0"/>
        <w:i w:val="0"/>
        <w:sz w:val="18"/>
      </w:rPr>
      <w:t>Docente: Prof. Dr. Tadeu Gomes Teixeira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