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IBM Sample Report 2024</w:t>
      </w:r>
    </w:p>
    <w:p>
      <w:r>
        <w:t>This document contains company overview, revenue data, and AI strategy.</w:t>
      </w:r>
    </w:p>
    <w:p>
      <w:pPr>
        <w:pStyle w:val="Heading1"/>
      </w:pPr>
      <w:r>
        <w:t>Section 1: Company Overview</w:t>
      </w:r>
    </w:p>
    <w:p>
      <w:r>
        <w:t>IBM was founded in 1911 and is headquartered in Armonk, New York. It operates in over 175 countries worldwide.</w:t>
      </w:r>
    </w:p>
    <w:p>
      <w:pPr>
        <w:pStyle w:val="Heading1"/>
      </w:pPr>
      <w:r>
        <w:t>Section 2: Revenue Table</w:t>
      </w:r>
    </w:p>
    <w:p>
      <w:r>
        <w:t>The following table shows IBM revenue by segment: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Segment</w:t>
            </w:r>
          </w:p>
        </w:tc>
        <w:tc>
          <w:tcPr>
            <w:tcW w:type="dxa" w:w="2880"/>
          </w:tcPr>
          <w:p>
            <w:r>
              <w:t>Revenue (USD)</w:t>
            </w:r>
          </w:p>
        </w:tc>
        <w:tc>
          <w:tcPr>
            <w:tcW w:type="dxa" w:w="2880"/>
          </w:tcPr>
          <w:p>
            <w:r>
              <w:t>YoY Growth</w:t>
            </w:r>
          </w:p>
        </w:tc>
      </w:tr>
      <w:tr>
        <w:tc>
          <w:tcPr>
            <w:tcW w:type="dxa" w:w="2880"/>
          </w:tcPr>
          <w:p>
            <w:r>
              <w:t>Software</w:t>
            </w:r>
          </w:p>
        </w:tc>
        <w:tc>
          <w:tcPr>
            <w:tcW w:type="dxa" w:w="2880"/>
          </w:tcPr>
          <w:p>
            <w:r>
              <w:t>24.4B</w:t>
            </w:r>
          </w:p>
        </w:tc>
        <w:tc>
          <w:tcPr>
            <w:tcW w:type="dxa" w:w="2880"/>
          </w:tcPr>
          <w:p>
            <w:r>
              <w:t>+5.5%</w:t>
            </w:r>
          </w:p>
        </w:tc>
      </w:tr>
      <w:tr>
        <w:tc>
          <w:tcPr>
            <w:tcW w:type="dxa" w:w="2880"/>
          </w:tcPr>
          <w:p>
            <w:r>
              <w:t>Consulting</w:t>
            </w:r>
          </w:p>
        </w:tc>
        <w:tc>
          <w:tcPr>
            <w:tcW w:type="dxa" w:w="2880"/>
          </w:tcPr>
          <w:p>
            <w:r>
              <w:t>19.8B</w:t>
            </w:r>
          </w:p>
        </w:tc>
        <w:tc>
          <w:tcPr>
            <w:tcW w:type="dxa" w:w="2880"/>
          </w:tcPr>
          <w:p>
            <w:r>
              <w:t>+4.1%</w:t>
            </w:r>
          </w:p>
        </w:tc>
      </w:tr>
      <w:tr>
        <w:tc>
          <w:tcPr>
            <w:tcW w:type="dxa" w:w="2880"/>
          </w:tcPr>
          <w:p>
            <w:r>
              <w:t>Infrastructure</w:t>
            </w:r>
          </w:p>
        </w:tc>
        <w:tc>
          <w:tcPr>
            <w:tcW w:type="dxa" w:w="2880"/>
          </w:tcPr>
          <w:p>
            <w:r>
              <w:t>14.9B</w:t>
            </w:r>
          </w:p>
        </w:tc>
        <w:tc>
          <w:tcPr>
            <w:tcW w:type="dxa" w:w="2880"/>
          </w:tcPr>
          <w:p>
            <w:r>
              <w:t>-1.2%</w:t>
            </w:r>
          </w:p>
        </w:tc>
      </w:tr>
      <w:tr>
        <w:tc>
          <w:tcPr>
            <w:tcW w:type="dxa" w:w="2880"/>
          </w:tcPr>
          <w:p>
            <w:r>
              <w:t>Financing</w:t>
            </w:r>
          </w:p>
        </w:tc>
        <w:tc>
          <w:tcPr>
            <w:tcW w:type="dxa" w:w="2880"/>
          </w:tcPr>
          <w:p>
            <w:r>
              <w:t>0.7B</w:t>
            </w:r>
          </w:p>
        </w:tc>
        <w:tc>
          <w:tcPr>
            <w:tcW w:type="dxa" w:w="2880"/>
          </w:tcPr>
          <w:p>
            <w:r>
              <w:t>-8.0%</w:t>
            </w:r>
          </w:p>
        </w:tc>
      </w:tr>
    </w:tbl>
    <w:p>
      <w:pPr>
        <w:pStyle w:val="Heading1"/>
      </w:pPr>
      <w:r>
        <w:t>Section 3: AI Strategy</w:t>
      </w:r>
    </w:p>
    <w:p>
      <w:r>
        <w:t>IBM has invested heavily in AI through its watsonx platform. The platform includes watsonx.ai, watsonx.data, and watsonx.governance. IBM aims to help enterprises adopt AI responsibly and at scale.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