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Research Questions</w:t>
      </w:r>
    </w:p>
    <w:p>
      <w:pPr>
        <w:pStyle w:val="Heading1"/>
        <w:spacing w:after="240"/>
      </w:pPr>
      <w:r>
        <w:t xml:space="preserve">Colorado Avalanche Fatalities Dashboard</w:t>
      </w:r>
    </w:p>
    <w:p>
      <w:pPr>
        <w:spacing w:after="160"/>
      </w:pPr>
      <w:r>
        <w:rPr>
          <w:rFonts w:ascii="Calibri" w:cs="Calibri" w:eastAsia="Calibri" w:hAnsi="Calibri"/>
        </w:rPr>
        <w:t xml:space="preserve">This is the working definition of what this dashboard is trying to answer. Every report page should trace back to one of these five questions. When a visual doesn't obviously serve one of them, that's a signal to cut it or fold it into one that does discipline matters more here than volume of charts.</w:t>
      </w:r>
    </w:p>
    <w:p>
      <w:pPr>
        <w:spacing w:after="160"/>
      </w:pPr>
      <w:r>
        <w:rPr>
          <w:rFonts w:ascii="Calibri" w:cs="Calibri" w:eastAsia="Calibri" w:hAnsi="Calibri"/>
        </w:rPr>
        <w:t xml:space="preserve">Source data: CAIC accident database, 1,016 fatal events, 1951-2025 (see </w:t>
      </w:r>
      <w:r>
        <w:rPr>
          <w:rFonts w:ascii="Consolas" w:cs="Consolas" w:eastAsia="Consolas" w:hAnsi="Consolas"/>
          <w:sz w:val="20"/>
          <w:szCs w:val="20"/>
          <w:shd w:fill="F0F0F0" w:val="clear"/>
        </w:rPr>
        <w:t xml:space="preserve">fact_table_data_dictionary.md</w:t>
      </w:r>
      <w:r>
        <w:rPr>
          <w:rFonts w:ascii="Calibri" w:cs="Calibri" w:eastAsia="Calibri" w:hAnsi="Calibri"/>
        </w:rPr>
        <w:t xml:space="preserve">), and the hand-assembled CAIC engagement proxy, FY2015-16 through FY2024-25 (see </w:t>
      </w:r>
      <w:r>
        <w:rPr>
          <w:rFonts w:ascii="Consolas" w:cs="Consolas" w:eastAsia="Consolas" w:hAnsi="Consolas"/>
          <w:sz w:val="20"/>
          <w:szCs w:val="20"/>
          <w:shd w:fill="F0F0F0" w:val="clear"/>
        </w:rPr>
        <w:t xml:space="preserve">caic_engagement_data_dictionary.md</w:t>
      </w:r>
      <w:r>
        <w:rPr>
          <w:rFonts w:ascii="Calibri" w:cs="Calibri" w:eastAsia="Calibri" w:hAnsi="Calibri"/>
        </w:rPr>
        <w:t xml:space="preserve">).</w:t>
      </w:r>
    </w:p>
    <w:p>
      <w:pPr>
        <w:spacing w:after="160"/>
      </w:pPr>
      <w:r>
        <w:rPr>
          <w:rFonts w:ascii="Calibri" w:cs="Calibri" w:eastAsia="Calibri" w:hAnsi="Calibri"/>
        </w:rPr>
        <w:t xml:space="preserve">One page — </w:t>
      </w:r>
      <w:r>
        <w:rPr>
          <w:rFonts w:ascii="Calibri" w:cs="Calibri" w:eastAsia="Calibri" w:hAnsi="Calibri"/>
          <w:b/>
          <w:bCs/>
        </w:rPr>
        <w:t xml:space="preserve">Data Quality and Methodology</w:t>
      </w:r>
      <w:r>
        <w:rPr>
          <w:rFonts w:ascii="Calibri" w:cs="Calibri" w:eastAsia="Calibri" w:hAnsi="Calibri"/>
        </w:rPr>
        <w:t xml:space="preserve"> — is deliberately not one of the five numbered questions below. Its job is to qualify all five, not answer one of them, so it lives as an appendix at the end of this document instead of taking a Q-number.</w:t>
      </w:r>
    </w:p>
    <w:p>
      <w:pPr>
        <w:pStyle w:val="Heading2"/>
        <w:spacing w:after="160" w:before="240"/>
      </w:pPr>
      <w:r>
        <w:t xml:space="preserve">Q1. National trend</w:t>
      </w:r>
    </w:p>
    <w:p>
      <w:pPr>
        <w:spacing w:after="160"/>
      </w:pPr>
      <w:r>
        <w:rPr>
          <w:rFonts w:ascii="Calibri" w:cs="Calibri" w:eastAsia="Calibri" w:hAnsi="Calibri"/>
          <w:b/>
          <w:bCs/>
        </w:rPr>
        <w:t xml:space="preserve">Question:</w:t>
      </w:r>
      <w:r>
        <w:rPr>
          <w:rFonts w:ascii="Calibri" w:cs="Calibri" w:eastAsia="Calibri" w:hAnsi="Calibri"/>
        </w:rPr>
        <w:t xml:space="preserve"> How have avalanche fatalities changed nationally over the last 75 seasons?</w:t>
      </w:r>
    </w:p>
    <w:p>
      <w:pPr>
        <w:spacing w:after="160"/>
      </w:pPr>
      <w:r>
        <w:rPr>
          <w:rFonts w:ascii="Calibri" w:cs="Calibri" w:eastAsia="Calibri" w:hAnsi="Calibri"/>
          <w:b/>
          <w:bCs/>
        </w:rPr>
        <w:t xml:space="preserve">Why it matters:</w:t>
      </w:r>
      <w:r>
        <w:rPr>
          <w:rFonts w:ascii="Calibri" w:cs="Calibri" w:eastAsia="Calibri" w:hAnsi="Calibri"/>
        </w:rPr>
        <w:t xml:space="preserve"> A rising death count on its own is ambiguous — it could mean the activity is getting more dangerous, or it could just mean more people are doing it. Bruce Tremper, who spent nearly 30 years as director of the Forest Service's Utah Avalanche Center and wrote "Staying Alive in Avalanche Terrain," argues that avalanche risk is mostly a human-factors problem, not a snowpack problem; a naive "deaths are up" headline without an exposure denominator plays directly into the wrong conclusion. This page can only show the raw national trend — the actual exposure-denominator comparison, using CAIC's own engagement data as a Colorado-specific proxy, lives entirely on Q5.</w:t>
      </w:r>
    </w:p>
    <w:p>
      <w:pPr>
        <w:spacing w:after="160"/>
      </w:pPr>
      <w:r>
        <w:rPr>
          <w:rFonts w:ascii="Calibri" w:cs="Calibri" w:eastAsia="Calibri" w:hAnsi="Calibri"/>
          <w:b/>
          <w:bCs/>
        </w:rPr>
        <w:t xml:space="preserve">Supports it:</w:t>
      </w:r>
      <w:r>
        <w:rPr>
          <w:rFonts w:ascii="Calibri" w:cs="Calibri" w:eastAsia="Calibri" w:hAnsi="Calibri"/>
        </w:rPr>
        <w:t xml:space="preserve"> </w:t>
      </w:r>
      <w:r>
        <w:rPr>
          <w:rFonts w:ascii="Consolas" w:cs="Consolas" w:eastAsia="Consolas" w:hAnsi="Consolas"/>
          <w:sz w:val="20"/>
          <w:szCs w:val="20"/>
          <w:shd w:fill="F0F0F0" w:val="clear"/>
        </w:rPr>
        <w:t xml:space="preserve">Total Fatalities</w:t>
      </w:r>
      <w:r>
        <w:rPr>
          <w:rFonts w:ascii="Calibri" w:cs="Calibri" w:eastAsia="Calibri" w:hAnsi="Calibri"/>
        </w:rPr>
        <w:t xml:space="preserve">, </w:t>
      </w:r>
      <w:r>
        <w:rPr>
          <w:rFonts w:ascii="Consolas" w:cs="Consolas" w:eastAsia="Consolas" w:hAnsi="Consolas"/>
          <w:sz w:val="20"/>
          <w:szCs w:val="20"/>
          <w:shd w:fill="F0F0F0" w:val="clear"/>
        </w:rPr>
        <w:t xml:space="preserve">Fatalities 5yr Avg</w:t>
      </w:r>
      <w:r>
        <w:rPr>
          <w:rFonts w:ascii="Calibri" w:cs="Calibri" w:eastAsia="Calibri" w:hAnsi="Calibri"/>
        </w:rPr>
        <w:t xml:space="preserve">, </w:t>
      </w:r>
      <w:r>
        <w:rPr>
          <w:rFonts w:ascii="Consolas" w:cs="Consolas" w:eastAsia="Consolas" w:hAnsi="Consolas"/>
          <w:sz w:val="20"/>
          <w:szCs w:val="20"/>
          <w:shd w:fill="F0F0F0" w:val="clear"/>
        </w:rPr>
        <w:t xml:space="preserve">Avg Fatalities Per Season</w:t>
      </w:r>
      <w:r>
        <w:rPr>
          <w:rFonts w:ascii="Calibri" w:cs="Calibri" w:eastAsia="Calibri" w:hAnsi="Calibri"/>
        </w:rPr>
        <w:t xml:space="preserve">, </w:t>
      </w:r>
      <w:r>
        <w:rPr>
          <w:rFonts w:ascii="Consolas" w:cs="Consolas" w:eastAsia="Consolas" w:hAnsi="Consolas"/>
          <w:sz w:val="20"/>
          <w:szCs w:val="20"/>
          <w:shd w:fill="F0F0F0" w:val="clear"/>
        </w:rPr>
        <w:t xml:space="preserve">Deadliest Season Fatalities</w:t>
      </w:r>
      <w:r>
        <w:rPr>
          <w:rFonts w:ascii="Calibri" w:cs="Calibri" w:eastAsia="Calibri" w:hAnsi="Calibri"/>
        </w:rPr>
        <w:t xml:space="preserve">/</w:t>
      </w:r>
      <w:r>
        <w:rPr>
          <w:rFonts w:ascii="Consolas" w:cs="Consolas" w:eastAsia="Consolas" w:hAnsi="Consolas"/>
          <w:sz w:val="20"/>
          <w:szCs w:val="20"/>
          <w:shd w:fill="F0F0F0" w:val="clear"/>
        </w:rPr>
        <w:t xml:space="preserve">Label</w:t>
      </w:r>
      <w:r>
        <w:rPr>
          <w:rFonts w:ascii="Calibri" w:cs="Calibri" w:eastAsia="Calibri" w:hAnsi="Calibri"/>
        </w:rPr>
        <w:t xml:space="preserve">, </w:t>
      </w:r>
      <w:r>
        <w:rPr>
          <w:rFonts w:ascii="Consolas" w:cs="Consolas" w:eastAsia="Consolas" w:hAnsi="Consolas"/>
          <w:sz w:val="20"/>
          <w:szCs w:val="20"/>
          <w:shd w:fill="F0F0F0" w:val="clear"/>
        </w:rPr>
        <w:t xml:space="preserve">Decade</w:t>
      </w:r>
      <w:r>
        <w:rPr>
          <w:rFonts w:ascii="Calibri" w:cs="Calibri" w:eastAsia="Calibri" w:hAnsi="Calibri"/>
        </w:rPr>
        <w:t xml:space="preserve"> (all built).</w:t>
      </w:r>
    </w:p>
    <w:p>
      <w:pPr>
        <w:spacing w:after="160"/>
      </w:pPr>
      <w:r>
        <w:rPr>
          <w:rFonts w:ascii="Calibri" w:cs="Calibri" w:eastAsia="Calibri" w:hAnsi="Calibri"/>
          <w:b/>
          <w:bCs/>
        </w:rPr>
        <w:t xml:space="preserve">Status: Done.</w:t>
      </w:r>
      <w:r>
        <w:rPr>
          <w:rFonts w:ascii="Calibri" w:cs="Calibri" w:eastAsia="Calibri" w:hAnsi="Calibri"/>
        </w:rPr>
        <w:t xml:space="preserve"> Built as a single national-trend page (</w:t>
      </w:r>
      <w:r>
        <w:rPr>
          <w:rFonts w:ascii="Consolas" w:cs="Consolas" w:eastAsia="Consolas" w:hAnsi="Consolas"/>
          <w:sz w:val="20"/>
          <w:szCs w:val="20"/>
          <w:shd w:fill="F0F0F0" w:val="clear"/>
        </w:rPr>
        <w:t xml:space="preserve">Q1</w:t>
      </w:r>
      <w:r>
        <w:rPr>
          <w:rFonts w:ascii="Calibri" w:cs="Calibri" w:eastAsia="Calibri" w:hAnsi="Calibri"/>
        </w:rPr>
        <w:t xml:space="preserve">): a </w:t>
      </w:r>
      <w:r>
        <w:rPr>
          <w:rFonts w:ascii="Consolas" w:cs="Consolas" w:eastAsia="Consolas" w:hAnsi="Consolas"/>
          <w:sz w:val="20"/>
          <w:szCs w:val="20"/>
          <w:shd w:fill="F0F0F0" w:val="clear"/>
        </w:rPr>
        <w:t xml:space="preserve">Total Fatalities</w:t>
      </w:r>
      <w:r>
        <w:rPr>
          <w:rFonts w:ascii="Calibri" w:cs="Calibri" w:eastAsia="Calibri" w:hAnsi="Calibri"/>
        </w:rPr>
        <w:t xml:space="preserve"> by </w:t>
      </w:r>
      <w:r>
        <w:rPr>
          <w:rFonts w:ascii="Consolas" w:cs="Consolas" w:eastAsia="Consolas" w:hAnsi="Consolas"/>
          <w:sz w:val="20"/>
          <w:szCs w:val="20"/>
          <w:shd w:fill="F0F0F0" w:val="clear"/>
        </w:rPr>
        <w:t xml:space="preserve">Decade</w:t>
      </w:r>
      <w:r>
        <w:rPr>
          <w:rFonts w:ascii="Calibri" w:cs="Calibri" w:eastAsia="Calibri" w:hAnsi="Calibri"/>
        </w:rPr>
        <w:t xml:space="preserve"> bar chart, a KPI card (</w:t>
      </w:r>
      <w:r>
        <w:rPr>
          <w:rFonts w:ascii="Consolas" w:cs="Consolas" w:eastAsia="Consolas" w:hAnsi="Consolas"/>
          <w:sz w:val="20"/>
          <w:szCs w:val="20"/>
          <w:shd w:fill="F0F0F0" w:val="clear"/>
        </w:rPr>
        <w:t xml:space="preserve">Avg Fatalities Per Season</w:t>
      </w:r>
      <w:r>
        <w:rPr>
          <w:rFonts w:ascii="Calibri" w:cs="Calibri" w:eastAsia="Calibri" w:hAnsi="Calibri"/>
        </w:rPr>
        <w:t xml:space="preserve">), a </w:t>
      </w:r>
      <w:r>
        <w:rPr>
          <w:rFonts w:ascii="Consolas" w:cs="Consolas" w:eastAsia="Consolas" w:hAnsi="Consolas"/>
          <w:sz w:val="20"/>
          <w:szCs w:val="20"/>
          <w:shd w:fill="F0F0F0" w:val="clear"/>
        </w:rPr>
        <w:t xml:space="preserve">Deadliest Season Label</w:t>
      </w:r>
      <w:r>
        <w:rPr>
          <w:rFonts w:ascii="Calibri" w:cs="Calibri" w:eastAsia="Calibri" w:hAnsi="Calibri"/>
        </w:rPr>
        <w:t xml:space="preserve">/</w:t>
      </w:r>
      <w:r>
        <w:rPr>
          <w:rFonts w:ascii="Consolas" w:cs="Consolas" w:eastAsia="Consolas" w:hAnsi="Consolas"/>
          <w:sz w:val="20"/>
          <w:szCs w:val="20"/>
          <w:shd w:fill="F0F0F0" w:val="clear"/>
        </w:rPr>
        <w:t xml:space="preserve">Fatalities</w:t>
      </w:r>
      <w:r>
        <w:rPr>
          <w:rFonts w:ascii="Calibri" w:cs="Calibri" w:eastAsia="Calibri" w:hAnsi="Calibri"/>
        </w:rPr>
        <w:t xml:space="preserve"> table, and a </w:t>
      </w:r>
      <w:r>
        <w:rPr>
          <w:rFonts w:ascii="Consolas" w:cs="Consolas" w:eastAsia="Consolas" w:hAnsi="Consolas"/>
          <w:sz w:val="20"/>
          <w:szCs w:val="20"/>
          <w:shd w:fill="F0F0F0" w:val="clear"/>
        </w:rPr>
        <w:t xml:space="preserve">Total Fatalities</w:t>
      </w:r>
      <w:r>
        <w:rPr>
          <w:rFonts w:ascii="Calibri" w:cs="Calibri" w:eastAsia="Calibri" w:hAnsi="Calibri"/>
        </w:rPr>
        <w:t xml:space="preserve"> + </w:t>
      </w:r>
      <w:r>
        <w:rPr>
          <w:rFonts w:ascii="Consolas" w:cs="Consolas" w:eastAsia="Consolas" w:hAnsi="Consolas"/>
          <w:sz w:val="20"/>
          <w:szCs w:val="20"/>
          <w:shd w:fill="F0F0F0" w:val="clear"/>
        </w:rPr>
        <w:t xml:space="preserve">Fatalities 5yr Avg</w:t>
      </w:r>
      <w:r>
        <w:rPr>
          <w:rFonts w:ascii="Calibri" w:cs="Calibri" w:eastAsia="Calibri" w:hAnsi="Calibri"/>
        </w:rPr>
        <w:t xml:space="preserve"> line chart by </w:t>
      </w:r>
      <w:r>
        <w:rPr>
          <w:rFonts w:ascii="Consolas" w:cs="Consolas" w:eastAsia="Consolas" w:hAnsi="Consolas"/>
          <w:sz w:val="20"/>
          <w:szCs w:val="20"/>
          <w:shd w:fill="F0F0F0" w:val="clear"/>
        </w:rPr>
        <w:t xml:space="preserve">SeasonLabel</w:t>
      </w:r>
      <w:r>
        <w:rPr>
          <w:rFonts w:ascii="Calibri" w:cs="Calibri" w:eastAsia="Calibri" w:hAnsi="Calibri"/>
        </w:rPr>
        <w:t xml:space="preserve">. Two named findings, verified against the fact table before writing up (per-season </w:t>
      </w:r>
      <w:r>
        <w:rPr>
          <w:rFonts w:ascii="Consolas" w:cs="Consolas" w:eastAsia="Consolas" w:hAnsi="Consolas"/>
          <w:sz w:val="20"/>
          <w:szCs w:val="20"/>
          <w:shd w:fill="F0F0F0" w:val="clear"/>
        </w:rPr>
        <w:t xml:space="preserve">Killed</w:t>
      </w:r>
      <w:r>
        <w:rPr>
          <w:rFonts w:ascii="Calibri" w:cs="Calibri" w:eastAsia="Calibri" w:hAnsi="Calibri"/>
        </w:rPr>
        <w:t xml:space="preserve"> sums by decade): (1) the headline trend — fatalities rose sharply from the 1950s through the 1990s (about 4 to 22 per season, a 5x increase), then flattened; the three most recent decades all sit in a narrow 24-28- per-season band rather than continuing to climb, and the modern era (2000s-2020s) still averages roughly 3.6x the earliest three decades (1950s-1970s), almost entirely from pre-2000 growth; (2) the COVID-era 2020-21 season is the deadliest on record (37 fatalities, more than double the historical average), plausibly driven by a surge of inexperienced backcountry users during the pandemic — a Q2 (human-factors) story surfacing on the Q1 page (see "How these connect").</w:t>
      </w:r>
    </w:p>
    <w:p>
      <w:pPr>
        <w:spacing w:after="160"/>
      </w:pPr>
      <w:r>
        <w:rPr>
          <w:rFonts w:ascii="Calibri" w:cs="Calibri" w:eastAsia="Calibri" w:hAnsi="Calibri"/>
          <w:b/>
          <w:bCs/>
        </w:rPr>
        <w:t xml:space="preserve">Scoping decision:</w:t>
      </w:r>
      <w:r>
        <w:rPr>
          <w:rFonts w:ascii="Calibri" w:cs="Calibri" w:eastAsia="Calibri" w:hAnsi="Calibri"/>
        </w:rPr>
        <w:t xml:space="preserve"> Colorado was originally meant to get its own spotlight on this page — comparing Colorado fatalities against CAIC's website-engagement data as an exposure proxy, hence the page's original "National trend, with a Colorado spotlight" framing. Two things changed that: (1) the chart didn't fit on Page 1, so it got built as a second tab (</w:t>
      </w:r>
      <w:r>
        <w:rPr>
          <w:rFonts w:ascii="Consolas" w:cs="Consolas" w:eastAsia="Consolas" w:hAnsi="Consolas"/>
          <w:sz w:val="20"/>
          <w:szCs w:val="20"/>
          <w:shd w:fill="F0F0F0" w:val="clear"/>
        </w:rPr>
        <w:t xml:space="preserve">Q1 pt2</w:t>
      </w:r>
      <w:r>
        <w:rPr>
          <w:rFonts w:ascii="Calibri" w:cs="Calibri" w:eastAsia="Calibri" w:hAnsi="Calibri"/>
        </w:rPr>
        <w:t xml:space="preserve">) instead of living here; (2) once the project's original motivating question — does more readiness engagement track with fewer fatalities — got its own proper treatment as Q5, with the readiness-proxy framing, verified stats, and full findings/caveats text, </w:t>
      </w:r>
      <w:r>
        <w:rPr>
          <w:rFonts w:ascii="Consolas" w:cs="Consolas" w:eastAsia="Consolas" w:hAnsi="Consolas"/>
          <w:sz w:val="20"/>
          <w:szCs w:val="20"/>
          <w:shd w:fill="F0F0F0" w:val="clear"/>
        </w:rPr>
        <w:t xml:space="preserve">Q1 pt2</w:t>
      </w:r>
      <w:r>
        <w:rPr>
          <w:rFonts w:ascii="Calibri" w:cs="Calibri" w:eastAsia="Calibri" w:hAnsi="Calibri"/>
        </w:rPr>
        <w:t xml:space="preserve"> became a straight duplicate of Q5's chart and was deleted. Q1 is now purely the national trend, with no Colorado-specific visuals of its own; the Colorado-vs-engagement comparison lives entirely on Q5.</w:t>
      </w:r>
    </w:p>
    <w:p>
      <w:pPr>
        <w:spacing w:after="160"/>
      </w:pPr>
      <w:r>
        <w:rPr>
          <w:rFonts w:ascii="Calibri" w:cs="Calibri" w:eastAsia="Calibri" w:hAnsi="Calibri"/>
          <w:b/>
          <w:bCs/>
        </w:rPr>
        <w:t xml:space="preserve">Caveats to carry onto the page:</w:t>
      </w:r>
      <w:r>
        <w:rPr>
          <w:rFonts w:ascii="Calibri" w:cs="Calibri" w:eastAsia="Calibri" w:hAnsi="Calibri"/>
        </w:rPr>
        <w:t xml:space="preserve"> the 1950s (9 seasons) and 2020s (6 seasons, through 2025) bars on the by-decade chart are partial decades — their totals aren't directly comparable to the other, complete decades, and 2025 itself should be read as a partial, provisional season. Record-keeping also improved over time (see the Data Quality appendix — narrative/location detail only becomes reliable starting in the 2000s-2010s), so part of the long-run rise may reflect better documentation rather than a purely real increase in fatalities, on top of the genuine effect of more people going into the backcountry — which this page can't separate out either (that's why Q5 exists).</w:t>
      </w:r>
    </w:p>
    <w:p>
      <w:pPr>
        <w:pStyle w:val="Heading2"/>
        <w:spacing w:after="160" w:before="240"/>
      </w:pPr>
      <w:r>
        <w:t xml:space="preserve">Q2. Human factors and the modern-era activity breakdown</w:t>
      </w:r>
    </w:p>
    <w:p>
      <w:pPr>
        <w:spacing w:after="160"/>
      </w:pPr>
      <w:r>
        <w:rPr>
          <w:rFonts w:ascii="Calibri" w:cs="Calibri" w:eastAsia="Calibri" w:hAnsi="Calibri"/>
          <w:b/>
          <w:bCs/>
        </w:rPr>
        <w:t xml:space="preserve">Question:</w:t>
      </w:r>
      <w:r>
        <w:rPr>
          <w:rFonts w:ascii="Calibri" w:cs="Calibri" w:eastAsia="Calibri" w:hAnsi="Calibri"/>
        </w:rPr>
        <w:t xml:space="preserve"> What activities are most associated with fatal accidents, and has that mix changed over the 75-year history of the data?</w:t>
      </w:r>
    </w:p>
    <w:p>
      <w:pPr>
        <w:spacing w:after="160"/>
      </w:pPr>
      <w:r>
        <w:rPr>
          <w:rFonts w:ascii="Calibri" w:cs="Calibri" w:eastAsia="Calibri" w:hAnsi="Calibri"/>
          <w:b/>
          <w:bCs/>
        </w:rPr>
        <w:t xml:space="preserve">Why it matters:</w:t>
      </w:r>
      <w:r>
        <w:rPr>
          <w:rFonts w:ascii="Calibri" w:cs="Calibri" w:eastAsia="Calibri" w:hAnsi="Calibri"/>
        </w:rPr>
        <w:t xml:space="preserve"> This is the most direct line to Tremper's "it's not the avalanche, it's the decision" framing — activity type and access mode are pieces of the story that are actually within a person's control, unlike snowpack conditions.</w:t>
      </w:r>
    </w:p>
    <w:p>
      <w:pPr>
        <w:spacing w:after="160"/>
      </w:pPr>
      <w:r>
        <w:rPr>
          <w:rFonts w:ascii="Calibri" w:cs="Calibri" w:eastAsia="Calibri" w:hAnsi="Calibri"/>
          <w:b/>
          <w:bCs/>
        </w:rPr>
        <w:t xml:space="preserve">Supports it:</w:t>
      </w:r>
      <w:r>
        <w:rPr>
          <w:rFonts w:ascii="Calibri" w:cs="Calibri" w:eastAsia="Calibri" w:hAnsi="Calibri"/>
        </w:rPr>
        <w:t xml:space="preserve"> </w:t>
      </w:r>
      <w:r>
        <w:rPr>
          <w:rFonts w:ascii="Consolas" w:cs="Consolas" w:eastAsia="Consolas" w:hAnsi="Consolas"/>
          <w:sz w:val="20"/>
          <w:szCs w:val="20"/>
          <w:shd w:fill="F0F0F0" w:val="clear"/>
        </w:rPr>
        <w:t xml:space="preserve">DimActivityCategory</w:t>
      </w:r>
      <w:r>
        <w:rPr>
          <w:rFonts w:ascii="Calibri" w:cs="Calibri" w:eastAsia="Calibri" w:hAnsi="Calibri"/>
        </w:rPr>
        <w:t xml:space="preserve"> (built from raw </w:t>
      </w:r>
      <w:r>
        <w:rPr>
          <w:rFonts w:ascii="Consolas" w:cs="Consolas" w:eastAsia="Consolas" w:hAnsi="Consolas"/>
          <w:sz w:val="20"/>
          <w:szCs w:val="20"/>
          <w:shd w:fill="F0F0F0" w:val="clear"/>
        </w:rPr>
        <w:t xml:space="preserve">PrimaryActivity</w:t>
      </w:r>
      <w:r>
        <w:rPr>
          <w:rFonts w:ascii="Calibri" w:cs="Calibri" w:eastAsia="Calibri" w:hAnsi="Calibri"/>
        </w:rPr>
        <w:t xml:space="preserve">, 24 values collapsed into 6 categories), </w:t>
      </w:r>
      <w:r>
        <w:rPr>
          <w:rFonts w:ascii="Consolas" w:cs="Consolas" w:eastAsia="Consolas" w:hAnsi="Consolas"/>
          <w:sz w:val="20"/>
          <w:szCs w:val="20"/>
          <w:shd w:fill="F0F0F0" w:val="clear"/>
        </w:rPr>
        <w:t xml:space="preserve">Decade</w:t>
      </w:r>
      <w:r>
        <w:rPr>
          <w:rFonts w:ascii="Calibri" w:cs="Calibri" w:eastAsia="Calibri" w:hAnsi="Calibri"/>
        </w:rPr>
        <w:t xml:space="preserve">/</w:t>
      </w:r>
      <w:r>
        <w:rPr>
          <w:rFonts w:ascii="Consolas" w:cs="Consolas" w:eastAsia="Consolas" w:hAnsi="Consolas"/>
          <w:sz w:val="20"/>
          <w:szCs w:val="20"/>
          <w:shd w:fill="F0F0F0" w:val="clear"/>
        </w:rPr>
        <w:t xml:space="preserve">AvyYear</w:t>
      </w:r>
      <w:r>
        <w:rPr>
          <w:rFonts w:ascii="Calibri" w:cs="Calibri" w:eastAsia="Calibri" w:hAnsi="Calibri"/>
        </w:rPr>
        <w:t xml:space="preserve">.</w:t>
      </w:r>
    </w:p>
    <w:p>
      <w:pPr>
        <w:spacing w:after="160"/>
      </w:pPr>
      <w:r>
        <w:rPr>
          <w:rFonts w:ascii="Calibri" w:cs="Calibri" w:eastAsia="Calibri" w:hAnsi="Calibri"/>
          <w:b/>
          <w:bCs/>
        </w:rPr>
        <w:t xml:space="preserve">Status: Done.</w:t>
      </w:r>
      <w:r>
        <w:rPr>
          <w:rFonts w:ascii="Calibri" w:cs="Calibri" w:eastAsia="Calibri" w:hAnsi="Calibri"/>
        </w:rPr>
        <w:t xml:space="preserve"> Built as a two-chart page (</w:t>
      </w:r>
      <w:r>
        <w:rPr>
          <w:rFonts w:ascii="Consolas" w:cs="Consolas" w:eastAsia="Consolas" w:hAnsi="Consolas"/>
          <w:sz w:val="20"/>
          <w:szCs w:val="20"/>
          <w:shd w:fill="F0F0F0" w:val="clear"/>
        </w:rPr>
        <w:t xml:space="preserve">Q2</w:t>
      </w:r>
      <w:r>
        <w:rPr>
          <w:rFonts w:ascii="Calibri" w:cs="Calibri" w:eastAsia="Calibri" w:hAnsi="Calibri"/>
        </w:rPr>
        <w:t xml:space="preserve">): a category breakdown (</w:t>
      </w:r>
      <w:r>
        <w:rPr>
          <w:rFonts w:ascii="Consolas" w:cs="Consolas" w:eastAsia="Consolas" w:hAnsi="Consolas"/>
          <w:sz w:val="20"/>
          <w:szCs w:val="20"/>
          <w:shd w:fill="F0F0F0" w:val="clear"/>
        </w:rPr>
        <w:t xml:space="preserve">Total Fatalities</w:t>
      </w:r>
      <w:r>
        <w:rPr>
          <w:rFonts w:ascii="Calibri" w:cs="Calibri" w:eastAsia="Calibri" w:hAnsi="Calibri"/>
        </w:rPr>
        <w:t xml:space="preserve"> by </w:t>
      </w:r>
      <w:r>
        <w:rPr>
          <w:rFonts w:ascii="Consolas" w:cs="Consolas" w:eastAsia="Consolas" w:hAnsi="Consolas"/>
          <w:sz w:val="20"/>
          <w:szCs w:val="20"/>
          <w:shd w:fill="F0F0F0" w:val="clear"/>
        </w:rPr>
        <w:t xml:space="preserve">ActivityCategory</w:t>
      </w:r>
      <w:r>
        <w:rPr>
          <w:rFonts w:ascii="Calibri" w:cs="Calibri" w:eastAsia="Calibri" w:hAnsi="Calibri"/>
        </w:rPr>
        <w:t xml:space="preserve">) and a 100%-stacked composition chart by </w:t>
      </w:r>
      <w:r>
        <w:rPr>
          <w:rFonts w:ascii="Consolas" w:cs="Consolas" w:eastAsia="Consolas" w:hAnsi="Consolas"/>
          <w:sz w:val="20"/>
          <w:szCs w:val="20"/>
          <w:shd w:fill="F0F0F0" w:val="clear"/>
        </w:rPr>
        <w:t xml:space="preserve">Decade</w:t>
      </w:r>
      <w:r>
        <w:rPr>
          <w:rFonts w:ascii="Calibri" w:cs="Calibri" w:eastAsia="Calibri" w:hAnsi="Calibri"/>
        </w:rPr>
        <w:t xml:space="preserve">, with a named finding — the collapse of occupational/ passive exposure (54%→3% since the 1950s/60s) and the rise of motorized backcountry recreation (1%→31%, tracking the real snowmobile-access boom) are the two biggest structural shifts in who avalanches kill; motorized backcountry recreation is now one of the two largest categories. Both charts checked against </w:t>
      </w:r>
      <w:r>
        <w:rPr>
          <w:rFonts w:ascii="Consolas" w:cs="Consolas" w:eastAsia="Consolas" w:hAnsi="Consolas"/>
          <w:sz w:val="20"/>
          <w:szCs w:val="20"/>
          <w:shd w:fill="F0F0F0" w:val="clear"/>
        </w:rPr>
        <w:t xml:space="preserve">PrimaryActivity</w:t>
      </w:r>
      <w:r>
        <w:rPr>
          <w:rFonts w:ascii="Calibri" w:cs="Calibri" w:eastAsia="Calibri" w:hAnsi="Calibri"/>
        </w:rPr>
        <w:t xml:space="preserve">'s full 75-year coverage (zero missing values in any decade) and pass a face-validity check against known avalanche-sport history.</w:t>
      </w:r>
    </w:p>
    <w:p>
      <w:pPr>
        <w:spacing w:after="160"/>
      </w:pPr>
      <w:r>
        <w:rPr>
          <w:rFonts w:ascii="Calibri" w:cs="Calibri" w:eastAsia="Calibri" w:hAnsi="Calibri"/>
          <w:b/>
          <w:bCs/>
        </w:rPr>
        <w:t xml:space="preserve">Scoping decision, 2026-09-15:</w:t>
      </w:r>
      <w:r>
        <w:rPr>
          <w:rFonts w:ascii="Calibri" w:cs="Calibri" w:eastAsia="Calibri" w:hAnsi="Calibri"/>
        </w:rPr>
        <w:t xml:space="preserve"> a third piece was designed but deliberately cut — a "modern-era circumstances" panel using </w:t>
      </w:r>
      <w:r>
        <w:rPr>
          <w:rFonts w:ascii="Consolas" w:cs="Consolas" w:eastAsia="Consolas" w:hAnsi="Consolas"/>
          <w:sz w:val="20"/>
          <w:szCs w:val="20"/>
          <w:shd w:fill="F0F0F0" w:val="clear"/>
        </w:rPr>
        <w:t xml:space="preserve">MentionsInjured</w:t>
      </w:r>
      <w:r>
        <w:rPr>
          <w:rFonts w:ascii="Calibri" w:cs="Calibri" w:eastAsia="Calibri" w:hAnsi="Calibri"/>
        </w:rPr>
        <w:t xml:space="preserve">, </w:t>
      </w:r>
      <w:r>
        <w:rPr>
          <w:rFonts w:ascii="Consolas" w:cs="Consolas" w:eastAsia="Consolas" w:hAnsi="Consolas"/>
          <w:sz w:val="20"/>
          <w:szCs w:val="20"/>
          <w:shd w:fill="F0F0F0" w:val="clear"/>
        </w:rPr>
        <w:t xml:space="preserve">MentionsCriticalBurial</w:t>
      </w:r>
      <w:r>
        <w:rPr>
          <w:rFonts w:ascii="Calibri" w:cs="Calibri" w:eastAsia="Calibri" w:hAnsi="Calibri"/>
        </w:rPr>
        <w:t xml:space="preserve">, </w:t>
      </w:r>
      <w:r>
        <w:rPr>
          <w:rFonts w:ascii="Consolas" w:cs="Consolas" w:eastAsia="Consolas" w:hAnsi="Consolas"/>
          <w:sz w:val="20"/>
          <w:szCs w:val="20"/>
          <w:shd w:fill="F0F0F0" w:val="clear"/>
        </w:rPr>
        <w:t xml:space="preserve">AlternateCause</w:t>
      </w:r>
      <w:r>
        <w:rPr>
          <w:rFonts w:ascii="Calibri" w:cs="Calibri" w:eastAsia="Calibri" w:hAnsi="Calibri"/>
        </w:rPr>
        <w:t xml:space="preserve">, and a "people caught per person killed" ratio from </w:t>
      </w:r>
      <w:r>
        <w:rPr>
          <w:rFonts w:ascii="Consolas" w:cs="Consolas" w:eastAsia="Consolas" w:hAnsi="Consolas"/>
          <w:sz w:val="20"/>
          <w:szCs w:val="20"/>
          <w:shd w:fill="F0F0F0" w:val="clear"/>
        </w:rPr>
        <w:t xml:space="preserve">PeopleCaught</w:t>
      </w:r>
      <w:r>
        <w:rPr>
          <w:rFonts w:ascii="Calibri" w:cs="Calibri" w:eastAsia="Calibri" w:hAnsi="Calibri"/>
        </w:rPr>
        <w:t xml:space="preserve">/ </w:t>
      </w:r>
      <w:r>
        <w:rPr>
          <w:rFonts w:ascii="Consolas" w:cs="Consolas" w:eastAsia="Consolas" w:hAnsi="Consolas"/>
          <w:sz w:val="20"/>
          <w:szCs w:val="20"/>
          <w:shd w:fill="F0F0F0" w:val="clear"/>
        </w:rPr>
        <w:t xml:space="preserve">PeopleCaughtParsed</w:t>
      </w:r>
      <w:r>
        <w:rPr>
          <w:rFonts w:ascii="Calibri" w:cs="Calibri" w:eastAsia="Calibri" w:hAnsi="Calibri"/>
        </w:rPr>
        <w:t xml:space="preserve">. These fields only exist for 2013-2025 (</w:t>
      </w:r>
      <w:r>
        <w:rPr>
          <w:rFonts w:ascii="Consolas" w:cs="Consolas" w:eastAsia="Consolas" w:hAnsi="Consolas"/>
          <w:sz w:val="20"/>
          <w:szCs w:val="20"/>
          <w:shd w:fill="F0F0F0" w:val="clear"/>
        </w:rPr>
        <w:t xml:space="preserve">Description</w:t>
      </w:r>
      <w:r>
        <w:rPr>
          <w:rFonts w:ascii="Calibri" w:cs="Calibri" w:eastAsia="Calibri" w:hAnsi="Calibri"/>
        </w:rPr>
        <w:t xml:space="preserve"> is a single 1986 outlier, then nothing until 2013 — see </w:t>
      </w:r>
      <w:r>
        <w:rPr>
          <w:rFonts w:ascii="Consolas" w:cs="Consolas" w:eastAsia="Consolas" w:hAnsi="Consolas"/>
          <w:sz w:val="20"/>
          <w:szCs w:val="20"/>
          <w:shd w:fill="F0F0F0" w:val="clear"/>
        </w:rPr>
        <w:t xml:space="preserve">fact_table_data_dictionary.md</w:t>
      </w:r>
      <w:r>
        <w:rPr>
          <w:rFonts w:ascii="Calibri" w:cs="Calibri" w:eastAsia="Calibri" w:hAnsi="Calibri"/>
        </w:rPr>
        <w:t xml:space="preserve">), and 4 of the 6 activity categories have single-digit-to-teens sample sizes in that window. It would have extended Q2 into the "circumstances" half of the question (group exposure, incident severity), but on meaningfully weaker evidence than the two charts already built. Cut in favor of keeping Q2 resting on its strongest material rather than diluting it with a thin, exploratory add-on — not because the idea was wrong, just lower priority than the rest of the project's scope. </w:t>
      </w:r>
      <w:r>
        <w:rPr>
          <w:rFonts w:ascii="Calibri" w:cs="Calibri" w:eastAsia="Calibri" w:hAnsi="Calibri"/>
          <w:b/>
          <w:bCs/>
        </w:rPr>
        <w:t xml:space="preserve">Update, Q4 build:</w:t>
      </w:r>
      <w:r>
        <w:rPr>
          <w:rFonts w:ascii="Calibri" w:cs="Calibri" w:eastAsia="Calibri" w:hAnsi="Calibri"/>
        </w:rPr>
        <w:t xml:space="preserve"> the </w:t>
      </w:r>
      <w:r>
        <w:rPr>
          <w:rFonts w:ascii="Consolas" w:cs="Consolas" w:eastAsia="Consolas" w:hAnsi="Consolas"/>
          <w:sz w:val="20"/>
          <w:szCs w:val="20"/>
          <w:shd w:fill="F0F0F0" w:val="clear"/>
        </w:rPr>
        <w:t xml:space="preserve">PeopleCaughtParsed</w:t>
      </w:r>
      <w:r>
        <w:rPr>
          <w:rFonts w:ascii="Calibri" w:cs="Calibri" w:eastAsia="Calibri" w:hAnsi="Calibri"/>
        </w:rPr>
        <w:t xml:space="preserve"> field didn't stay cut for good; it resurfaced on Q4 as a single-fatality-vs-multi-fatality survival-rate KPI, scoped to the same 2013-2025 window and labeled with its small sample size there. The "circumstances" panel itself (mentions-injured, critical-burial, alternate-cause) is still cut from Q2 and remains a possible future addition, not a gap that needs filling before either page is considered done.</w:t>
      </w:r>
    </w:p>
    <w:p>
      <w:pPr>
        <w:spacing w:after="160"/>
      </w:pPr>
      <w:r>
        <w:rPr>
          <w:rFonts w:ascii="Calibri" w:cs="Calibri" w:eastAsia="Calibri" w:hAnsi="Calibri"/>
          <w:b/>
          <w:bCs/>
        </w:rPr>
        <w:t xml:space="preserve">Caveats carried onto the page:</w:t>
      </w:r>
      <w:r>
        <w:rPr>
          <w:rFonts w:ascii="Calibri" w:cs="Calibri" w:eastAsia="Calibri" w:hAnsi="Calibri"/>
        </w:rPr>
        <w:t xml:space="preserve"> activity categories are an analytical judgment call, not a CAIC-defined taxonomy (see </w:t>
      </w:r>
      <w:r>
        <w:rPr>
          <w:rFonts w:ascii="Consolas" w:cs="Consolas" w:eastAsia="Consolas" w:hAnsi="Consolas"/>
          <w:sz w:val="20"/>
          <w:szCs w:val="20"/>
          <w:shd w:fill="F0F0F0" w:val="clear"/>
        </w:rPr>
        <w:t xml:space="preserve">activity_category_data_dictionary.md</w:t>
      </w:r>
      <w:r>
        <w:rPr>
          <w:rFonts w:ascii="Calibri" w:cs="Calibri" w:eastAsia="Calibri" w:hAnsi="Calibri"/>
        </w:rPr>
        <w:t xml:space="preserve">); categorical fields like </w:t>
      </w:r>
      <w:r>
        <w:rPr>
          <w:rFonts w:ascii="Consolas" w:cs="Consolas" w:eastAsia="Consolas" w:hAnsi="Consolas"/>
          <w:sz w:val="20"/>
          <w:szCs w:val="20"/>
          <w:shd w:fill="F0F0F0" w:val="clear"/>
        </w:rPr>
        <w:t xml:space="preserve">PrimaryActivity</w:t>
      </w:r>
      <w:r>
        <w:rPr>
          <w:rFonts w:ascii="Calibri" w:cs="Calibri" w:eastAsia="Calibri" w:hAnsi="Calibri"/>
        </w:rPr>
        <w:t xml:space="preserve"> reflect individual investigator judgment, not a standardized taxonomy applied consistently across 75 years (Spencer Logan, CAIC) — an apparent shift in mix may partly reflect changing investigator conventions, not just changing conditions on the mountain; the "Occupational, Passive &amp; Other" category is a deliberate grab-bag and its position on the (value-sorted) composition chart reflects size, not coherence.</w:t>
      </w:r>
    </w:p>
    <w:p>
      <w:pPr>
        <w:pStyle w:val="Heading2"/>
        <w:spacing w:after="160" w:before="240"/>
      </w:pPr>
      <w:r>
        <w:t xml:space="preserve">Q3. Seasonality and geography, Colorado in national context</w:t>
      </w:r>
    </w:p>
    <w:p>
      <w:pPr>
        <w:spacing w:after="160"/>
      </w:pPr>
      <w:r>
        <w:rPr>
          <w:rFonts w:ascii="Calibri" w:cs="Calibri" w:eastAsia="Calibri" w:hAnsi="Calibri"/>
          <w:b/>
          <w:bCs/>
        </w:rPr>
        <w:t xml:space="preserve">Question:</w:t>
      </w:r>
      <w:r>
        <w:rPr>
          <w:rFonts w:ascii="Calibri" w:cs="Calibri" w:eastAsia="Calibri" w:hAnsi="Calibri"/>
        </w:rPr>
        <w:t xml:space="preserve"> When (month/season timing) and where (setting: backcountry, ski area, road, etc.) do fatal accidents cluster, and how does Colorado's distribution compare to the national one?</w:t>
      </w:r>
    </w:p>
    <w:p>
      <w:pPr>
        <w:spacing w:after="160"/>
      </w:pPr>
      <w:r>
        <w:rPr>
          <w:rFonts w:ascii="Calibri" w:cs="Calibri" w:eastAsia="Calibri" w:hAnsi="Calibri"/>
          <w:b/>
          <w:bCs/>
        </w:rPr>
        <w:t xml:space="preserve">Why it matters:</w:t>
      </w:r>
      <w:r>
        <w:rPr>
          <w:rFonts w:ascii="Calibri" w:cs="Calibri" w:eastAsia="Calibri" w:hAnsi="Calibri"/>
        </w:rPr>
        <w:t xml:space="preserve"> There are two separate reasons to look at Colorado on its own here, not just one, and they're worth keeping distinct:</w:t>
      </w:r>
    </w:p>
    <w:p>
      <w:pPr>
        <w:pStyle w:val="ListParagraph"/>
        <w:numPr>
          <w:ilvl w:val="0"/>
          <w:numId w:val="2"/>
        </w:numPr>
        <w:spacing w:after="160"/>
      </w:pPr>
      <w:r>
        <w:rPr>
          <w:rFonts w:ascii="Calibri" w:cs="Calibri" w:eastAsia="Calibri" w:hAnsi="Calibri"/>
          <w:b/>
          <w:bCs/>
        </w:rPr>
        <w:t xml:space="preserve">A real scientific reason to expect a genuine difference.</w:t>
      </w:r>
      <w:r>
        <w:rPr>
          <w:rFonts w:ascii="Calibri" w:cs="Calibri" w:eastAsia="Calibri" w:hAnsi="Calibri"/>
        </w:rPr>
        <w:t xml:space="preserve"> Colorado is widely known in avalanche science for having one of the most dangerous snowpacks in the world — its continental (cold, dry) snowpack develops persistent weak layers early in the season (faceted grains/depth hoar) that can linger and produce deep slab instability all winter, unlike maritime snowpacks (e.g. the Cascades, Sierra Nevada) that tend to stabilize faster. Tremper's book covers this distinction directly. That's an independent reason to *expect* Colorado's when/where pattern to genuinely differ from the national one — not just a data artifact to correct for.</w:t>
      </w:r>
    </w:p>
    <w:p>
      <w:pPr>
        <w:pStyle w:val="ListParagraph"/>
        <w:numPr>
          <w:ilvl w:val="0"/>
          <w:numId w:val="2"/>
        </w:numPr>
        <w:spacing w:after="160"/>
      </w:pPr>
      <w:r>
        <w:rPr>
          <w:rFonts w:ascii="Calibri" w:cs="Calibri" w:eastAsia="Calibri" w:hAnsi="Calibri"/>
          <w:b/>
          <w:bCs/>
        </w:rPr>
        <w:t xml:space="preserve">A data-quality reason to trust Colorado's numbers more.</w:t>
      </w:r>
      <w:r>
        <w:rPr>
          <w:rFonts w:ascii="Calibri" w:cs="Calibri" w:eastAsia="Calibri" w:hAnsi="Calibri"/>
        </w:rPr>
        <w:t xml:space="preserve"> This is where the CAIC Setting-code confirmation and Spencer Logan's investigator- subjectivity caveat matter most directly — this question is explicitly a cross-region, cross-era comparison, which is exactly the kind of comparison he warned is weakest in this dataset. Colorado's rows are the most internally consistent subset (CAIC staff investigated them directly; other states' incidents were only compiled from other sources).</w:t>
      </w:r>
    </w:p>
    <w:p>
      <w:pPr>
        <w:spacing w:after="160"/>
      </w:pPr>
      <w:r>
        <w:rPr>
          <w:rFonts w:ascii="Calibri" w:cs="Calibri" w:eastAsia="Calibri" w:hAnsi="Calibri"/>
        </w:rPr>
        <w:t xml:space="preserve">Put together: we have a real scientific reason to *expect* Colorado to look different, and a real methodological reason to *trust* Colorado's numbers more than the rest of the dataset's — which is exactly why this page compares Colorado against the rest of the nation side by side rather than blending all 1,016 rows into one national answer.</w:t>
      </w:r>
    </w:p>
    <w:p>
      <w:pPr>
        <w:spacing w:after="160"/>
      </w:pPr>
      <w:r>
        <w:rPr>
          <w:rFonts w:ascii="Calibri" w:cs="Calibri" w:eastAsia="Calibri" w:hAnsi="Calibri"/>
          <w:b/>
          <w:bCs/>
        </w:rPr>
        <w:t xml:space="preserve">Supports it:</w:t>
      </w:r>
      <w:r>
        <w:rPr>
          <w:rFonts w:ascii="Calibri" w:cs="Calibri" w:eastAsia="Calibri" w:hAnsi="Calibri"/>
        </w:rPr>
        <w:t xml:space="preserve"> </w:t>
      </w:r>
      <w:r>
        <w:rPr>
          <w:rFonts w:ascii="Consolas" w:cs="Consolas" w:eastAsia="Consolas" w:hAnsi="Consolas"/>
          <w:sz w:val="20"/>
          <w:szCs w:val="20"/>
          <w:shd w:fill="F0F0F0" w:val="clear"/>
        </w:rPr>
        <w:t xml:space="preserve">SettingLabel</w:t>
      </w:r>
      <w:r>
        <w:rPr>
          <w:rFonts w:ascii="Calibri" w:cs="Calibri" w:eastAsia="Calibri" w:hAnsi="Calibri"/>
        </w:rPr>
        <w:t xml:space="preserve">, </w:t>
      </w:r>
      <w:r>
        <w:rPr>
          <w:rFonts w:ascii="Consolas" w:cs="Consolas" w:eastAsia="Consolas" w:hAnsi="Consolas"/>
          <w:sz w:val="20"/>
          <w:szCs w:val="20"/>
          <w:shd w:fill="F0F0F0" w:val="clear"/>
        </w:rPr>
        <w:t xml:space="preserve">IsClosedTerrain</w:t>
      </w:r>
      <w:r>
        <w:rPr>
          <w:rFonts w:ascii="Calibri" w:cs="Calibri" w:eastAsia="Calibri" w:hAnsi="Calibri"/>
        </w:rPr>
        <w:t xml:space="preserve">, </w:t>
      </w:r>
      <w:r>
        <w:rPr>
          <w:rFonts w:ascii="Consolas" w:cs="Consolas" w:eastAsia="Consolas" w:hAnsi="Consolas"/>
          <w:sz w:val="20"/>
          <w:szCs w:val="20"/>
          <w:shd w:fill="F0F0F0" w:val="clear"/>
        </w:rPr>
        <w:t xml:space="preserve">HasLocation</w:t>
      </w:r>
      <w:r>
        <w:rPr>
          <w:rFonts w:ascii="Calibri" w:cs="Calibri" w:eastAsia="Calibri" w:hAnsi="Calibri"/>
        </w:rPr>
        <w:t xml:space="preserve">, </w:t>
      </w:r>
      <w:r>
        <w:rPr>
          <w:rFonts w:ascii="Consolas" w:cs="Consolas" w:eastAsia="Consolas" w:hAnsi="Consolas"/>
          <w:sz w:val="20"/>
          <w:szCs w:val="20"/>
          <w:shd w:fill="F0F0F0" w:val="clear"/>
        </w:rPr>
        <w:t xml:space="preserve">Region</w:t>
      </w:r>
      <w:r>
        <w:rPr>
          <w:rFonts w:ascii="Calibri" w:cs="Calibri" w:eastAsia="Calibri" w:hAnsi="Calibri"/>
        </w:rPr>
        <w:t xml:space="preserve"> (Colorado vs. Rest of Nation, State-derived), </w:t>
      </w:r>
      <w:r>
        <w:rPr>
          <w:rFonts w:ascii="Consolas" w:cs="Consolas" w:eastAsia="Consolas" w:hAnsi="Consolas"/>
          <w:sz w:val="20"/>
          <w:szCs w:val="20"/>
          <w:shd w:fill="F0F0F0" w:val="clear"/>
        </w:rPr>
        <w:t xml:space="preserve">DimMonth</w:t>
      </w:r>
      <w:r>
        <w:rPr>
          <w:rFonts w:ascii="Calibri" w:cs="Calibri" w:eastAsia="Calibri" w:hAnsi="Calibri"/>
        </w:rPr>
        <w:t xml:space="preserve"> (</w:t>
      </w:r>
      <w:r>
        <w:rPr>
          <w:rFonts w:ascii="Consolas" w:cs="Consolas" w:eastAsia="Consolas" w:hAnsi="Consolas"/>
          <w:sz w:val="20"/>
          <w:szCs w:val="20"/>
          <w:shd w:fill="F0F0F0" w:val="clear"/>
        </w:rPr>
        <w:t xml:space="preserve">MonthName</w:t>
      </w:r>
      <w:r>
        <w:rPr>
          <w:rFonts w:ascii="Calibri" w:cs="Calibri" w:eastAsia="Calibri" w:hAnsi="Calibri"/>
        </w:rPr>
        <w:t xml:space="preserve">/</w:t>
      </w:r>
      <w:r>
        <w:rPr>
          <w:rFonts w:ascii="Consolas" w:cs="Consolas" w:eastAsia="Consolas" w:hAnsi="Consolas"/>
          <w:sz w:val="20"/>
          <w:szCs w:val="20"/>
          <w:shd w:fill="F0F0F0" w:val="clear"/>
        </w:rPr>
        <w:t xml:space="preserve">SeasonMonthOrder</w:t>
      </w:r>
      <w:r>
        <w:rPr>
          <w:rFonts w:ascii="Calibri" w:cs="Calibri" w:eastAsia="Calibri" w:hAnsi="Calibri"/>
        </w:rPr>
        <w:t xml:space="preserve">, built to fix calendar-vs-season month ordering).</w:t>
      </w:r>
    </w:p>
    <w:p>
      <w:pPr>
        <w:spacing w:after="160"/>
      </w:pPr>
      <w:r>
        <w:rPr>
          <w:rFonts w:ascii="Calibri" w:cs="Calibri" w:eastAsia="Calibri" w:hAnsi="Calibri"/>
          <w:b/>
          <w:bCs/>
        </w:rPr>
        <w:t xml:space="preserve">Status: Done.</w:t>
      </w:r>
      <w:r>
        <w:rPr>
          <w:rFonts w:ascii="Calibri" w:cs="Calibri" w:eastAsia="Calibri" w:hAnsi="Calibri"/>
        </w:rPr>
        <w:t xml:space="preserve"> Built as a two-chart page (</w:t>
      </w:r>
      <w:r>
        <w:rPr>
          <w:rFonts w:ascii="Consolas" w:cs="Consolas" w:eastAsia="Consolas" w:hAnsi="Consolas"/>
          <w:sz w:val="20"/>
          <w:szCs w:val="20"/>
          <w:shd w:fill="F0F0F0" w:val="clear"/>
        </w:rPr>
        <w:t xml:space="preserve">Q3</w:t>
      </w:r>
      <w:r>
        <w:rPr>
          <w:rFonts w:ascii="Calibri" w:cs="Calibri" w:eastAsia="Calibri" w:hAnsi="Calibri"/>
        </w:rPr>
        <w:t xml:space="preserve">): a normalized timing chart (</w:t>
      </w:r>
      <w:r>
        <w:rPr>
          <w:rFonts w:ascii="Consolas" w:cs="Consolas" w:eastAsia="Consolas" w:hAnsi="Consolas"/>
          <w:sz w:val="20"/>
          <w:szCs w:val="20"/>
          <w:shd w:fill="F0F0F0" w:val="clear"/>
        </w:rPr>
        <w:t xml:space="preserve">% of Region Total</w:t>
      </w:r>
      <w:r>
        <w:rPr>
          <w:rFonts w:ascii="Calibri" w:cs="Calibri" w:eastAsia="Calibri" w:hAnsi="Calibri"/>
        </w:rPr>
        <w:t xml:space="preserve"> by </w:t>
      </w:r>
      <w:r>
        <w:rPr>
          <w:rFonts w:ascii="Consolas" w:cs="Consolas" w:eastAsia="Consolas" w:hAnsi="Consolas"/>
          <w:sz w:val="20"/>
          <w:szCs w:val="20"/>
          <w:shd w:fill="F0F0F0" w:val="clear"/>
        </w:rPr>
        <w:t xml:space="preserve">MonthName</w:t>
      </w:r>
      <w:r>
        <w:rPr>
          <w:rFonts w:ascii="Calibri" w:cs="Calibri" w:eastAsia="Calibri" w:hAnsi="Calibri"/>
        </w:rPr>
        <w:t xml:space="preserve">, season-ordered via </w:t>
      </w:r>
      <w:r>
        <w:rPr>
          <w:rFonts w:ascii="Consolas" w:cs="Consolas" w:eastAsia="Consolas" w:hAnsi="Consolas"/>
          <w:sz w:val="20"/>
          <w:szCs w:val="20"/>
          <w:shd w:fill="F0F0F0" w:val="clear"/>
        </w:rPr>
        <w:t xml:space="preserve">DimMonth</w:t>
      </w:r>
      <w:r>
        <w:rPr>
          <w:rFonts w:ascii="Calibri" w:cs="Calibri" w:eastAsia="Calibri" w:hAnsi="Calibri"/>
        </w:rPr>
        <w:t xml:space="preserve">, split by </w:t>
      </w:r>
      <w:r>
        <w:rPr>
          <w:rFonts w:ascii="Consolas" w:cs="Consolas" w:eastAsia="Consolas" w:hAnsi="Consolas"/>
          <w:sz w:val="20"/>
          <w:szCs w:val="20"/>
          <w:shd w:fill="F0F0F0" w:val="clear"/>
        </w:rPr>
        <w:t xml:space="preserve">Region</w:t>
      </w:r>
      <w:r>
        <w:rPr>
          <w:rFonts w:ascii="Calibri" w:cs="Calibri" w:eastAsia="Calibri" w:hAnsi="Calibri"/>
        </w:rPr>
        <w:t xml:space="preserve">) and a 100%-stacked </w:t>
      </w:r>
      <w:r>
        <w:rPr>
          <w:rFonts w:ascii="Consolas" w:cs="Consolas" w:eastAsia="Consolas" w:hAnsi="Consolas"/>
          <w:sz w:val="20"/>
          <w:szCs w:val="20"/>
          <w:shd w:fill="F0F0F0" w:val="clear"/>
        </w:rPr>
        <w:t xml:space="preserve">SettingLabel</w:t>
      </w:r>
      <w:r>
        <w:rPr>
          <w:rFonts w:ascii="Calibri" w:cs="Calibri" w:eastAsia="Calibri" w:hAnsi="Calibri"/>
        </w:rPr>
        <w:t xml:space="preserve"> breakdown by </w:t>
      </w:r>
      <w:r>
        <w:rPr>
          <w:rFonts w:ascii="Consolas" w:cs="Consolas" w:eastAsia="Consolas" w:hAnsi="Consolas"/>
          <w:sz w:val="20"/>
          <w:szCs w:val="20"/>
          <w:shd w:fill="F0F0F0" w:val="clear"/>
        </w:rPr>
        <w:t xml:space="preserve">Region</w:t>
      </w:r>
      <w:r>
        <w:rPr>
          <w:rFonts w:ascii="Calibri" w:cs="Calibri" w:eastAsia="Calibri" w:hAnsi="Calibri"/>
        </w:rPr>
        <w:t xml:space="preserve">. Two named findings: (1) both regions peak Feb-March, but Colorado's season runs hotter into March (20.7% of its total vs. 17.0% nationally) while the rest of the nation has a longer late-spring tail (May-June: 9.6% vs. 2.4%), likely reflecting high-elevation glaciated terrain in Alaska/Washington (ties back to the summer-fatalities-are-almost-all-Climbers finding from </w:t>
      </w:r>
      <w:r>
        <w:rPr>
          <w:rFonts w:ascii="Consolas" w:cs="Consolas" w:eastAsia="Consolas" w:hAnsi="Consolas"/>
          <w:sz w:val="20"/>
          <w:szCs w:val="20"/>
          <w:shd w:fill="F0F0F0" w:val="clear"/>
        </w:rPr>
        <w:t xml:space="preserve">fact_table_data_dictionary.md</w:t>
      </w:r>
      <w:r>
        <w:rPr>
          <w:rFonts w:ascii="Calibri" w:cs="Calibri" w:eastAsia="Calibri" w:hAnsi="Calibri"/>
        </w:rPr>
        <w:t xml:space="preserve">); (2) Road incidents are roughly 3x Colorado's share of the rest of the nation's (5.2% vs. 1.8%), plausibly its mountain highway corridors, though this rests on a modest count (17 either way) and shouldn't be overstated. </w:t>
      </w:r>
      <w:r>
        <w:rPr>
          <w:rFonts w:ascii="Consolas" w:cs="Consolas" w:eastAsia="Consolas" w:hAnsi="Consolas"/>
          <w:sz w:val="20"/>
          <w:szCs w:val="20"/>
          <w:shd w:fill="F0F0F0" w:val="clear"/>
        </w:rPr>
        <w:t xml:space="preserve">Region</w:t>
      </w:r>
      <w:r>
        <w:rPr>
          <w:rFonts w:ascii="Calibri" w:cs="Calibri" w:eastAsia="Calibri" w:hAnsi="Calibri"/>
        </w:rPr>
        <w:t xml:space="preserve"> built as a one-line DAX calculated column (</w:t>
      </w:r>
      <w:r>
        <w:rPr>
          <w:rFonts w:ascii="Consolas" w:cs="Consolas" w:eastAsia="Consolas" w:hAnsi="Consolas"/>
          <w:sz w:val="20"/>
          <w:szCs w:val="20"/>
          <w:shd w:fill="F0F0F0" w:val="clear"/>
        </w:rPr>
        <w:t xml:space="preserve">IF(State = "CO", "Colorado", "Rest of Nation")</w:t>
      </w:r>
      <w:r>
        <w:rPr>
          <w:rFonts w:ascii="Calibri" w:cs="Calibri" w:eastAsia="Calibri" w:hAnsi="Calibri"/>
        </w:rPr>
        <w:t xml:space="preserve">), not a Python script, since there's no judgment call in a binary State split — deliberate contrast with </w:t>
      </w:r>
      <w:r>
        <w:rPr>
          <w:rFonts w:ascii="Consolas" w:cs="Consolas" w:eastAsia="Consolas" w:hAnsi="Consolas"/>
          <w:sz w:val="20"/>
          <w:szCs w:val="20"/>
          <w:shd w:fill="F0F0F0" w:val="clear"/>
        </w:rPr>
        <w:t xml:space="preserve">DimMonth</w:t>
      </w:r>
      <w:r>
        <w:rPr>
          <w:rFonts w:ascii="Calibri" w:cs="Calibri" w:eastAsia="Calibri" w:hAnsi="Calibri"/>
        </w:rPr>
        <w:t xml:space="preserve">, which did get the full script treatment since its content (a 12-row mapping) actually needed validating.</w:t>
      </w:r>
    </w:p>
    <w:p>
      <w:pPr>
        <w:spacing w:after="160"/>
      </w:pPr>
      <w:r>
        <w:rPr>
          <w:rFonts w:ascii="Calibri" w:cs="Calibri" w:eastAsia="Calibri" w:hAnsi="Calibri"/>
          <w:b/>
          <w:bCs/>
        </w:rPr>
        <w:t xml:space="preserve">Caveats to carry onto the page:</w:t>
      </w:r>
      <w:r>
        <w:rPr>
          <w:rFonts w:ascii="Calibri" w:cs="Calibri" w:eastAsia="Calibri" w:hAnsi="Calibri"/>
        </w:rPr>
        <w:t xml:space="preserve"> Setting and other categorical fields reflect individual investigator judgment, not a standardized taxonomy, and incidents outside Colorado were compiled by CAIC, not investigated by CAIC staff. This is the page where that limitation is most likely to distort a finding if it isn't surfaced — Colorado's own rows are the most internally consistent subset of the data and should be called out as such. At the same time, don't let that caveat get read as "so any CO/rest-of-nation difference is probably just noise" — Colorado's snowpack really is different, so a real difference showing up on this page would be consistent with established avalanche science, not just something to explain away.</w:t>
      </w:r>
    </w:p>
    <w:p>
      <w:pPr>
        <w:pStyle w:val="Heading2"/>
        <w:spacing w:after="160" w:before="240"/>
      </w:pPr>
      <w:r>
        <w:t xml:space="preserve">Q4. Multi-fatality group events</w:t>
      </w:r>
    </w:p>
    <w:p>
      <w:pPr>
        <w:spacing w:after="160"/>
      </w:pPr>
      <w:r>
        <w:rPr>
          <w:rFonts w:ascii="Calibri" w:cs="Calibri" w:eastAsia="Calibri" w:hAnsi="Calibri"/>
          <w:b/>
          <w:bCs/>
        </w:rPr>
        <w:t xml:space="preserve">Question:</w:t>
      </w:r>
      <w:r>
        <w:rPr>
          <w:rFonts w:ascii="Calibri" w:cs="Calibri" w:eastAsia="Calibri" w:hAnsi="Calibri"/>
        </w:rPr>
        <w:t xml:space="preserve"> How often does a single avalanche kill more than one person, and what distinguishes those group-loss events from single-fatality ones?</w:t>
      </w:r>
    </w:p>
    <w:p>
      <w:pPr>
        <w:spacing w:after="160"/>
      </w:pPr>
      <w:r>
        <w:rPr>
          <w:rFonts w:ascii="Calibri" w:cs="Calibri" w:eastAsia="Calibri" w:hAnsi="Calibri"/>
          <w:b/>
          <w:bCs/>
        </w:rPr>
        <w:t xml:space="preserve">Why it matters:</w:t>
      </w:r>
      <w:r>
        <w:rPr>
          <w:rFonts w:ascii="Calibri" w:cs="Calibri" w:eastAsia="Calibri" w:hAnsi="Calibri"/>
        </w:rPr>
        <w:t xml:space="preserve"> Group decision-making (not individual risk-taking) is its own distinct human-factors story — a group of experienced people can still make a catastrophic collective decision (groupthink, one person triggering a slide that catches several others).</w:t>
      </w:r>
    </w:p>
    <w:p>
      <w:pPr>
        <w:spacing w:after="160"/>
      </w:pPr>
      <w:r>
        <w:rPr>
          <w:rFonts w:ascii="Calibri" w:cs="Calibri" w:eastAsia="Calibri" w:hAnsi="Calibri"/>
          <w:b/>
          <w:bCs/>
        </w:rPr>
        <w:t xml:space="preserve">Supports it:</w:t>
      </w:r>
      <w:r>
        <w:rPr>
          <w:rFonts w:ascii="Calibri" w:cs="Calibri" w:eastAsia="Calibri" w:hAnsi="Calibri"/>
        </w:rPr>
        <w:t xml:space="preserve"> </w:t>
      </w:r>
      <w:r>
        <w:rPr>
          <w:rFonts w:ascii="Consolas" w:cs="Consolas" w:eastAsia="Consolas" w:hAnsi="Consolas"/>
          <w:sz w:val="20"/>
          <w:szCs w:val="20"/>
          <w:shd w:fill="F0F0F0" w:val="clear"/>
        </w:rPr>
        <w:t xml:space="preserve">Killed</w:t>
      </w:r>
      <w:r>
        <w:rPr>
          <w:rFonts w:ascii="Calibri" w:cs="Calibri" w:eastAsia="Calibri" w:hAnsi="Calibri"/>
        </w:rPr>
        <w:t xml:space="preserve">, </w:t>
      </w:r>
      <w:r>
        <w:rPr>
          <w:rFonts w:ascii="Consolas" w:cs="Consolas" w:eastAsia="Consolas" w:hAnsi="Consolas"/>
          <w:sz w:val="20"/>
          <w:szCs w:val="20"/>
          <w:shd w:fill="F0F0F0" w:val="clear"/>
        </w:rPr>
        <w:t xml:space="preserve">PeopleCaught</w:t>
      </w:r>
      <w:r>
        <w:rPr>
          <w:rFonts w:ascii="Calibri" w:cs="Calibri" w:eastAsia="Calibri" w:hAnsi="Calibri"/>
        </w:rPr>
        <w:t xml:space="preserve">/</w:t>
      </w:r>
      <w:r>
        <w:rPr>
          <w:rFonts w:ascii="Consolas" w:cs="Consolas" w:eastAsia="Consolas" w:hAnsi="Consolas"/>
          <w:sz w:val="20"/>
          <w:szCs w:val="20"/>
          <w:shd w:fill="F0F0F0" w:val="clear"/>
        </w:rPr>
        <w:t xml:space="preserve">PeopleCaughtParsed</w:t>
      </w:r>
      <w:r>
        <w:rPr>
          <w:rFonts w:ascii="Calibri" w:cs="Calibri" w:eastAsia="Calibri" w:hAnsi="Calibri"/>
        </w:rPr>
        <w:t xml:space="preserve">, </w:t>
      </w:r>
      <w:r>
        <w:rPr>
          <w:rFonts w:ascii="Consolas" w:cs="Consolas" w:eastAsia="Consolas" w:hAnsi="Consolas"/>
          <w:sz w:val="20"/>
          <w:szCs w:val="20"/>
          <w:shd w:fill="F0F0F0" w:val="clear"/>
        </w:rPr>
        <w:t xml:space="preserve">FatalityGroupSize</w:t>
      </w:r>
      <w:r>
        <w:rPr>
          <w:rFonts w:ascii="Calibri" w:cs="Calibri" w:eastAsia="Calibri" w:hAnsi="Calibri"/>
        </w:rPr>
        <w:t xml:space="preserve"> (built from </w:t>
      </w:r>
      <w:r>
        <w:rPr>
          <w:rFonts w:ascii="Consolas" w:cs="Consolas" w:eastAsia="Consolas" w:hAnsi="Consolas"/>
          <w:sz w:val="20"/>
          <w:szCs w:val="20"/>
          <w:shd w:fill="F0F0F0" w:val="clear"/>
        </w:rPr>
        <w:t xml:space="preserve">Killed</w:t>
      </w:r>
      <w:r>
        <w:rPr>
          <w:rFonts w:ascii="Calibri" w:cs="Calibri" w:eastAsia="Calibri" w:hAnsi="Calibri"/>
        </w:rPr>
        <w:t xml:space="preserve">), </w:t>
      </w:r>
      <w:r>
        <w:rPr>
          <w:rFonts w:ascii="Consolas" w:cs="Consolas" w:eastAsia="Consolas" w:hAnsi="Consolas"/>
          <w:sz w:val="20"/>
          <w:szCs w:val="20"/>
          <w:shd w:fill="F0F0F0" w:val="clear"/>
        </w:rPr>
        <w:t xml:space="preserve">ActivityCategory</w:t>
      </w:r>
      <w:r>
        <w:rPr>
          <w:rFonts w:ascii="Calibri" w:cs="Calibri" w:eastAsia="Calibri" w:hAnsi="Calibri"/>
        </w:rPr>
        <w:t xml:space="preserve">.</w:t>
      </w:r>
    </w:p>
    <w:p>
      <w:pPr>
        <w:spacing w:after="160"/>
      </w:pPr>
      <w:r>
        <w:rPr>
          <w:rFonts w:ascii="Calibri" w:cs="Calibri" w:eastAsia="Calibri" w:hAnsi="Calibri"/>
          <w:b/>
          <w:bCs/>
        </w:rPr>
        <w:t xml:space="preserve">Status: Done.</w:t>
      </w:r>
      <w:r>
        <w:rPr>
          <w:rFonts w:ascii="Calibri" w:cs="Calibri" w:eastAsia="Calibri" w:hAnsi="Calibri"/>
        </w:rPr>
        <w:t xml:space="preserve"> Built as a page (</w:t>
      </w:r>
      <w:r>
        <w:rPr>
          <w:rFonts w:ascii="Consolas" w:cs="Consolas" w:eastAsia="Consolas" w:hAnsi="Consolas"/>
          <w:sz w:val="20"/>
          <w:szCs w:val="20"/>
          <w:shd w:fill="F0F0F0" w:val="clear"/>
        </w:rPr>
        <w:t xml:space="preserve">Q4</w:t>
      </w:r>
      <w:r>
        <w:rPr>
          <w:rFonts w:ascii="Calibri" w:cs="Calibri" w:eastAsia="Calibri" w:hAnsi="Calibri"/>
        </w:rPr>
        <w:t xml:space="preserve">) with two KPI cards, a </w:t>
      </w:r>
      <w:r>
        <w:rPr>
          <w:rFonts w:ascii="Consolas" w:cs="Consolas" w:eastAsia="Consolas" w:hAnsi="Consolas"/>
          <w:sz w:val="20"/>
          <w:szCs w:val="20"/>
          <w:shd w:fill="F0F0F0" w:val="clear"/>
        </w:rPr>
        <w:t xml:space="preserve">% Multi-Fatality Events</w:t>
      </w:r>
      <w:r>
        <w:rPr>
          <w:rFonts w:ascii="Calibri" w:cs="Calibri" w:eastAsia="Calibri" w:hAnsi="Calibri"/>
        </w:rPr>
        <w:t xml:space="preserve"> bar chart by </w:t>
      </w:r>
      <w:r>
        <w:rPr>
          <w:rFonts w:ascii="Consolas" w:cs="Consolas" w:eastAsia="Consolas" w:hAnsi="Consolas"/>
          <w:sz w:val="20"/>
          <w:szCs w:val="20"/>
          <w:shd w:fill="F0F0F0" w:val="clear"/>
        </w:rPr>
        <w:t xml:space="preserve">ActivityCategory</w:t>
      </w:r>
      <w:r>
        <w:rPr>
          <w:rFonts w:ascii="Calibri" w:cs="Calibri" w:eastAsia="Calibri" w:hAnsi="Calibri"/>
        </w:rPr>
        <w:t xml:space="preserve">, and a severity- comparison table (</w:t>
      </w:r>
      <w:r>
        <w:rPr>
          <w:rFonts w:ascii="Consolas" w:cs="Consolas" w:eastAsia="Consolas" w:hAnsi="Consolas"/>
          <w:sz w:val="20"/>
          <w:szCs w:val="20"/>
          <w:shd w:fill="F0F0F0" w:val="clear"/>
        </w:rPr>
        <w:t xml:space="preserve">FatalityGroupSize</w:t>
      </w:r>
      <w:r>
        <w:rPr>
          <w:rFonts w:ascii="Calibri" w:cs="Calibri" w:eastAsia="Calibri" w:hAnsi="Calibri"/>
        </w:rPr>
        <w:t xml:space="preserve"> rows vs. </w:t>
      </w:r>
      <w:r>
        <w:rPr>
          <w:rFonts w:ascii="Consolas" w:cs="Consolas" w:eastAsia="Consolas" w:hAnsi="Consolas"/>
          <w:sz w:val="20"/>
          <w:szCs w:val="20"/>
          <w:shd w:fill="F0F0F0" w:val="clear"/>
        </w:rPr>
        <w:t xml:space="preserve">Modern Parsed Events</w:t>
      </w:r>
      <w:r>
        <w:rPr>
          <w:rFonts w:ascii="Calibri" w:cs="Calibri" w:eastAsia="Calibri" w:hAnsi="Calibri"/>
        </w:rPr>
        <w:t xml:space="preserve">, </w:t>
      </w:r>
      <w:r>
        <w:rPr>
          <w:rFonts w:ascii="Consolas" w:cs="Consolas" w:eastAsia="Consolas" w:hAnsi="Consolas"/>
          <w:sz w:val="20"/>
          <w:szCs w:val="20"/>
          <w:shd w:fill="F0F0F0" w:val="clear"/>
        </w:rPr>
        <w:t xml:space="preserve">Avg People Caught (Modern)</w:t>
      </w:r>
      <w:r>
        <w:rPr>
          <w:rFonts w:ascii="Calibri" w:cs="Calibri" w:eastAsia="Calibri" w:hAnsi="Calibri"/>
        </w:rPr>
        <w:t xml:space="preserve">, </w:t>
      </w:r>
      <w:r>
        <w:rPr>
          <w:rFonts w:ascii="Consolas" w:cs="Consolas" w:eastAsia="Consolas" w:hAnsi="Consolas"/>
          <w:sz w:val="20"/>
          <w:szCs w:val="20"/>
          <w:shd w:fill="F0F0F0" w:val="clear"/>
        </w:rPr>
        <w:t xml:space="preserve">Avg Killed (Modern, Parsed)</w:t>
      </w:r>
      <w:r>
        <w:rPr>
          <w:rFonts w:ascii="Calibri" w:cs="Calibri" w:eastAsia="Calibri" w:hAnsi="Calibri"/>
        </w:rPr>
        <w:t xml:space="preserve">, </w:t>
      </w:r>
      <w:r>
        <w:rPr>
          <w:rFonts w:ascii="Consolas" w:cs="Consolas" w:eastAsia="Consolas" w:hAnsi="Consolas"/>
          <w:sz w:val="20"/>
          <w:szCs w:val="20"/>
          <w:shd w:fill="F0F0F0" w:val="clear"/>
        </w:rPr>
        <w:t xml:space="preserve">Survival Rate (Modern)</w:t>
      </w:r>
      <w:r>
        <w:rPr>
          <w:rFonts w:ascii="Calibri" w:cs="Calibri" w:eastAsia="Calibri" w:hAnsi="Calibri"/>
        </w:rPr>
        <w:t xml:space="preserve">). Two named findings: (1) multi-fatality events are 16% of all 1,016 fatal accidents but 32% of all deaths, and the danger compounds once caught — modern-era (2013-2025) survival rate for people caught in a multi-fatality event is 24%, versus 32% for single-fatality events (261 modern, parsed events); (2) Climbing/Mountaineering has by far the highest multi-fatality rate of any activity category (37.5%, versus 11-20% for every other category), plausibly reflecting roped travel and shared route exposure — a single avalanche can catch an entire climbing party, a structurally different exposure pattern than solo or small-group backcountry/snowmobile travel. </w:t>
      </w:r>
      <w:r>
        <w:rPr>
          <w:rFonts w:ascii="Consolas" w:cs="Consolas" w:eastAsia="Consolas" w:hAnsi="Consolas"/>
          <w:sz w:val="20"/>
          <w:szCs w:val="20"/>
          <w:shd w:fill="F0F0F0" w:val="clear"/>
        </w:rPr>
        <w:t xml:space="preserve">FatalityGroupSize</w:t>
      </w:r>
      <w:r>
        <w:rPr>
          <w:rFonts w:ascii="Calibri" w:cs="Calibri" w:eastAsia="Calibri" w:hAnsi="Calibri"/>
        </w:rPr>
        <w:t xml:space="preserve"> built as a one-line DAX calculated column off </w:t>
      </w:r>
      <w:r>
        <w:rPr>
          <w:rFonts w:ascii="Consolas" w:cs="Consolas" w:eastAsia="Consolas" w:hAnsi="Consolas"/>
          <w:sz w:val="20"/>
          <w:szCs w:val="20"/>
          <w:shd w:fill="F0F0F0" w:val="clear"/>
        </w:rPr>
        <w:t xml:space="preserve">Killed</w:t>
      </w:r>
      <w:r>
        <w:rPr>
          <w:rFonts w:ascii="Calibri" w:cs="Calibri" w:eastAsia="Calibri" w:hAnsi="Calibri"/>
        </w:rPr>
        <w:t xml:space="preserve"> (relabeled </w:t>
      </w:r>
      <w:r>
        <w:rPr>
          <w:rFonts w:ascii="Consolas" w:cs="Consolas" w:eastAsia="Consolas" w:hAnsi="Consolas"/>
          <w:sz w:val="20"/>
          <w:szCs w:val="20"/>
          <w:shd w:fill="F0F0F0" w:val="clear"/>
        </w:rPr>
        <w:t xml:space="preserve">Single-fatality (1)</w:t>
      </w:r>
      <w:r>
        <w:rPr>
          <w:rFonts w:ascii="Calibri" w:cs="Calibri" w:eastAsia="Calibri" w:hAnsi="Calibri"/>
        </w:rPr>
        <w:t xml:space="preserve"> / </w:t>
      </w:r>
      <w:r>
        <w:rPr>
          <w:rFonts w:ascii="Consolas" w:cs="Consolas" w:eastAsia="Consolas" w:hAnsi="Consolas"/>
          <w:sz w:val="20"/>
          <w:szCs w:val="20"/>
          <w:shd w:fill="F0F0F0" w:val="clear"/>
        </w:rPr>
        <w:t xml:space="preserve">Multi-Fatality (2+)</w:t>
      </w:r>
      <w:r>
        <w:rPr>
          <w:rFonts w:ascii="Calibri" w:cs="Calibri" w:eastAsia="Calibri" w:hAnsi="Calibri"/>
        </w:rPr>
        <w:t xml:space="preserve">) — purely mechanical, no Python script needed, same rationale as </w:t>
      </w:r>
      <w:r>
        <w:rPr>
          <w:rFonts w:ascii="Consolas" w:cs="Consolas" w:eastAsia="Consolas" w:hAnsi="Consolas"/>
          <w:sz w:val="20"/>
          <w:szCs w:val="20"/>
          <w:shd w:fill="F0F0F0" w:val="clear"/>
        </w:rPr>
        <w:t xml:space="preserve">Region</w:t>
      </w:r>
      <w:r>
        <w:rPr>
          <w:rFonts w:ascii="Calibri" w:cs="Calibri" w:eastAsia="Calibri" w:hAnsi="Calibri"/>
        </w:rPr>
        <w:t xml:space="preserve"> in Q3.</w:t>
      </w:r>
    </w:p>
    <w:p>
      <w:pPr>
        <w:spacing w:after="160"/>
      </w:pPr>
      <w:r>
        <w:rPr>
          <w:rFonts w:ascii="Calibri" w:cs="Calibri" w:eastAsia="Calibri" w:hAnsi="Calibri"/>
          <w:b/>
          <w:bCs/>
        </w:rPr>
        <w:t xml:space="preserve">Build note:</w:t>
      </w:r>
      <w:r>
        <w:rPr>
          <w:rFonts w:ascii="Calibri" w:cs="Calibri" w:eastAsia="Calibri" w:hAnsi="Calibri"/>
        </w:rPr>
        <w:t xml:space="preserve"> the </w:t>
      </w:r>
      <w:r>
        <w:rPr>
          <w:rFonts w:ascii="Consolas" w:cs="Consolas" w:eastAsia="Consolas" w:hAnsi="Consolas"/>
          <w:sz w:val="20"/>
          <w:szCs w:val="20"/>
          <w:shd w:fill="F0F0F0" w:val="clear"/>
        </w:rPr>
        <w:t xml:space="preserve">AvyYear</w:t>
      </w:r>
      <w:r>
        <w:rPr>
          <w:rFonts w:ascii="Calibri" w:cs="Calibri" w:eastAsia="Calibri" w:hAnsi="Calibri"/>
        </w:rPr>
        <w:t xml:space="preserve"> column was imported into Power BI with the wrong data type (Text instead of Whole Number) — invisible until a measure actually did a numeric comparison against it (</w:t>
      </w:r>
      <w:r>
        <w:rPr>
          <w:rFonts w:ascii="Consolas" w:cs="Consolas" w:eastAsia="Consolas" w:hAnsi="Consolas"/>
          <w:sz w:val="20"/>
          <w:szCs w:val="20"/>
          <w:shd w:fill="F0F0F0" w:val="clear"/>
        </w:rPr>
        <w:t xml:space="preserve">AvyYear &gt;= 2013</w:t>
      </w:r>
      <w:r>
        <w:rPr>
          <w:rFonts w:ascii="Calibri" w:cs="Calibri" w:eastAsia="Calibri" w:hAnsi="Calibri"/>
        </w:rPr>
        <w:t xml:space="preserve">), which threw a "DAX comparison operations do not support comparing values of type Text with values of type Integer" error. Existing charts never hit this because none of them did a raw row-level numeric comparison against </w:t>
      </w:r>
      <w:r>
        <w:rPr>
          <w:rFonts w:ascii="Consolas" w:cs="Consolas" w:eastAsia="Consolas" w:hAnsi="Consolas"/>
          <w:sz w:val="20"/>
          <w:szCs w:val="20"/>
          <w:shd w:fill="F0F0F0" w:val="clear"/>
        </w:rPr>
        <w:t xml:space="preserve">AvyYear</w:t>
      </w:r>
      <w:r>
        <w:rPr>
          <w:rFonts w:ascii="Calibri" w:cs="Calibri" w:eastAsia="Calibri" w:hAnsi="Calibri"/>
        </w:rPr>
        <w:t xml:space="preserve"> directly. Fixed by changing the column's Data type to Whole Number directly in Power BI's Data view (mechanical fix, no Python needed). Worth remembering for any future measure that filters on </w:t>
      </w:r>
      <w:r>
        <w:rPr>
          <w:rFonts w:ascii="Consolas" w:cs="Consolas" w:eastAsia="Consolas" w:hAnsi="Consolas"/>
          <w:sz w:val="20"/>
          <w:szCs w:val="20"/>
          <w:shd w:fill="F0F0F0" w:val="clear"/>
        </w:rPr>
        <w:t xml:space="preserve">AvyYear</w:t>
      </w:r>
      <w:r>
        <w:rPr>
          <w:rFonts w:ascii="Calibri" w:cs="Calibri" w:eastAsia="Calibri" w:hAnsi="Calibri"/>
        </w:rPr>
        <w:t xml:space="preserve"> a new way — see </w:t>
      </w:r>
      <w:r>
        <w:rPr>
          <w:rFonts w:ascii="Consolas" w:cs="Consolas" w:eastAsia="Consolas" w:hAnsi="Consolas"/>
          <w:sz w:val="20"/>
          <w:szCs w:val="20"/>
          <w:shd w:fill="F0F0F0" w:val="clear"/>
        </w:rPr>
        <w:t xml:space="preserve">fact_table_data_dictionary.md</w:t>
      </w:r>
      <w:r>
        <w:rPr>
          <w:rFonts w:ascii="Calibri" w:cs="Calibri" w:eastAsia="Calibri" w:hAnsi="Calibri"/>
        </w:rPr>
        <w:t xml:space="preserve"> for the full writeup.</w:t>
      </w:r>
    </w:p>
    <w:p>
      <w:pPr>
        <w:spacing w:after="160"/>
      </w:pPr>
      <w:r>
        <w:rPr>
          <w:rFonts w:ascii="Calibri" w:cs="Calibri" w:eastAsia="Calibri" w:hAnsi="Calibri"/>
          <w:b/>
          <w:bCs/>
        </w:rPr>
        <w:t xml:space="preserve">Caveats to carry onto the page:</w:t>
      </w:r>
      <w:r>
        <w:rPr>
          <w:rFonts w:ascii="Calibri" w:cs="Calibri" w:eastAsia="Calibri" w:hAnsi="Calibri"/>
        </w:rPr>
        <w:t xml:space="preserve"> the severity-comparison table is restricted to the 261 modern-era (2013-2025) events with both a description and a valid </w:t>
      </w:r>
      <w:r>
        <w:rPr>
          <w:rFonts w:ascii="Consolas" w:cs="Consolas" w:eastAsia="Consolas" w:hAnsi="Consolas"/>
          <w:sz w:val="20"/>
          <w:szCs w:val="20"/>
          <w:shd w:fill="F0F0F0" w:val="clear"/>
        </w:rPr>
        <w:t xml:space="preserve">PeopleCaught</w:t>
      </w:r>
      <w:r>
        <w:rPr>
          <w:rFonts w:ascii="Calibri" w:cs="Calibri" w:eastAsia="Calibri" w:hAnsi="Calibri"/>
        </w:rPr>
        <w:t xml:space="preserve"> parse — only 27 of those are multi-fatality, a small sample that should be read directionally, not as a precise rate. The activity-category breakdown carries the same investigator-subjectivity caveat as Q2 and Q3: </w:t>
      </w:r>
      <w:r>
        <w:rPr>
          <w:rFonts w:ascii="Consolas" w:cs="Consolas" w:eastAsia="Consolas" w:hAnsi="Consolas"/>
          <w:sz w:val="20"/>
          <w:szCs w:val="20"/>
          <w:shd w:fill="F0F0F0" w:val="clear"/>
        </w:rPr>
        <w:t xml:space="preserve">PrimaryActivity</w:t>
      </w:r>
      <w:r>
        <w:rPr>
          <w:rFonts w:ascii="Calibri" w:cs="Calibri" w:eastAsia="Calibri" w:hAnsi="Calibri"/>
        </w:rPr>
        <w:t xml:space="preserve"> reflects individual investigator judgment, not a standardized taxonomy applied consistently across 75 years.</w:t>
      </w:r>
    </w:p>
    <w:p>
      <w:pPr>
        <w:pStyle w:val="Heading2"/>
        <w:spacing w:after="160" w:before="240"/>
      </w:pPr>
      <w:r>
        <w:t xml:space="preserve">Q5. Backcountry readiness engagement vs. Colorado fatalities</w:t>
      </w:r>
    </w:p>
    <w:p>
      <w:pPr>
        <w:spacing w:after="160"/>
      </w:pPr>
      <w:r>
        <w:rPr>
          <w:rFonts w:ascii="Calibri" w:cs="Calibri" w:eastAsia="Calibri" w:hAnsi="Calibri"/>
          <w:b/>
          <w:bCs/>
        </w:rPr>
        <w:t xml:space="preserve">Question:</w:t>
      </w:r>
      <w:r>
        <w:rPr>
          <w:rFonts w:ascii="Calibri" w:cs="Calibri" w:eastAsia="Calibri" w:hAnsi="Calibri"/>
        </w:rPr>
        <w:t xml:space="preserve"> Does CAIC website engagement — used here as a proxy for how many people are preparing before heading into the backcountry, not a headcount of participants — show a rising trend over FY2015-16 through FY2024-25, and do Colorado avalanche fatalities show any corresponding trend against it?</w:t>
      </w:r>
    </w:p>
    <w:p>
      <w:pPr>
        <w:spacing w:after="160"/>
      </w:pPr>
      <w:r>
        <w:rPr>
          <w:rFonts w:ascii="Calibri" w:cs="Calibri" w:eastAsia="Calibri" w:hAnsi="Calibri"/>
          <w:b/>
          <w:bCs/>
        </w:rPr>
        <w:t xml:space="preserve">Why it matters:</w:t>
      </w:r>
      <w:r>
        <w:rPr>
          <w:rFonts w:ascii="Calibri" w:cs="Calibri" w:eastAsia="Calibri" w:hAnsi="Calibri"/>
        </w:rPr>
        <w:t xml:space="preserve"> This is the question that started the whole project: is backcountry travel actually becoming safer as gear, forecasting tools, and avalanche education have improved? Added mid-project, once it was clear the other four questions wouldn't get to it on their own. Research turned up no clean, continuous, publicly available time series of backcountry participation or safety-equipment/education adoption — what exists is scattered industry press-release snapshots (SIA/SFIA) with inconsistent year-to-year definitions, and even peer-reviewed research using CAIC's own accident data (Niemann et al., 2022) had to drop an avalanche-education variable entirely due to 78% missing data. CAIC's own website/app engagement numbers are the best available substitute: same organization, same years, directly comparable to the fatality data already on this dashboard, and tied to Tremper's "check the forecast before you go" risk-reduction framing already central to this project's citations.</w:t>
      </w:r>
    </w:p>
    <w:p>
      <w:pPr>
        <w:spacing w:after="160"/>
      </w:pPr>
      <w:r>
        <w:rPr>
          <w:rFonts w:ascii="Calibri" w:cs="Calibri" w:eastAsia="Calibri" w:hAnsi="Calibri"/>
          <w:b/>
          <w:bCs/>
        </w:rPr>
        <w:t xml:space="preserve">Supports it:</w:t>
      </w:r>
      <w:r>
        <w:rPr>
          <w:rFonts w:ascii="Calibri" w:cs="Calibri" w:eastAsia="Calibri" w:hAnsi="Calibri"/>
        </w:rPr>
        <w:t xml:space="preserve"> </w:t>
      </w:r>
      <w:r>
        <w:rPr>
          <w:rFonts w:ascii="Consolas" w:cs="Consolas" w:eastAsia="Consolas" w:hAnsi="Consolas"/>
          <w:sz w:val="20"/>
          <w:szCs w:val="20"/>
          <w:shd w:fill="F0F0F0" w:val="clear"/>
        </w:rPr>
        <w:t xml:space="preserve">caic_engagement_by_year</w:t>
      </w:r>
      <w:r>
        <w:rPr>
          <w:rFonts w:ascii="Calibri" w:cs="Calibri" w:eastAsia="Calibri" w:hAnsi="Calibri"/>
        </w:rPr>
        <w:t xml:space="preserve"> (</w:t>
      </w:r>
      <w:r>
        <w:rPr>
          <w:rFonts w:ascii="Consolas" w:cs="Consolas" w:eastAsia="Consolas" w:hAnsi="Consolas"/>
          <w:sz w:val="20"/>
          <w:szCs w:val="20"/>
          <w:shd w:fill="F0F0F0" w:val="clear"/>
        </w:rPr>
        <w:t xml:space="preserve">Website Value Clean</w:t>
      </w:r>
      <w:r>
        <w:rPr>
          <w:rFonts w:ascii="Calibri" w:cs="Calibri" w:eastAsia="Calibri" w:hAnsi="Calibri"/>
        </w:rPr>
        <w:t xml:space="preserve"> measure), </w:t>
      </w:r>
      <w:r>
        <w:rPr>
          <w:rFonts w:ascii="Consolas" w:cs="Consolas" w:eastAsia="Consolas" w:hAnsi="Consolas"/>
          <w:sz w:val="20"/>
          <w:szCs w:val="20"/>
          <w:shd w:fill="F0F0F0" w:val="clear"/>
        </w:rPr>
        <w:t xml:space="preserve">fatalities_accident_db</w:t>
      </w:r>
      <w:r>
        <w:rPr>
          <w:rFonts w:ascii="Calibri" w:cs="Calibri" w:eastAsia="Calibri" w:hAnsi="Calibri"/>
        </w:rPr>
        <w:t xml:space="preserve"> (Colorado fatality count, cross- validated against the main accident database).</w:t>
      </w:r>
    </w:p>
    <w:p>
      <w:pPr>
        <w:spacing w:after="160"/>
      </w:pPr>
      <w:r>
        <w:rPr>
          <w:rFonts w:ascii="Calibri" w:cs="Calibri" w:eastAsia="Calibri" w:hAnsi="Calibri"/>
          <w:b/>
          <w:bCs/>
        </w:rPr>
        <w:t xml:space="preserve">Status: Done.</w:t>
      </w:r>
      <w:r>
        <w:rPr>
          <w:rFonts w:ascii="Calibri" w:cs="Calibri" w:eastAsia="Calibri" w:hAnsi="Calibri"/>
        </w:rPr>
        <w:t xml:space="preserve"> Built as a page with a dual-axis combo chart: engagement (</w:t>
      </w:r>
      <w:r>
        <w:rPr>
          <w:rFonts w:ascii="Consolas" w:cs="Consolas" w:eastAsia="Consolas" w:hAnsi="Consolas"/>
          <w:sz w:val="20"/>
          <w:szCs w:val="20"/>
          <w:shd w:fill="F0F0F0" w:val="clear"/>
        </w:rPr>
        <w:t xml:space="preserve">Website Value Clean</w:t>
      </w:r>
      <w:r>
        <w:rPr>
          <w:rFonts w:ascii="Calibri" w:cs="Calibri" w:eastAsia="Calibri" w:hAnsi="Calibri"/>
        </w:rPr>
        <w:t xml:space="preserve">, columns) against Colorado avalanche fatalities (line, secondary axis) by </w:t>
      </w:r>
      <w:r>
        <w:rPr>
          <w:rFonts w:ascii="Consolas" w:cs="Consolas" w:eastAsia="Consolas" w:hAnsi="Consolas"/>
          <w:sz w:val="20"/>
          <w:szCs w:val="20"/>
          <w:shd w:fill="F0F0F0" w:val="clear"/>
        </w:rPr>
        <w:t xml:space="preserve">avy_year</w:t>
      </w:r>
      <w:r>
        <w:rPr>
          <w:rFonts w:ascii="Calibri" w:cs="Calibri" w:eastAsia="Calibri" w:hAnsi="Calibri"/>
        </w:rPr>
        <w:t xml:space="preserve">. Recomputed independently in Python against the canonical CSV before documenting (project convention — see Q4 and the appendix for the same cross-check habit) — and this cross-check caught a real error in an earlier draft of this write-up, worth recording as its own small lesson: engagement has a real upward trend against year (r≈0.57, excluding the flagged FY16-17 value), rising ≈41% comparing the first three valid years' average (FY15-16–FY18-19, ≈1.95M) to the most recent three (FY22-23–FY24-25, ≈2.74M) — the dashboard's "Website Engagement Growth Since 2016" KPI shows the same figure, rounded to +41%. Fatalities show almost no relationship to year over the same span (r≈0.16) — an earlier pass at this number wrongly excluded FY16-17 from the *fatalities* series too (that year's fatality count isn't suspect, only its website figure is), which artificially flattened the correlation to r≈-0.03. Keeping all 10 years for fatalities and only excluding the flagged year from the engagement series gives the correct r≈0.16 — still a weak relationship, still governed mostly by each season's snowpack rather than by engagement's rise, just not quite as flat as the earlier miscalculation suggested.</w:t>
      </w:r>
    </w:p>
    <w:p>
      <w:pPr>
        <w:spacing w:after="160"/>
      </w:pPr>
      <w:r>
        <w:rPr>
          <w:rFonts w:ascii="Calibri" w:cs="Calibri" w:eastAsia="Calibri" w:hAnsi="Calibri"/>
          <w:b/>
          <w:bCs/>
        </w:rPr>
        <w:t xml:space="preserve">Finding, as written on the page:</w:t>
      </w:r>
      <w:r>
        <w:rPr>
          <w:rFonts w:ascii="Calibri" w:cs="Calibri" w:eastAsia="Calibri" w:hAnsi="Calibri"/>
        </w:rPr>
        <w:t xml:space="preserve"> the KPI row shows four cards (</w:t>
      </w:r>
      <w:r>
        <w:rPr>
          <w:rFonts w:ascii="Consolas" w:cs="Consolas" w:eastAsia="Consolas" w:hAnsi="Consolas"/>
          <w:sz w:val="20"/>
          <w:szCs w:val="20"/>
          <w:shd w:fill="F0F0F0" w:val="clear"/>
        </w:rPr>
        <w:t xml:space="preserve">Avg CO Fatalities Per Season</w:t>
      </w:r>
      <w:r>
        <w:rPr>
          <w:rFonts w:ascii="Calibri" w:cs="Calibri" w:eastAsia="Calibri" w:hAnsi="Calibri"/>
        </w:rPr>
        <w:t xml:space="preserve">: 5.80, </w:t>
      </w:r>
      <w:r>
        <w:rPr>
          <w:rFonts w:ascii="Consolas" w:cs="Consolas" w:eastAsia="Consolas" w:hAnsi="Consolas"/>
          <w:sz w:val="20"/>
          <w:szCs w:val="20"/>
          <w:shd w:fill="F0F0F0" w:val="clear"/>
        </w:rPr>
        <w:t xml:space="preserve">Website Engagement Growth Since 2016</w:t>
      </w:r>
      <w:r>
        <w:rPr>
          <w:rFonts w:ascii="Calibri" w:cs="Calibri" w:eastAsia="Calibri" w:hAnsi="Calibri"/>
        </w:rPr>
        <w:t xml:space="preserve">: +41%, </w:t>
      </w:r>
      <w:r>
        <w:rPr>
          <w:rFonts w:ascii="Consolas" w:cs="Consolas" w:eastAsia="Consolas" w:hAnsi="Consolas"/>
          <w:sz w:val="20"/>
          <w:szCs w:val="20"/>
          <w:shd w:fill="F0F0F0" w:val="clear"/>
        </w:rPr>
        <w:t xml:space="preserve">Correlation With Engagement</w:t>
      </w:r>
      <w:r>
        <w:rPr>
          <w:rFonts w:ascii="Calibri" w:cs="Calibri" w:eastAsia="Calibri" w:hAnsi="Calibri"/>
        </w:rPr>
        <w:t xml:space="preserve">: "Moderate Upward Trend" with "r ~ 0.57 vs. year" as supporting detail, </w:t>
      </w:r>
      <w:r>
        <w:rPr>
          <w:rFonts w:ascii="Consolas" w:cs="Consolas" w:eastAsia="Consolas" w:hAnsi="Consolas"/>
          <w:sz w:val="20"/>
          <w:szCs w:val="20"/>
          <w:shd w:fill="F0F0F0" w:val="clear"/>
        </w:rPr>
        <w:t xml:space="preserve">Correlation With Fatalities</w:t>
      </w:r>
      <w:r>
        <w:rPr>
          <w:rFonts w:ascii="Calibri" w:cs="Calibri" w:eastAsia="Calibri" w:hAnsi="Calibri"/>
        </w:rPr>
        <w:t xml:space="preserve">: "No Meaningful Trend" with "r ~ 0.16 vs. year"). The two correlation cards were deliberately split and given plain-language labels rather than raw r-values, since two unlabeled correlation numbers side by side on a page about engagement-vs-fatalities invited readers to assume they measured the relationship between those two variables directly, when both actually measure each variable's own trend against year. Below the chart: "Fatalities bounce up and down mainly with how dangerous each season's snowpack was, not with engagement. That pattern is consistent with risk per person going down as more people prepare, though we can't say for sure why, whether better gear, more education, or more cautious decisions."</w:t>
      </w:r>
    </w:p>
    <w:p>
      <w:pPr>
        <w:spacing w:after="160"/>
      </w:pPr>
      <w:r>
        <w:rPr>
          <w:rFonts w:ascii="Calibri" w:cs="Calibri" w:eastAsia="Calibri" w:hAnsi="Calibri"/>
          <w:b/>
          <w:bCs/>
        </w:rPr>
        <w:t xml:space="preserve">Build note:</w:t>
      </w:r>
      <w:r>
        <w:rPr>
          <w:rFonts w:ascii="Calibri" w:cs="Calibri" w:eastAsia="Calibri" w:hAnsi="Calibri"/>
        </w:rPr>
        <w:t xml:space="preserve"> the duplicate FY16-17 website figure (see </w:t>
      </w:r>
      <w:r>
        <w:rPr>
          <w:rFonts w:ascii="Consolas" w:cs="Consolas" w:eastAsia="Consolas" w:hAnsi="Consolas"/>
          <w:sz w:val="20"/>
          <w:szCs w:val="20"/>
          <w:shd w:fill="F0F0F0" w:val="clear"/>
        </w:rPr>
        <w:t xml:space="preserve">caic_engagement_data_dictionary.md</w:t>
      </w:r>
      <w:r>
        <w:rPr>
          <w:rFonts w:ascii="Calibri" w:cs="Calibri" w:eastAsia="Calibri" w:hAnsi="Calibri"/>
        </w:rPr>
        <w:t xml:space="preserve"> Caveat 2) needed the same flag-don't-guess treatment used everywhere else in this project. Built as a </w:t>
      </w:r>
      <w:r>
        <w:rPr>
          <w:rFonts w:ascii="Consolas" w:cs="Consolas" w:eastAsia="Consolas" w:hAnsi="Consolas"/>
          <w:sz w:val="20"/>
          <w:szCs w:val="20"/>
          <w:shd w:fill="F0F0F0" w:val="clear"/>
        </w:rPr>
        <w:t xml:space="preserve">Website Value Clean</w:t>
      </w:r>
      <w:r>
        <w:rPr>
          <w:rFonts w:ascii="Calibri" w:cs="Calibri" w:eastAsia="Calibri" w:hAnsi="Calibri"/>
        </w:rPr>
        <w:t xml:space="preserve"> measure — </w:t>
      </w:r>
      <w:r>
        <w:rPr>
          <w:rFonts w:ascii="Consolas" w:cs="Consolas" w:eastAsia="Consolas" w:hAnsi="Consolas"/>
          <w:sz w:val="20"/>
          <w:szCs w:val="20"/>
          <w:shd w:fill="F0F0F0" w:val="clear"/>
        </w:rPr>
        <w:t xml:space="preserve">IF(website_metric_suspect = TRUE, BLANK(), website_metric_value)</w:t>
      </w:r>
      <w:r>
        <w:rPr>
          <w:rFonts w:ascii="Calibri" w:cs="Calibri" w:eastAsia="Calibri" w:hAnsi="Calibri"/>
        </w:rPr>
        <w:t xml:space="preserve"> — so the suspect year renders as a real gap on the chart rather than either the fake duplicate value or a fabricated substitute. Confirmed values match the source CSV exactly.</w:t>
      </w:r>
    </w:p>
    <w:p>
      <w:pPr>
        <w:spacing w:after="160"/>
      </w:pPr>
      <w:r>
        <w:rPr>
          <w:rFonts w:ascii="Calibri" w:cs="Calibri" w:eastAsia="Calibri" w:hAnsi="Calibri"/>
          <w:b/>
          <w:bCs/>
        </w:rPr>
        <w:t xml:space="preserve">Caveats, as written on the page:</w:t>
      </w:r>
      <w:r>
        <w:rPr>
          <w:rFonts w:ascii="Calibri" w:cs="Calibri" w:eastAsia="Calibri" w:hAnsi="Calibri"/>
        </w:rPr>
        <w:t xml:space="preserve"> "This measures engagement with CAIC's safety information, not a participant headcount — it can't tell one person checking daily from many checking once, and some traffic is storm- or news-driven rather than trip-planning. Ten seasons is enough to see a direction, not enough to prove one. 2017 excluded as suspected duplicate data entry (see Data Quality and Methodology)." The metric definition-change and FY21-22 backfill caveats moved to the Data Quality and Methodology appendix rather than repeating on this page; see the appendix below for the current wording. A peer-reviewed 2022 study using CAIC's own fatality data tried to track avalanche-education trends over a similar window and had to drop the analysis entirely — 78% of the underlying reports didn't record it (background context, not on the page itself).</w:t>
      </w:r>
    </w:p>
    <w:p>
      <w:pPr>
        <w:spacing w:after="160"/>
      </w:pPr>
      <w:r>
        <w:rPr>
          <w:rFonts w:ascii="Calibri" w:cs="Calibri" w:eastAsia="Calibri" w:hAnsi="Calibri"/>
          <w:b/>
          <w:bCs/>
        </w:rPr>
        <w:t xml:space="preserve">Naming note:</w:t>
      </w:r>
      <w:r>
        <w:rPr>
          <w:rFonts w:ascii="Calibri" w:cs="Calibri" w:eastAsia="Calibri" w:hAnsi="Calibri"/>
        </w:rPr>
        <w:t xml:space="preserve"> this page is labeled </w:t>
      </w:r>
      <w:r>
        <w:rPr>
          <w:rFonts w:ascii="Consolas" w:cs="Consolas" w:eastAsia="Consolas" w:hAnsi="Consolas"/>
          <w:sz w:val="20"/>
          <w:szCs w:val="20"/>
          <w:shd w:fill="F0F0F0" w:val="clear"/>
        </w:rPr>
        <w:t xml:space="preserve">Q5</w:t>
      </w:r>
      <w:r>
        <w:rPr>
          <w:rFonts w:ascii="Calibri" w:cs="Calibri" w:eastAsia="Calibri" w:hAnsi="Calibri"/>
        </w:rPr>
        <w:t xml:space="preserve"> in Power BI. The page previously documented here as Q5 (</w:t>
      </w:r>
      <w:r>
        <w:rPr>
          <w:rFonts w:ascii="Consolas" w:cs="Consolas" w:eastAsia="Consolas" w:hAnsi="Consolas"/>
          <w:sz w:val="20"/>
          <w:szCs w:val="20"/>
          <w:shd w:fill="F0F0F0" w:val="clear"/>
        </w:rPr>
        <w:t xml:space="preserve">Data Quality and Methodology</w:t>
      </w:r>
      <w:r>
        <w:rPr>
          <w:rFonts w:ascii="Calibri" w:cs="Calibri" w:eastAsia="Calibri" w:hAnsi="Calibri"/>
        </w:rPr>
        <w:t xml:space="preserve">) has moved to an appendix at the end of this document — it was never actually a findings-bearing research question, it's a page that qualifies all of them, so it doesn't need a Q-number of its own.</w:t>
      </w:r>
    </w:p>
    <w:p>
      <w:pPr>
        <w:pStyle w:val="Heading2"/>
        <w:spacing w:after="160" w:before="240"/>
      </w:pPr>
      <w:r>
        <w:t xml:space="preserve">How these connect (worth remembering as you build)</w:t>
      </w:r>
    </w:p>
    <w:p>
      <w:pPr>
        <w:spacing w:after="160"/>
      </w:pPr>
      <w:r>
        <w:rPr>
          <w:rFonts w:ascii="Calibri" w:cs="Calibri" w:eastAsia="Calibri" w:hAnsi="Calibri"/>
        </w:rPr>
        <w:t xml:space="preserve">Findings don't stay inside their own question. The 2020-21 deadliest-season finding surfaced on the Q1 page, but it's really a Q2 (human factors) story — a surge of inexperienced backcountry users during COVID — wearing Q1's clothes. Expect more of this. When it happens, it's worth a cross-reference rather than pretending each page is hermetically sealed from the others.</w:t>
      </w:r>
    </w:p>
    <w:p>
      <w:pPr>
        <w:pStyle w:val="Heading2"/>
        <w:spacing w:after="160" w:before="240"/>
      </w:pPr>
      <w:r>
        <w:t xml:space="preserve">Appendix: Data Quality and Methodology (not a findings page — an honesty page)</w:t>
      </w:r>
    </w:p>
    <w:p>
      <w:pPr>
        <w:spacing w:after="160"/>
      </w:pPr>
      <w:r>
        <w:rPr>
          <w:rFonts w:ascii="Calibri" w:cs="Calibri" w:eastAsia="Calibri" w:hAnsi="Calibri"/>
        </w:rPr>
        <w:t xml:space="preserve">Not one of the five numbered research questions above — this page's job is to qualify all five of them, not answer one of them, so it's documented here rather than taking a Q-number.</w:t>
      </w:r>
    </w:p>
    <w:p>
      <w:pPr>
        <w:spacing w:after="160"/>
      </w:pPr>
      <w:r>
        <w:rPr>
          <w:rFonts w:ascii="Calibri" w:cs="Calibri" w:eastAsia="Calibri" w:hAnsi="Calibri"/>
          <w:b/>
          <w:bCs/>
        </w:rPr>
        <w:t xml:space="preserve">Question:</w:t>
      </w:r>
      <w:r>
        <w:rPr>
          <w:rFonts w:ascii="Calibri" w:cs="Calibri" w:eastAsia="Calibri" w:hAnsi="Calibri"/>
        </w:rPr>
        <w:t xml:space="preserve"> How has the record-keeping itself changed over 75 years, and what does that mean for how much weight any of the above findings can actually bear?</w:t>
      </w:r>
    </w:p>
    <w:p>
      <w:pPr>
        <w:spacing w:after="160"/>
      </w:pPr>
      <w:r>
        <w:rPr>
          <w:rFonts w:ascii="Calibri" w:cs="Calibri" w:eastAsia="Calibri" w:hAnsi="Calibri"/>
          <w:b/>
          <w:bCs/>
        </w:rPr>
        <w:t xml:space="preserve">Why it matters:</w:t>
      </w:r>
      <w:r>
        <w:rPr>
          <w:rFonts w:ascii="Calibri" w:cs="Calibri" w:eastAsia="Calibri" w:hAnsi="Calibri"/>
        </w:rPr>
        <w:t xml:space="preserve"> Every numbered question on this dashboard is gated by this one. A viewer who only sees the pretty trend lines and never sees this page could walk away trusting comparisons the data can't actually support.</w:t>
      </w:r>
    </w:p>
    <w:p>
      <w:pPr>
        <w:spacing w:after="160"/>
      </w:pPr>
      <w:r>
        <w:rPr>
          <w:rFonts w:ascii="Calibri" w:cs="Calibri" w:eastAsia="Calibri" w:hAnsi="Calibri"/>
          <w:b/>
          <w:bCs/>
        </w:rPr>
        <w:t xml:space="preserve">Supports it:</w:t>
      </w:r>
      <w:r>
        <w:rPr>
          <w:rFonts w:ascii="Calibri" w:cs="Calibri" w:eastAsia="Calibri" w:hAnsi="Calibri"/>
        </w:rPr>
        <w:t xml:space="preserve"> </w:t>
      </w:r>
      <w:r>
        <w:rPr>
          <w:rFonts w:ascii="Consolas" w:cs="Consolas" w:eastAsia="Consolas" w:hAnsi="Consolas"/>
          <w:sz w:val="20"/>
          <w:szCs w:val="20"/>
          <w:shd w:fill="F0F0F0" w:val="clear"/>
        </w:rPr>
        <w:t xml:space="preserve">HasLocation</w:t>
      </w:r>
      <w:r>
        <w:rPr>
          <w:rFonts w:ascii="Calibri" w:cs="Calibri" w:eastAsia="Calibri" w:hAnsi="Calibri"/>
        </w:rPr>
        <w:t xml:space="preserve">, </w:t>
      </w:r>
      <w:r>
        <w:rPr>
          <w:rFonts w:ascii="Consolas" w:cs="Consolas" w:eastAsia="Consolas" w:hAnsi="Consolas"/>
          <w:sz w:val="20"/>
          <w:szCs w:val="20"/>
          <w:shd w:fill="F0F0F0" w:val="clear"/>
        </w:rPr>
        <w:t xml:space="preserve">HasDescription</w:t>
      </w:r>
      <w:r>
        <w:rPr>
          <w:rFonts w:ascii="Calibri" w:cs="Calibri" w:eastAsia="Calibri" w:hAnsi="Calibri"/>
        </w:rPr>
        <w:t xml:space="preserve"> over time, the Setting confirmation and investigator-subjectivity caveat (see </w:t>
      </w:r>
      <w:r>
        <w:rPr>
          <w:rFonts w:ascii="Consolas" w:cs="Consolas" w:eastAsia="Consolas" w:hAnsi="Consolas"/>
          <w:sz w:val="20"/>
          <w:szCs w:val="20"/>
          <w:shd w:fill="F0F0F0" w:val="clear"/>
        </w:rPr>
        <w:t xml:space="preserve">fact_table_data_dictionary.md</w:t>
      </w:r>
      <w:r>
        <w:rPr>
          <w:rFonts w:ascii="Calibri" w:cs="Calibri" w:eastAsia="Calibri" w:hAnsi="Calibri"/>
        </w:rPr>
        <w:t xml:space="preserve">), the engagement-metric-definition-change caveat (see </w:t>
      </w:r>
      <w:r>
        <w:rPr>
          <w:rFonts w:ascii="Consolas" w:cs="Consolas" w:eastAsia="Consolas" w:hAnsi="Consolas"/>
          <w:sz w:val="20"/>
          <w:szCs w:val="20"/>
          <w:shd w:fill="F0F0F0" w:val="clear"/>
        </w:rPr>
        <w:t xml:space="preserve">caic_engagement_data_dictionary.md</w:t>
      </w:r>
      <w:r>
        <w:rPr>
          <w:rFonts w:ascii="Calibri" w:cs="Calibri" w:eastAsia="Calibri" w:hAnsi="Calibri"/>
        </w:rPr>
        <w:t xml:space="preserve">).</w:t>
      </w:r>
    </w:p>
    <w:p>
      <w:pPr>
        <w:spacing w:after="160"/>
      </w:pPr>
      <w:r>
        <w:rPr>
          <w:rFonts w:ascii="Calibri" w:cs="Calibri" w:eastAsia="Calibri" w:hAnsi="Calibri"/>
          <w:b/>
          <w:bCs/>
        </w:rPr>
        <w:t xml:space="preserve">Status: Done.</w:t>
      </w:r>
      <w:r>
        <w:rPr>
          <w:rFonts w:ascii="Calibri" w:cs="Calibri" w:eastAsia="Calibri" w:hAnsi="Calibri"/>
        </w:rPr>
        <w:t xml:space="preserve"> Built as a page (</w:t>
      </w:r>
      <w:r>
        <w:rPr>
          <w:rFonts w:ascii="Consolas" w:cs="Consolas" w:eastAsia="Consolas" w:hAnsi="Consolas"/>
          <w:sz w:val="20"/>
          <w:szCs w:val="20"/>
          <w:shd w:fill="F0F0F0" w:val="clear"/>
        </w:rPr>
        <w:t xml:space="preserve">Data Quality and Methodology</w:t>
      </w:r>
      <w:r>
        <w:rPr>
          <w:rFonts w:ascii="Calibri" w:cs="Calibri" w:eastAsia="Calibri" w:hAnsi="Calibri"/>
        </w:rPr>
        <w:t xml:space="preserve">) with a single centerpiece chart (</w:t>
      </w:r>
      <w:r>
        <w:rPr>
          <w:rFonts w:ascii="Consolas" w:cs="Consolas" w:eastAsia="Consolas" w:hAnsi="Consolas"/>
          <w:sz w:val="20"/>
          <w:szCs w:val="20"/>
          <w:shd w:fill="F0F0F0" w:val="clear"/>
        </w:rPr>
        <w:t xml:space="preserve">% HasLocation</w:t>
      </w:r>
      <w:r>
        <w:rPr>
          <w:rFonts w:ascii="Calibri" w:cs="Calibri" w:eastAsia="Calibri" w:hAnsi="Calibri"/>
        </w:rPr>
        <w:t xml:space="preserve"> and </w:t>
      </w:r>
      <w:r>
        <w:rPr>
          <w:rFonts w:ascii="Consolas" w:cs="Consolas" w:eastAsia="Consolas" w:hAnsi="Consolas"/>
          <w:sz w:val="20"/>
          <w:szCs w:val="20"/>
          <w:shd w:fill="F0F0F0" w:val="clear"/>
        </w:rPr>
        <w:t xml:space="preserve">% HasDescription</w:t>
      </w:r>
      <w:r>
        <w:rPr>
          <w:rFonts w:ascii="Calibri" w:cs="Calibri" w:eastAsia="Calibri" w:hAnsi="Calibri"/>
        </w:rPr>
        <w:t xml:space="preserve"> by </w:t>
      </w:r>
      <w:r>
        <w:rPr>
          <w:rFonts w:ascii="Consolas" w:cs="Consolas" w:eastAsia="Consolas" w:hAnsi="Consolas"/>
          <w:sz w:val="20"/>
          <w:szCs w:val="20"/>
          <w:shd w:fill="F0F0F0" w:val="clear"/>
        </w:rPr>
        <w:t xml:space="preserve">Decade</w:t>
      </w:r>
      <w:r>
        <w:rPr>
          <w:rFonts w:ascii="Calibri" w:cs="Calibri" w:eastAsia="Calibri" w:hAnsi="Calibri"/>
        </w:rPr>
        <w:t xml:space="preserve">) and four caveat text boxes. The chart tells the "record-keeping changed over 75 years" story on its own: both fields sit at 0% through the 1950s-1990s, </w:t>
      </w:r>
      <w:r>
        <w:rPr>
          <w:rFonts w:ascii="Consolas" w:cs="Consolas" w:eastAsia="Consolas" w:hAnsi="Consolas"/>
          <w:sz w:val="20"/>
          <w:szCs w:val="20"/>
          <w:shd w:fill="F0F0F0" w:val="clear"/>
        </w:rPr>
        <w:t xml:space="preserve">% HasLocation</w:t>
      </w:r>
      <w:r>
        <w:rPr>
          <w:rFonts w:ascii="Calibri" w:cs="Calibri" w:eastAsia="Calibri" w:hAnsi="Calibri"/>
        </w:rPr>
        <w:t xml:space="preserve"> climbs starting in the 2000s (19.8%, then 84.4% by the 2010s), </w:t>
      </w:r>
      <w:r>
        <w:rPr>
          <w:rFonts w:ascii="Consolas" w:cs="Consolas" w:eastAsia="Consolas" w:hAnsi="Consolas"/>
          <w:sz w:val="20"/>
          <w:szCs w:val="20"/>
          <w:shd w:fill="F0F0F0" w:val="clear"/>
        </w:rPr>
        <w:t xml:space="preserve">% HasDescription</w:t>
      </w:r>
      <w:r>
        <w:rPr>
          <w:rFonts w:ascii="Calibri" w:cs="Calibri" w:eastAsia="Calibri" w:hAnsi="Calibri"/>
        </w:rPr>
        <w:t xml:space="preserve"> only starts climbing a decade later (63.8% in the 2010s), and both reach 100% by the 2020s.</w:t>
      </w:r>
    </w:p>
    <w:p>
      <w:pPr>
        <w:spacing w:after="160"/>
      </w:pPr>
      <w:r>
        <w:rPr>
          <w:rFonts w:ascii="Calibri" w:cs="Calibri" w:eastAsia="Calibri" w:hAnsi="Calibri"/>
          <w:b/>
          <w:bCs/>
        </w:rPr>
        <w:t xml:space="preserve">The four caveats, as written on the page:</w:t>
      </w:r>
    </w:p>
    <w:p>
      <w:pPr>
        <w:pStyle w:val="ListParagraph"/>
        <w:numPr>
          <w:ilvl w:val="0"/>
          <w:numId w:val="3"/>
        </w:numPr>
        <w:spacing w:after="160"/>
      </w:pPr>
      <w:r>
        <w:rPr>
          <w:rFonts w:ascii="Calibri" w:cs="Calibri" w:eastAsia="Calibri" w:hAnsi="Calibri"/>
          <w:b/>
          <w:bCs/>
        </w:rPr>
        <w:t xml:space="preserve">Investigator judgment:</w:t>
      </w:r>
      <w:r>
        <w:rPr>
          <w:rFonts w:ascii="Calibri" w:cs="Calibri" w:eastAsia="Calibri" w:hAnsi="Calibri"/>
        </w:rPr>
        <w:t xml:space="preserve"> "Setting, PrimaryActivity, and other categorical fields reflect individual investigators' judgment at the time, not a standardized taxonomy applied consistently across 75 years (confirmed by CAIC's Spencer Logan). An apparent shift in the data may partly reflect changing investigator conventions, not just changing conditions on the mountain."</w:t>
      </w:r>
    </w:p>
    <w:p>
      <w:pPr>
        <w:pStyle w:val="ListParagraph"/>
        <w:numPr>
          <w:ilvl w:val="0"/>
          <w:numId w:val="3"/>
        </w:numPr>
        <w:spacing w:after="160"/>
      </w:pPr>
      <w:r>
        <w:rPr>
          <w:rFonts w:ascii="Calibri" w:cs="Calibri" w:eastAsia="Calibri" w:hAnsi="Calibri"/>
          <w:b/>
          <w:bCs/>
        </w:rPr>
        <w:t xml:space="preserve">Colorado vs. rest of nation:</w:t>
      </w:r>
      <w:r>
        <w:rPr>
          <w:rFonts w:ascii="Calibri" w:cs="Calibri" w:eastAsia="Calibri" w:hAnsi="Calibri"/>
        </w:rPr>
        <w:t xml:space="preserve"> "Colorado's own rows were investigated directly by CAIC staff; incidents in other states were only compiled from other sources. Colorado's data is the most internally consistent subset in this dataset, a reason to trust Colorado-specific comparisons (like Q3) more than nationwide ones."</w:t>
      </w:r>
    </w:p>
    <w:p>
      <w:pPr>
        <w:pStyle w:val="ListParagraph"/>
        <w:numPr>
          <w:ilvl w:val="0"/>
          <w:numId w:val="3"/>
        </w:numPr>
        <w:spacing w:after="160"/>
      </w:pPr>
      <w:r>
        <w:rPr>
          <w:rFonts w:ascii="Calibri" w:cs="Calibri" w:eastAsia="Calibri" w:hAnsi="Calibri"/>
          <w:b/>
          <w:bCs/>
        </w:rPr>
        <w:t xml:space="preserve">Engagement metric changes:</w:t>
      </w:r>
      <w:r>
        <w:rPr>
          <w:rFonts w:ascii="Calibri" w:cs="Calibri" w:eastAsia="Calibri" w:hAnsi="Calibri"/>
        </w:rPr>
        <w:t xml:space="preserve"> "The CAIC engagement proxy used on Q5 switches definitions mid-series: visits through FY17, then pageviews from FY18 on. A separate 'users' figure was added alongside pageviews starting FY21, not as a third replacement stage. Has one suspected duplicate data point (FY16-17) and one backfilled fatality count (FY21-22) rather than report-stated. It's directionally useful, not a single clean line."</w:t>
      </w:r>
    </w:p>
    <w:p>
      <w:pPr>
        <w:pStyle w:val="ListParagraph"/>
        <w:numPr>
          <w:ilvl w:val="0"/>
          <w:numId w:val="3"/>
        </w:numPr>
        <w:spacing w:after="160"/>
      </w:pPr>
      <w:r>
        <w:rPr>
          <w:rFonts w:ascii="Calibri" w:cs="Calibri" w:eastAsia="Calibri" w:hAnsi="Calibri"/>
          <w:b/>
          <w:bCs/>
        </w:rPr>
        <w:t xml:space="preserve">2025 is provisional:</w:t>
      </w:r>
      <w:r>
        <w:rPr>
          <w:rFonts w:ascii="Calibri" w:cs="Calibri" w:eastAsia="Calibri" w:hAnsi="Calibri"/>
        </w:rPr>
        <w:t xml:space="preserve"> "CAIC's own raw data flags 2024-25 as still 'Current Year' as of this export, not a closed, finalized season. Any total or chart including AvyYear 2025 should be read as provisional, not final."</w:t>
      </w:r>
    </w:p>
    <w:p>
      <w:pPr>
        <w:spacing w:after="160"/>
      </w:pPr>
      <w:r>
        <w:rPr>
          <w:rFonts w:ascii="Calibri" w:cs="Calibri" w:eastAsia="Calibri" w:hAnsi="Calibri"/>
          <w:b/>
          <w:bCs/>
        </w:rPr>
        <w:t xml:space="preserve">Build note:</w:t>
      </w:r>
      <w:r>
        <w:rPr>
          <w:rFonts w:ascii="Calibri" w:cs="Calibri" w:eastAsia="Calibri" w:hAnsi="Calibri"/>
        </w:rPr>
        <w:t xml:space="preserve"> building the coverage chart surfaced a second real DAX lesson (the first being the </w:t>
      </w:r>
      <w:r>
        <w:rPr>
          <w:rFonts w:ascii="Consolas" w:cs="Consolas" w:eastAsia="Consolas" w:hAnsi="Consolas"/>
          <w:sz w:val="20"/>
          <w:szCs w:val="20"/>
          <w:shd w:fill="F0F0F0" w:val="clear"/>
        </w:rPr>
        <w:t xml:space="preserve">AvyYear</w:t>
      </w:r>
      <w:r>
        <w:rPr>
          <w:rFonts w:ascii="Calibri" w:cs="Calibri" w:eastAsia="Calibri" w:hAnsi="Calibri"/>
        </w:rPr>
        <w:t xml:space="preserve"> Text-import bug from Q4). A </w:t>
      </w:r>
      <w:r>
        <w:rPr>
          <w:rFonts w:ascii="Consolas" w:cs="Consolas" w:eastAsia="Consolas" w:hAnsi="Consolas"/>
          <w:sz w:val="20"/>
          <w:szCs w:val="20"/>
          <w:shd w:fill="F0F0F0" w:val="clear"/>
        </w:rPr>
        <w:t xml:space="preserve">DIVIDE</w:t>
      </w:r>
      <w:r>
        <w:rPr>
          <w:rFonts w:ascii="Calibri" w:cs="Calibri" w:eastAsia="Calibri" w:hAnsi="Calibri"/>
        </w:rPr>
        <w:t xml:space="preserve"> measure that should mathematically evaluate to </w:t>
      </w:r>
      <w:r>
        <w:rPr>
          <w:rFonts w:ascii="Consolas" w:cs="Consolas" w:eastAsia="Consolas" w:hAnsi="Consolas"/>
          <w:sz w:val="20"/>
          <w:szCs w:val="20"/>
          <w:shd w:fill="F0F0F0" w:val="clear"/>
        </w:rPr>
        <w:t xml:space="preserve">0</w:t>
      </w:r>
      <w:r>
        <w:rPr>
          <w:rFonts w:ascii="Calibri" w:cs="Calibri" w:eastAsia="Calibri" w:hAnsi="Calibri"/>
        </w:rPr>
        <w:t xml:space="preserve"> for a decade with zero matching rows (e.g. </w:t>
      </w:r>
      <w:r>
        <w:rPr>
          <w:rFonts w:ascii="Consolas" w:cs="Consolas" w:eastAsia="Consolas" w:hAnsi="Consolas"/>
          <w:sz w:val="20"/>
          <w:szCs w:val="20"/>
          <w:shd w:fill="F0F0F0" w:val="clear"/>
        </w:rPr>
        <w:t xml:space="preserve">% HasLocation</w:t>
      </w:r>
      <w:r>
        <w:rPr>
          <w:rFonts w:ascii="Calibri" w:cs="Calibri" w:eastAsia="Calibri" w:hAnsi="Calibri"/>
        </w:rPr>
        <w:t xml:space="preserve"> in the 1950s) instead evaluated to </w:t>
      </w:r>
      <w:r>
        <w:rPr>
          <w:rFonts w:ascii="Calibri" w:cs="Calibri" w:eastAsia="Calibri" w:hAnsi="Calibri"/>
          <w:b/>
          <w:bCs/>
        </w:rPr>
        <w:t xml:space="preserve">blank</w:t>
      </w:r>
      <w:r>
        <w:rPr>
          <w:rFonts w:ascii="Calibri" w:cs="Calibri" w:eastAsia="Calibri" w:hAnsi="Calibri"/>
        </w:rPr>
        <w:t xml:space="preserve">, which caused Power BI's table/line-chart visuals to silently drop that decade's entire row/category — five of eight decades vanished from the chart until this was caught. Root cause: Power BI's table query engine (</w:t>
      </w:r>
      <w:r>
        <w:rPr>
          <w:rFonts w:ascii="Consolas" w:cs="Consolas" w:eastAsia="Consolas" w:hAnsi="Consolas"/>
          <w:sz w:val="20"/>
          <w:szCs w:val="20"/>
          <w:shd w:fill="F0F0F0" w:val="clear"/>
        </w:rPr>
        <w:t xml:space="preserve">SUMMARIZECOLUMNS</w:t>
      </w:r>
      <w:r>
        <w:rPr>
          <w:rFonts w:ascii="Calibri" w:cs="Calibri" w:eastAsia="Calibri" w:hAnsi="Calibri"/>
        </w:rPr>
        <w:t xml:space="preserve">) can collapse a same-table </w:t>
      </w:r>
      <w:r>
        <w:rPr>
          <w:rFonts w:ascii="Consolas" w:cs="Consolas" w:eastAsia="Consolas" w:hAnsi="Consolas"/>
          <w:sz w:val="20"/>
          <w:szCs w:val="20"/>
          <w:shd w:fill="F0F0F0" w:val="clear"/>
        </w:rPr>
        <w:t xml:space="preserve">CALCULATE</w:t>
      </w:r>
      <w:r>
        <w:rPr>
          <w:rFonts w:ascii="Calibri" w:cs="Calibri" w:eastAsia="Calibri" w:hAnsi="Calibri"/>
        </w:rPr>
        <w:t xml:space="preserve"> filter that matches zero rows into </w:t>
      </w:r>
      <w:r>
        <w:rPr>
          <w:rFonts w:ascii="Consolas" w:cs="Consolas" w:eastAsia="Consolas" w:hAnsi="Consolas"/>
          <w:sz w:val="20"/>
          <w:szCs w:val="20"/>
          <w:shd w:fill="F0F0F0" w:val="clear"/>
        </w:rPr>
        <w:t xml:space="preserve">BLANK()</w:t>
      </w:r>
      <w:r>
        <w:rPr>
          <w:rFonts w:ascii="Calibri" w:cs="Calibri" w:eastAsia="Calibri" w:hAnsi="Calibri"/>
        </w:rPr>
        <w:t xml:space="preserve"> rather than a literal </w:t>
      </w:r>
      <w:r>
        <w:rPr>
          <w:rFonts w:ascii="Consolas" w:cs="Consolas" w:eastAsia="Consolas" w:hAnsi="Consolas"/>
          <w:sz w:val="20"/>
          <w:szCs w:val="20"/>
          <w:shd w:fill="F0F0F0" w:val="clear"/>
        </w:rPr>
        <w:t xml:space="preserve">0</w:t>
      </w:r>
      <w:r>
        <w:rPr>
          <w:rFonts w:ascii="Calibri" w:cs="Calibri" w:eastAsia="Calibri" w:hAnsi="Calibri"/>
        </w:rPr>
        <w:t xml:space="preserve">, even though </w:t>
      </w:r>
      <w:r>
        <w:rPr>
          <w:rFonts w:ascii="Consolas" w:cs="Consolas" w:eastAsia="Consolas" w:hAnsi="Consolas"/>
          <w:sz w:val="20"/>
          <w:szCs w:val="20"/>
          <w:shd w:fill="F0F0F0" w:val="clear"/>
        </w:rPr>
        <w:t xml:space="preserve">DIVIDE</w:t>
      </w:r>
      <w:r>
        <w:rPr>
          <w:rFonts w:ascii="Calibri" w:cs="Calibri" w:eastAsia="Calibri" w:hAnsi="Calibri"/>
        </w:rPr>
        <w:t xml:space="preserve">'s own documented behavior only substitutes blank when the *denominator* is zero. Fix: append </w:t>
      </w:r>
      <w:r>
        <w:rPr>
          <w:rFonts w:ascii="Consolas" w:cs="Consolas" w:eastAsia="Consolas" w:hAnsi="Consolas"/>
          <w:sz w:val="20"/>
          <w:szCs w:val="20"/>
          <w:shd w:fill="F0F0F0" w:val="clear"/>
        </w:rPr>
        <w:t xml:space="preserve">+ 0</w:t>
      </w:r>
      <w:r>
        <w:rPr>
          <w:rFonts w:ascii="Calibri" w:cs="Calibri" w:eastAsia="Calibri" w:hAnsi="Calibri"/>
        </w:rPr>
        <w:t xml:space="preserve"> to the end of the measure, which coerces any blank result back to a real zero (</w:t>
      </w:r>
      <w:r>
        <w:rPr>
          <w:rFonts w:ascii="Consolas" w:cs="Consolas" w:eastAsia="Consolas" w:hAnsi="Consolas"/>
          <w:sz w:val="20"/>
          <w:szCs w:val="20"/>
          <w:shd w:fill="F0F0F0" w:val="clear"/>
        </w:rPr>
        <w:t xml:space="preserve">BLANK() + 0 = 0</w:t>
      </w:r>
      <w:r>
        <w:rPr>
          <w:rFonts w:ascii="Calibri" w:cs="Calibri" w:eastAsia="Calibri" w:hAnsi="Calibri"/>
        </w:rPr>
        <w:t xml:space="preserve"> in DAX) — a small, well-known workaround for this exact class of bug. Caught the same way as the </w:t>
      </w:r>
      <w:r>
        <w:rPr>
          <w:rFonts w:ascii="Consolas" w:cs="Consolas" w:eastAsia="Consolas" w:hAnsi="Consolas"/>
          <w:sz w:val="20"/>
          <w:szCs w:val="20"/>
          <w:shd w:fill="F0F0F0" w:val="clear"/>
        </w:rPr>
        <w:t xml:space="preserve">PeopleCaughtParsed</w:t>
      </w:r>
      <w:r>
        <w:rPr>
          <w:rFonts w:ascii="Calibri" w:cs="Calibri" w:eastAsia="Calibri" w:hAnsi="Calibri"/>
        </w:rPr>
        <w:t xml:space="preserve"> and </w:t>
      </w:r>
      <w:r>
        <w:rPr>
          <w:rFonts w:ascii="Consolas" w:cs="Consolas" w:eastAsia="Consolas" w:hAnsi="Consolas"/>
          <w:sz w:val="20"/>
          <w:szCs w:val="20"/>
          <w:shd w:fill="F0F0F0" w:val="clear"/>
        </w:rPr>
        <w:t xml:space="preserve">AvyYear</w:t>
      </w:r>
      <w:r>
        <w:rPr>
          <w:rFonts w:ascii="Calibri" w:cs="Calibri" w:eastAsia="Calibri" w:hAnsi="Calibri"/>
        </w:rPr>
        <w:t xml:space="preserve"> bugs before it: by checking that a number which should exist (0%, not "no data") actually rendered instead of assuming a clean-looking chart was correct. See </w:t>
      </w:r>
      <w:r>
        <w:rPr>
          <w:rFonts w:ascii="Consolas" w:cs="Consolas" w:eastAsia="Consolas" w:hAnsi="Consolas"/>
          <w:sz w:val="20"/>
          <w:szCs w:val="20"/>
          <w:shd w:fill="F0F0F0" w:val="clear"/>
        </w:rPr>
        <w:t xml:space="preserve">fact_table_data_dictionary.md</w:t>
      </w:r>
      <w:r>
        <w:rPr>
          <w:rFonts w:ascii="Calibri" w:cs="Calibri" w:eastAsia="Calibri" w:hAnsi="Calibri"/>
        </w:rPr>
        <w:t xml:space="preserve"> for the full writeup.</w:t>
      </w:r>
    </w:p>
    <w:p>
      <w:pPr>
        <w:spacing w:after="160"/>
      </w:pPr>
      <w:r>
        <w:rPr>
          <w:rFonts w:ascii="Calibri" w:cs="Calibri" w:eastAsia="Calibri" w:hAnsi="Calibri"/>
          <w:b/>
          <w:bCs/>
        </w:rPr>
        <w:t xml:space="preserve">Caveats to carry onto the page:</w:t>
      </w:r>
      <w:r>
        <w:rPr>
          <w:rFonts w:ascii="Calibri" w:cs="Calibri" w:eastAsia="Calibri" w:hAnsi="Calibri"/>
        </w:rPr>
        <w:t xml:space="preserve"> none beyond what's already built in — this page's entire content *is* caveats. Worth remembering, though: the page documents known limitations, but it can't catch limitations nobody's found yet. Treat it as the floor of what's uncertain about this dataset, not the ceiling.</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4" w:hanging="360"/>
      </w:pPr>
    </w:lvl>
  </w:abstractNum>
  <w:abstractNum w:abstractNumId="3" w15:restartNumberingAfterBreak="0">
    <w:multiLevelType w:val="hybridMultilevel"/>
    <w:lvl w:ilvl="0" w: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2026-10-23T21:16:53.997Z</dcterms:created>
  <dcterms:modified xsi:type="dcterms:W3CDTF">2026-10-23T21:16:54.001Z</dcterms:modified>
</cp:coreProperties>
</file>

<file path=docProps/custom.xml><?xml version="1.0" encoding="utf-8"?>
<Properties xmlns="http://schemas.openxmlformats.org/officeDocument/2006/custom-properties" xmlns:vt="http://schemas.openxmlformats.org/officeDocument/2006/docPropsVTypes"/>
</file>