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PHP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Introducing Object Oriented Programming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Defining Classes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Classes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Advanced Techniques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Handling Errors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Writing Secure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Beginning of Shopping Cart project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Finish Treehouse lesson -PHP Basics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Continue working on Shopping Cart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Understand Object Oriented Programming- Terminology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Define, Design, and identify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Objects and Classes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PHP Releases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identify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Extended Classes-Parents using (Inheritance and Override)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Advanced Techniques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Static Methods and Properties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Counting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identify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Errors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Try/Catch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Exception Class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Secure Code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Understanding threats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Implement proper coding techniques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Use of Tokens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Checking parameters (POST and Session)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Forms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