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tc>
      </w:tr>
    </w:tbl>
    <w:bookmarkStart w:id="26"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24" name="Picture"/>
            <a:graphic>
              <a:graphicData uri="http://schemas.openxmlformats.org/drawingml/2006/picture">
                <pic:pic>
                  <pic:nvPicPr>
                    <pic:cNvPr descr="www/alum-model-concep.png" id="25" name="Picture"/>
                    <pic:cNvPicPr>
                      <a:picLocks noChangeArrowheads="1" noChangeAspect="1"/>
                    </pic:cNvPicPr>
                  </pic:nvPicPr>
                  <pic:blipFill>
                    <a:blip r:embed="rId23"/>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26"/>
    <w:bookmarkStart w:id="45" w:name="core-equations"/>
    <w:p>
      <w:pPr>
        <w:pStyle w:val="Heading2"/>
      </w:pPr>
      <w:r>
        <w:t xml:space="preserve">1.2 Core equations</w:t>
      </w:r>
    </w:p>
    <w:bookmarkStart w:id="31"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28" name="Picture"/>
            <a:graphic>
              <a:graphicData uri="http://schemas.openxmlformats.org/drawingml/2006/picture">
                <pic:pic>
                  <pic:nvPicPr>
                    <pic:cNvPr descr="www/sat-uptake.png" id="29" name="Picture"/>
                    <pic:cNvPicPr>
                      <a:picLocks noChangeArrowheads="1" noChangeAspect="1"/>
                    </pic:cNvPicPr>
                  </pic:nvPicPr>
                  <pic:blipFill>
                    <a:blip r:embed="rId27"/>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30"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d>
            <m:dPr>
              <m:begChr m:val="("/>
              <m:endChr m:val=")"/>
              <m:sepChr m:val=""/>
              <m:grow/>
            </m:dPr>
            <m:e>
              <m:r>
                <m:t>1</m:t>
              </m:r>
            </m:e>
          </m:d>
        </m:oMath>
      </m:oMathPara>
      <w:bookmarkEnd w:id="30"/>
    </w:p>
    <w:bookmarkEnd w:id="31"/>
    <w:bookmarkStart w:id="33"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32"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d>
            <m:dPr>
              <m:begChr m:val="("/>
              <m:endChr m:val=")"/>
              <m:sepChr m:val=""/>
              <m:grow/>
            </m:dPr>
            <m:e>
              <m:r>
                <m:t>2</m:t>
              </m:r>
            </m:e>
          </m:d>
        </m:oMath>
      </m:oMathPara>
      <w:bookmarkEnd w:id="32"/>
    </w:p>
    <w:bookmarkEnd w:id="33"/>
    <w:bookmarkStart w:id="35"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34"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d>
            <m:dPr>
              <m:begChr m:val="("/>
              <m:endChr m:val=")"/>
              <m:sepChr m:val=""/>
              <m:grow/>
            </m:dPr>
            <m:e>
              <m:r>
                <m:t>3</m:t>
              </m:r>
            </m:e>
          </m:d>
        </m:oMath>
      </m:oMathPara>
      <w:bookmarkEnd w:id="34"/>
    </w:p>
    <w:bookmarkEnd w:id="35"/>
    <w:bookmarkStart w:id="37"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36"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d>
            <m:dPr>
              <m:begChr m:val="("/>
              <m:endChr m:val=")"/>
              <m:sepChr m:val=""/>
              <m:grow/>
            </m:dPr>
            <m:e>
              <m:r>
                <m:t>4</m:t>
              </m:r>
            </m:e>
          </m:d>
        </m:oMath>
      </m:oMathPara>
      <w:bookmarkEnd w:id="36"/>
    </w:p>
    <w:bookmarkEnd w:id="37"/>
    <w:bookmarkStart w:id="42"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38" w:name="eq-fph"/>
      <m:oMathPara>
        <m:oMathParaPr>
          <m:jc m:val="center"/>
        </m:oMathParaPr>
        <m:oMath>
          <m:sSub>
            <m:e>
              <m:r>
                <m:t>f</m:t>
              </m:r>
            </m:e>
            <m:sub>
              <m:r>
                <m:rPr>
                  <m:sty m:val="p"/>
                </m:rPr>
                <m:t>p</m:t>
              </m:r>
              <m:r>
                <m:rPr>
                  <m:sty m:val="p"/>
                </m:rPr>
                <m:t>H</m:t>
              </m:r>
            </m:sub>
          </m:sSub>
          <m:r>
            <m:rPr>
              <m:sty m:val="p"/>
            </m:rPr>
            <m:t>=</m:t>
          </m:r>
          <m:r>
            <m:rPr>
              <m:sty m:val="p"/>
            </m:rPr>
            <m:t>exp</m:t>
          </m:r>
          <m:r>
            <m:t>​</m:t>
          </m:r>
          <m:d>
            <m:dPr>
              <m:begChr m:val="["/>
              <m:endChr m:val="]"/>
              <m:sepChr m:val=""/>
              <m:grow/>
            </m:dPr>
            <m:e>
              <m:r>
                <m:rPr>
                  <m:sty m:val="p"/>
                </m:rPr>
                <m:t>−</m:t>
              </m:r>
              <m:f>
                <m:fPr>
                  <m:type m:val="bar"/>
                </m:fPr>
                <m:num>
                  <m:sSup>
                    <m:e>
                      <m:d>
                        <m:dPr>
                          <m:begChr m:val="("/>
                          <m:endChr m:val=")"/>
                          <m:sep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r>
            <m:t>  </m:t>
          </m:r>
          <m:d>
            <m:dPr>
              <m:begChr m:val="("/>
              <m:endChr m:val=")"/>
              <m:sepChr m:val=""/>
              <m:grow/>
            </m:dPr>
            <m:e>
              <m:r>
                <m:t>5</m:t>
              </m:r>
            </m:e>
          </m:d>
        </m:oMath>
      </m:oMathPara>
      <w:bookmarkEnd w:id="38"/>
    </w:p>
    <w:p>
      <w:pPr>
        <w:pStyle w:val="FirstParagraph"/>
      </w:pPr>
      <w:r>
        <w:drawing>
          <wp:inline>
            <wp:extent cx="4770782" cy="3296733"/>
            <wp:effectExtent b="0" l="0" r="0" t="0"/>
            <wp:docPr descr="" title="" id="40" name="Picture"/>
            <a:graphic>
              <a:graphicData uri="http://schemas.openxmlformats.org/drawingml/2006/picture">
                <pic:pic>
                  <pic:nvPicPr>
                    <pic:cNvPr descr="www/ph-response.png" id="41" name="Picture"/>
                    <pic:cNvPicPr>
                      <a:picLocks noChangeArrowheads="1" noChangeAspect="1"/>
                    </pic:cNvPicPr>
                  </pic:nvPicPr>
                  <pic:blipFill>
                    <a:blip r:embed="rId39"/>
                    <a:stretch>
                      <a:fillRect/>
                    </a:stretch>
                  </pic:blipFill>
                  <pic:spPr bwMode="auto">
                    <a:xfrm>
                      <a:off x="0" y="0"/>
                      <a:ext cx="4770782" cy="3296733"/>
                    </a:xfrm>
                    <a:prstGeom prst="rect">
                      <a:avLst/>
                    </a:prstGeom>
                    <a:noFill/>
                    <a:ln w="9525">
                      <a:noFill/>
                      <a:headEnd/>
                      <a:tailEnd/>
                    </a:ln>
                  </pic:spPr>
                </pic:pic>
              </a:graphicData>
            </a:graphic>
          </wp:inline>
        </w:drawing>
      </w:r>
    </w:p>
    <w:bookmarkEnd w:id="42"/>
    <w:bookmarkStart w:id="44"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d>
          <m:dPr>
            <m:begChr m:val="("/>
            <m:endChr m:val=")"/>
            <m:sepChr m:val=""/>
            <m:grow/>
          </m:dPr>
          <m:e>
            <m:r>
              <m:t>t</m:t>
            </m:r>
          </m:e>
        </m:d>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43" w:name="eq-ageing"/>
      <m:oMathPara>
        <m:oMathParaPr>
          <m:jc m:val="center"/>
        </m:oMathParaPr>
        <m:oMath>
          <m:r>
            <m:t>A</m:t>
          </m:r>
          <m:d>
            <m:dPr>
              <m:begChr m:val="("/>
              <m:endChr m:val=")"/>
              <m:sep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endChr m:val=")"/>
                  <m:sepChr m:val=""/>
                  <m:grow/>
                </m:dPr>
                <m:e>
                  <m:r>
                    <m:t>0.05</m:t>
                  </m:r>
                </m:e>
              </m:d>
            </m:num>
            <m:den>
              <m:r>
                <m:t>30</m:t>
              </m:r>
            </m:den>
          </m:f>
          <m:r>
            <m:rPr>
              <m:sty m:val="p"/>
            </m:rPr>
            <m:t>≈</m:t>
          </m:r>
          <m:r>
            <m:t>0.10</m:t>
          </m:r>
          <m:r>
            <m:t> </m:t>
          </m:r>
          <m:sSup>
            <m:e>
              <m:r>
                <m:rPr>
                  <m:sty m:val="p"/>
                </m:rPr>
                <m:t>d</m:t>
              </m:r>
            </m:e>
            <m:sup>
              <m:r>
                <m:rPr>
                  <m:sty m:val="p"/>
                </m:rPr>
                <m:t>−</m:t>
              </m:r>
              <m:r>
                <m:t>1</m:t>
              </m:r>
            </m:sup>
          </m:sSup>
          <m:r>
            <m:t>  </m:t>
          </m:r>
          <m:d>
            <m:dPr>
              <m:begChr m:val="("/>
              <m:endChr m:val=")"/>
              <m:sepChr m:val=""/>
              <m:grow/>
            </m:dPr>
            <m:e>
              <m:r>
                <m:t>6</m:t>
              </m:r>
            </m:e>
          </m:d>
        </m:oMath>
      </m:oMathPara>
      <w:bookmarkEnd w:id="43"/>
    </w:p>
    <w:bookmarkEnd w:id="44"/>
    <w:bookmarkEnd w:id="45"/>
    <w:bookmarkStart w:id="47"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46" w:name="tbl-params"/>
          <w:p>
            <w:pPr>
              <w:jc w:val="center"/>
            </w:pPr>
            <w:pPr>
              <w:jc w:val="star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46"/>
          <w:p/>
        </w:tc>
      </w:tr>
    </w:tbl>
    <w:bookmarkEnd w:id="47"/>
    <w:bookmarkStart w:id="48"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48"/>
    <w:bookmarkEnd w:id="49"/>
    <w:bookmarkStart w:id="70" w:name="feedback"/>
    <w:p>
      <w:pPr>
        <w:pStyle w:val="Heading1"/>
      </w:pPr>
      <w:r>
        <w:t xml:space="preserve">2. Feedback</w:t>
      </w:r>
    </w:p>
    <w:bookmarkStart w:id="50"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50"/>
    <w:bookmarkStart w:id="53"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51"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51"/>
    <w:bookmarkStart w:id="52"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52"/>
    <w:bookmarkEnd w:id="53"/>
    <w:bookmarkStart w:id="54"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54"/>
    <w:bookmarkStart w:id="55"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55"/>
    <w:bookmarkStart w:id="65" w:name="core-equations-1"/>
    <w:p>
      <w:pPr>
        <w:pStyle w:val="Heading2"/>
      </w:pPr>
      <w:r>
        <w:t xml:space="preserve">2.5 Core equations</w:t>
      </w:r>
    </w:p>
    <w:bookmarkStart w:id="56"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56"/>
    <w:bookmarkStart w:id="57"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57"/>
    <w:bookmarkStart w:id="58"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58"/>
    <w:bookmarkStart w:id="59"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59"/>
    <w:bookmarkStart w:id="60"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60"/>
    <w:bookmarkStart w:id="61"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61"/>
    <w:bookmarkStart w:id="62"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62"/>
    <w:bookmarkStart w:id="63"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endChr m:val="]"/>
              <m:sepChr m:val=""/>
              <m:grow/>
            </m:dPr>
            <m:e>
              <m:r>
                <m:rPr>
                  <m:sty m:val="p"/>
                </m:rPr>
                <m:t>−</m:t>
              </m:r>
              <m:f>
                <m:fPr>
                  <m:type m:val="bar"/>
                </m:fPr>
                <m:num>
                  <m:sSup>
                    <m:e>
                      <m:d>
                        <m:dPr>
                          <m:begChr m:val="("/>
                          <m:endChr m:val=")"/>
                          <m:sep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63"/>
    <w:bookmarkStart w:id="64"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d>
            <m:dPr>
              <m:begChr m:val="("/>
              <m:endChr m:val=")"/>
              <m:sep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endChr m:val=")"/>
                  <m:sepChr m:val=""/>
                  <m:grow/>
                </m:dPr>
                <m:e>
                  <m:r>
                    <m:t>0.05</m:t>
                  </m:r>
                </m:e>
              </m:d>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64"/>
    <w:bookmarkEnd w:id="65"/>
    <w:bookmarkStart w:id="66"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66"/>
    <w:bookmarkStart w:id="67"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67"/>
    <w:bookmarkStart w:id="68" w:name="module-issues"/>
    <w:p>
      <w:pPr>
        <w:pStyle w:val="Heading2"/>
      </w:pPr>
      <w:r>
        <w:t xml:space="preserve">2.8 Module Issues</w:t>
      </w:r>
    </w:p>
    <w:bookmarkEnd w:id="68"/>
    <w:bookmarkStart w:id="69"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9" Target="media/rId3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2026-05-21T22:15:29Z</dcterms:created>
  <dcterms:modified xsi:type="dcterms:W3CDTF">2026-05-21T22:15:29Z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