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bookmarkStart w:id="27" w:name="eq-srp-wc"/>
      <m:oMathPara>
        <m:oMathParaPr>
          <m:jc m:val="center"/>
        </m:oMathParaPr>
        <m:oMath>
          <m:f>
            <m:fPr>
              <m:type m:val="bar"/>
            </m:fPr>
            <m:num>
              <m:r>
                <m:t>d</m:t>
              </m:r>
              <m:r>
                <m:rPr>
                  <m:sty m:val="p"/>
                </m:rPr>
                <m:t>S</m:t>
              </m:r>
              <m:r>
                <m:rPr>
                  <m:sty m:val="p"/>
                </m:rPr>
                <m:t>R</m:t>
              </m:r>
              <m:r>
                <m:rPr>
                  <m:sty m:val="p"/>
                </m:rPr>
                <m:t>P</m:t>
              </m:r>
            </m:num>
            <m:den>
              <m:r>
                <m:t>d</m:t>
              </m:r>
              <m:r>
                <m:t>t</m:t>
              </m:r>
            </m:den>
          </m:f>
          <m:r>
            <m:rPr>
              <m:sty m:val="p"/>
            </m:rPr>
            <m:t>=</m:t>
          </m:r>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t>  </m:t>
          </m:r>
          <m:d>
            <m:dPr>
              <m:begChr m:val="("/>
              <m:endChr m:val=")"/>
              <m:sepChr m:val=""/>
              <m:grow/>
            </m:dPr>
            <m:e>
              <m:r>
                <m:t>1</m:t>
              </m:r>
            </m:e>
          </m:d>
        </m:oMath>
      </m:oMathPara>
      <w:bookmarkEnd w:id="27"/>
    </w:p>
    <w:p>
      <w:pPr>
        <w:pStyle w:val="FirstParagraph"/>
      </w:pPr>
      <w:r>
        <w:drawing>
          <wp:inline>
            <wp:extent cx="4770782" cy="3266151"/>
            <wp:effectExtent b="0" l="0" r="0" t="0"/>
            <wp:docPr descr="" title="" id="29" name="Picture"/>
            <a:graphic>
              <a:graphicData uri="http://schemas.openxmlformats.org/drawingml/2006/picture">
                <pic:pic>
                  <pic:nvPicPr>
                    <pic:cNvPr descr="www/sat-uptake.png" id="30" name="Picture"/>
                    <pic:cNvPicPr>
                      <a:picLocks noChangeArrowheads="1" noChangeAspect="1"/>
                    </pic:cNvPicPr>
                  </pic:nvPicPr>
                  <pic:blipFill>
                    <a:blip r:embed="rId28"/>
                    <a:stretch>
                      <a:fillRect/>
                    </a:stretch>
                  </pic:blipFill>
                  <pic:spPr bwMode="auto">
                    <a:xfrm>
                      <a:off x="0" y="0"/>
                      <a:ext cx="4770782" cy="3266151"/>
                    </a:xfrm>
                    <a:prstGeom prst="rect">
                      <a:avLst/>
                    </a:prstGeom>
                    <a:noFill/>
                    <a:ln w="9525">
                      <a:noFill/>
                      <a:headEnd/>
                      <a:tailEnd/>
                    </a:ln>
                  </pic:spPr>
                </pic:pic>
              </a:graphicData>
            </a:graphic>
          </wp:inline>
        </w:drawing>
      </w:r>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endChr m:val=")"/>
              <m:sep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endChr m:val=")"/>
              <m:sep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endChr m:val=")"/>
              <m:sep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endChr m:val="]"/>
              <m:sepChr m:val=""/>
              <m:grow/>
            </m:dPr>
            <m:e>
              <m:r>
                <m:rPr>
                  <m:sty m:val="p"/>
                </m:rPr>
                <m:t>−</m:t>
              </m:r>
              <m:f>
                <m:fPr>
                  <m:type m:val="bar"/>
                </m:fPr>
                <m:num>
                  <m:sSup>
                    <m:e>
                      <m:d>
                        <m:dPr>
                          <m:begChr m:val="("/>
                          <m:endChr m:val=")"/>
                          <m:sep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endChr m:val=")"/>
              <m:sep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endChr m:val=")"/>
            <m:sep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endChr m:val=")"/>
              <m:sep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endChr m:val=")"/>
                  <m:sepChr m:val=""/>
                  <m:grow/>
                </m:dPr>
                <m:e>
                  <m:r>
                    <m:t>0.05</m:t>
                  </m:r>
                </m:e>
              </m:d>
            </m:num>
            <m:den>
              <m:r>
                <m:t>30</m:t>
              </m:r>
            </m:den>
          </m:f>
          <m:r>
            <m:rPr>
              <m:sty m:val="p"/>
            </m:rPr>
            <m:t>≈</m:t>
          </m:r>
          <m:r>
            <m:t>0.10</m:t>
          </m:r>
          <m:r>
            <m:t> </m:t>
          </m:r>
          <m:sSup>
            <m:e>
              <m:r>
                <m:rPr>
                  <m:sty m:val="p"/>
                </m:rPr>
                <m:t>d</m:t>
              </m:r>
            </m:e>
            <m:sup>
              <m:r>
                <m:rPr>
                  <m:sty m:val="p"/>
                </m:rPr>
                <m:t>−</m:t>
              </m:r>
              <m:r>
                <m:t>1</m:t>
              </m:r>
            </m:sup>
          </m:sSup>
          <m:r>
            <m:t>  </m:t>
          </m:r>
          <m:d>
            <m:dPr>
              <m:begChr m:val="("/>
              <m:endChr m:val=")"/>
              <m:sep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star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w:t>
      </w:r>
      <w:r>
        <w:t xml:space="preserve"> </w:t>
      </w:r>
      <w:r>
        <w:t xml:space="preserve">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w:t>
      </w:r>
      <w:r>
        <w:t xml:space="preserve"> </w:t>
      </w:r>
      <w:r>
        <w:t xml:space="preserve">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w:t>
      </w:r>
      <w:r>
        <w:t xml:space="preserve"> </w:t>
      </w:r>
      <w:r>
        <w:t xml:space="preserve">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w:t>
      </w:r>
      <w:r>
        <w:t xml:space="preserve"> </w:t>
      </w:r>
      <w:r>
        <w:t xml:space="preserve">ODE step. This needs to be checked in testing; if it proves unstable, the</w:t>
      </w:r>
      <w:r>
        <w:t xml:space="preserve"> </w:t>
      </w:r>
      <w:r>
        <w:t xml:space="preserve">alternative is an equilibrium partition computed in an</w:t>
      </w:r>
      <w:r>
        <w:t xml:space="preserve"> </w:t>
      </w:r>
      <w:r>
        <w:rPr>
          <w:rStyle w:val="VerbatimChar"/>
        </w:rPr>
        <w:t xml:space="preserve">equilibrate</w:t>
      </w:r>
      <w:r>
        <w:t xml:space="preserve"> </w:t>
      </w:r>
      <w:r>
        <w:t xml:space="preserve">routine,</w:t>
      </w:r>
      <w:r>
        <w:t xml:space="preserve"> </w:t>
      </w:r>
      <w:r>
        <w:t xml:space="preserve">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w:t>
      </w:r>
      <w:r>
        <w:t xml:space="preserve"> </w:t>
      </w:r>
      <w:r>
        <w:t xml:space="preserve">capacity, but whether it also releases already-bound P depends on the physical</w:t>
      </w:r>
      <w:r>
        <w:t xml:space="preserve"> </w:t>
      </w:r>
      <w:r>
        <w:t xml:space="preserve">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w:t>
      </w:r>
      <w:r>
        <w:t xml:space="preserve"> </w:t>
      </w:r>
      <w:r>
        <w:t xml:space="preserve">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w:t>
      </w:r>
      <w:r>
        <w:t xml:space="preserve"> </w:t>
      </w:r>
      <w:r>
        <w:t xml:space="preserve">load by a fixed receiving-layer volume is fragile, because GLM places inflows</w:t>
      </w:r>
      <w:r>
        <w:t xml:space="preserve"> </w:t>
      </w:r>
      <w:r>
        <w:t xml:space="preserve">by density and the receiving layer changes over time. The recommended approach</w:t>
      </w:r>
      <w:r>
        <w:t xml:space="preserve"> </w:t>
      </w:r>
      <w:r>
        <w:t xml:space="preserve">is to deliver alum as an inflow water-quality concentration and let GLM</w:t>
      </w:r>
      <w:r>
        <w:t xml:space="preserve"> </w:t>
      </w:r>
      <w:r>
        <w:t xml:space="preserve">distribute it, retaining the explicit</w:t>
      </w:r>
      <w:r>
        <w:t xml:space="preserve"> </w:t>
      </w:r>
      <w:r>
        <w:rPr>
          <w:rStyle w:val="VerbatimChar"/>
        </w:rPr>
        <w:t xml:space="preserve">S_ala</w:t>
      </w:r>
      <w:r>
        <w:t xml:space="preserve"> </w:t>
      </w:r>
      <w:r>
        <w:t xml:space="preserve">term only for direct dosing.</w:t>
      </w:r>
      <w:r>
        <w:t xml:space="preserve"> </w:t>
      </w:r>
      <w:r>
        <w:t xml:space="preserve">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w:t>
      </w:r>
      <w:r>
        <w:t xml:space="preserve"> </w:t>
      </w:r>
      <w:r>
        <w:t xml:space="preserve">explicit bound-P pools (</w:t>
      </w:r>
      <w:r>
        <w:rPr>
          <w:rStyle w:val="VerbatimChar"/>
        </w:rPr>
        <w:t xml:space="preserve">alp</w:t>
      </w:r>
      <w:r>
        <w:t xml:space="preserve">,</w:t>
      </w:r>
      <w:r>
        <w:t xml:space="preserve"> </w:t>
      </w:r>
      <w:r>
        <w:rPr>
          <w:rStyle w:val="VerbatimChar"/>
        </w:rPr>
        <w:t xml:space="preserve">ben_alp</w:t>
      </w:r>
      <w:r>
        <w:t xml:space="preserve">) rather than disappearing from the</w:t>
      </w:r>
      <w:r>
        <w:t xml:space="preserve"> </w:t>
      </w:r>
      <w:r>
        <w:t xml:space="preserve">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w:t>
      </w:r>
      <w:r>
        <w:t xml:space="preserve"> </w:t>
      </w:r>
      <w:r>
        <w:t xml:space="preserve">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w:t>
      </w:r>
      <w:r>
        <w:t xml:space="preserve"> </w:t>
      </w:r>
      <w:r>
        <w:t xml:space="preserve">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w:t>
      </w:r>
      <w:r>
        <w:t xml:space="preserve"> </w:t>
      </w:r>
      <w:r>
        <w:t xml:space="preserve">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w:t>
      </w:r>
      <w:r>
        <w:t xml:space="preserve"> </w:t>
      </w:r>
      <w:r>
        <w:t xml:space="preserve">not a separate state variable.</w:t>
      </w:r>
    </w:p>
    <w:p>
      <w:pPr>
        <w:pStyle w:val="Compact"/>
        <w:numPr>
          <w:ilvl w:val="0"/>
          <w:numId w:val="1004"/>
        </w:numPr>
      </w:pPr>
      <w:r>
        <w:rPr>
          <w:b/>
          <w:bCs/>
        </w:rPr>
        <w:t xml:space="preserve">Resuspension.</w:t>
      </w:r>
      <w:r>
        <w:t xml:space="preserve"> </w:t>
      </w:r>
      <w:r>
        <w:t xml:space="preserve">An optional, switch-gated resuspension term is included</w:t>
      </w:r>
      <w:r>
        <w:t xml:space="preserve"> </w:t>
      </w:r>
      <w:r>
        <w:t xml:space="preserve">(Equation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endChr m:val="]"/>
              <m:sepChr m:val=""/>
              <m:grow/>
            </m:dPr>
            <m:e>
              <m:r>
                <m:rPr>
                  <m:sty m:val="p"/>
                </m:rPr>
                <m:t>−</m:t>
              </m:r>
              <m:f>
                <m:fPr>
                  <m:type m:val="bar"/>
                </m:fPr>
                <m:num>
                  <m:sSup>
                    <m:e>
                      <m:d>
                        <m:dPr>
                          <m:begChr m:val="("/>
                          <m:endChr m:val=")"/>
                          <m:sep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endChr m:val=")"/>
              <m:sep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endChr m:val=")"/>
                  <m:sep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2026-05-19T01:19:32Z</dcterms:created>
  <dcterms:modified xsi:type="dcterms:W3CDTF">2026-05-19T01:19:32Z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