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26"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24" name="Picture"/>
            <a:graphic>
              <a:graphicData uri="http://schemas.openxmlformats.org/drawingml/2006/picture">
                <pic:pic>
                  <pic:nvPicPr>
                    <pic:cNvPr descr="www/alum-model-concep.png" id="25" name="Picture"/>
                    <pic:cNvPicPr>
                      <a:picLocks noChangeArrowheads="1" noChangeAspect="1"/>
                    </pic:cNvPicPr>
                  </pic:nvPicPr>
                  <pic:blipFill>
                    <a:blip r:embed="rId23"/>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26"/>
    <w:bookmarkStart w:id="45" w:name="core-equations"/>
    <w:p>
      <w:pPr>
        <w:pStyle w:val="Heading2"/>
      </w:pPr>
      <w:r>
        <w:t xml:space="preserve">1.2 Core equations</w:t>
      </w:r>
    </w:p>
    <w:bookmarkStart w:id="31"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28" name="Picture"/>
            <a:graphic>
              <a:graphicData uri="http://schemas.openxmlformats.org/drawingml/2006/picture">
                <pic:pic>
                  <pic:nvPicPr>
                    <pic:cNvPr descr="www/sat-uptake.png" id="29" name="Picture"/>
                    <pic:cNvPicPr>
                      <a:picLocks noChangeArrowheads="1" noChangeAspect="1"/>
                    </pic:cNvPicPr>
                  </pic:nvPicPr>
                  <pic:blipFill>
                    <a:blip r:embed="rId27"/>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30"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d>
            <m:dPr>
              <m:begChr m:val="("/>
              <m:sepChr m:val=""/>
              <m:endChr m:val=")"/>
              <m:grow/>
            </m:dPr>
            <m:e>
              <m:r>
                <m:t>1</m:t>
              </m:r>
            </m:e>
          </m:d>
        </m:oMath>
      </m:oMathPara>
      <w:bookmarkEnd w:id="30"/>
    </w:p>
    <w:bookmarkEnd w:id="31"/>
    <w:bookmarkStart w:id="33"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32"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d>
            <m:dPr>
              <m:begChr m:val="("/>
              <m:sepChr m:val=""/>
              <m:endChr m:val=")"/>
              <m:grow/>
            </m:dPr>
            <m:e>
              <m:r>
                <m:t>2</m:t>
              </m:r>
            </m:e>
          </m:d>
        </m:oMath>
      </m:oMathPara>
      <w:bookmarkEnd w:id="32"/>
    </w:p>
    <w:bookmarkEnd w:id="33"/>
    <w:bookmarkStart w:id="35"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34"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d>
            <m:dPr>
              <m:begChr m:val="("/>
              <m:sepChr m:val=""/>
              <m:endChr m:val=")"/>
              <m:grow/>
            </m:dPr>
            <m:e>
              <m:r>
                <m:t>3</m:t>
              </m:r>
            </m:e>
          </m:d>
        </m:oMath>
      </m:oMathPara>
      <w:bookmarkEnd w:id="34"/>
    </w:p>
    <w:bookmarkEnd w:id="35"/>
    <w:bookmarkStart w:id="37"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36"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d>
            <m:dPr>
              <m:begChr m:val="("/>
              <m:sepChr m:val=""/>
              <m:endChr m:val=")"/>
              <m:grow/>
            </m:dPr>
            <m:e>
              <m:r>
                <m:t>4</m:t>
              </m:r>
            </m:e>
          </m:d>
        </m:oMath>
      </m:oMathPara>
      <w:bookmarkEnd w:id="36"/>
    </w:p>
    <w:bookmarkEnd w:id="37"/>
    <w:bookmarkStart w:id="42"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38"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r>
            <m:t>  </m:t>
          </m:r>
          <m:d>
            <m:dPr>
              <m:begChr m:val="("/>
              <m:sepChr m:val=""/>
              <m:endChr m:val=")"/>
              <m:grow/>
            </m:dPr>
            <m:e>
              <m:r>
                <m:t>5</m:t>
              </m:r>
            </m:e>
          </m:d>
        </m:oMath>
      </m:oMathPara>
      <w:bookmarkEnd w:id="38"/>
    </w:p>
    <w:p>
      <w:pPr>
        <w:pStyle w:val="FirstParagraph"/>
      </w:pPr>
      <w:r>
        <w:drawing>
          <wp:inline>
            <wp:extent cx="4770782" cy="3296733"/>
            <wp:effectExtent b="0" l="0" r="0" t="0"/>
            <wp:docPr descr="" title="" id="40" name="Picture"/>
            <a:graphic>
              <a:graphicData uri="http://schemas.openxmlformats.org/drawingml/2006/picture">
                <pic:pic>
                  <pic:nvPicPr>
                    <pic:cNvPr descr="www/ph-response.png" id="41" name="Picture"/>
                    <pic:cNvPicPr>
                      <a:picLocks noChangeArrowheads="1" noChangeAspect="1"/>
                    </pic:cNvPicPr>
                  </pic:nvPicPr>
                  <pic:blipFill>
                    <a:blip r:embed="rId39"/>
                    <a:stretch>
                      <a:fillRect/>
                    </a:stretch>
                  </pic:blipFill>
                  <pic:spPr bwMode="auto">
                    <a:xfrm>
                      <a:off x="0" y="0"/>
                      <a:ext cx="4770782" cy="3296733"/>
                    </a:xfrm>
                    <a:prstGeom prst="rect">
                      <a:avLst/>
                    </a:prstGeom>
                    <a:noFill/>
                    <a:ln w="9525">
                      <a:noFill/>
                      <a:headEnd/>
                      <a:tailEnd/>
                    </a:ln>
                  </pic:spPr>
                </pic:pic>
              </a:graphicData>
            </a:graphic>
          </wp:inline>
        </w:drawing>
      </w:r>
    </w:p>
    <w:bookmarkEnd w:id="42"/>
    <w:bookmarkStart w:id="44"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d>
          <m:dPr>
            <m:begChr m:val="("/>
            <m:sepChr m:val=""/>
            <m:endChr m:val=")"/>
            <m:grow/>
          </m:dPr>
          <m:e>
            <m:r>
              <m:t>t</m:t>
            </m:r>
          </m:e>
        </m:d>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43" w:name="eq-ageing"/>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0.10</m:t>
          </m:r>
          <m:r>
            <m:t> </m:t>
          </m:r>
          <m:sSup>
            <m:e>
              <m:r>
                <m:rPr>
                  <m:sty m:val="p"/>
                </m:rPr>
                <m:t>d</m:t>
              </m:r>
            </m:e>
            <m:sup>
              <m:r>
                <m:rPr>
                  <m:sty m:val="p"/>
                </m:rPr>
                <m:t>−</m:t>
              </m:r>
              <m:r>
                <m:t>1</m:t>
              </m:r>
            </m:sup>
          </m:sSup>
          <m:r>
            <m:t>  </m:t>
          </m:r>
          <m:d>
            <m:dPr>
              <m:begChr m:val="("/>
              <m:sepChr m:val=""/>
              <m:endChr m:val=")"/>
              <m:grow/>
            </m:dPr>
            <m:e>
              <m:r>
                <m:t>6</m:t>
              </m:r>
            </m:e>
          </m:d>
        </m:oMath>
      </m:oMathPara>
      <w:bookmarkEnd w:id="43"/>
    </w:p>
    <w:bookmarkEnd w:id="44"/>
    <w:bookmarkEnd w:id="45"/>
    <w:bookmarkStart w:id="47"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46"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46"/>
          <w:p/>
        </w:tc>
      </w:tr>
    </w:tbl>
    <w:bookmarkEnd w:id="47"/>
    <w:bookmarkStart w:id="48"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48"/>
    <w:bookmarkEnd w:id="49"/>
    <w:bookmarkStart w:id="70" w:name="feedback"/>
    <w:p>
      <w:pPr>
        <w:pStyle w:val="Heading1"/>
      </w:pPr>
      <w:r>
        <w:t xml:space="preserve">2. Feedback</w:t>
      </w:r>
    </w:p>
    <w:bookmarkStart w:id="50"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50"/>
    <w:bookmarkStart w:id="53"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51"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51"/>
    <w:bookmarkStart w:id="52"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52"/>
    <w:bookmarkEnd w:id="53"/>
    <w:bookmarkStart w:id="54"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54"/>
    <w:bookmarkStart w:id="55"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55"/>
    <w:bookmarkStart w:id="65" w:name="core-equations-1"/>
    <w:p>
      <w:pPr>
        <w:pStyle w:val="Heading2"/>
      </w:pPr>
      <w:r>
        <w:t xml:space="preserve">2.5 Core equations</w:t>
      </w:r>
    </w:p>
    <w:bookmarkStart w:id="56"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56"/>
    <w:bookmarkStart w:id="57"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57"/>
    <w:bookmarkStart w:id="58"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58"/>
    <w:bookmarkStart w:id="59"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59"/>
    <w:bookmarkStart w:id="60"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60"/>
    <w:bookmarkStart w:id="61"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61"/>
    <w:bookmarkStart w:id="62"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62"/>
    <w:bookmarkStart w:id="63"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63"/>
    <w:bookmarkStart w:id="64"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64"/>
    <w:bookmarkEnd w:id="65"/>
    <w:bookmarkStart w:id="66"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66"/>
    <w:bookmarkStart w:id="67"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67"/>
    <w:bookmarkStart w:id="68" w:name="module-issues"/>
    <w:p>
      <w:pPr>
        <w:pStyle w:val="Heading2"/>
      </w:pPr>
      <w:r>
        <w:t xml:space="preserve">2.8 Module Issues</w:t>
      </w:r>
    </w:p>
    <w:bookmarkEnd w:id="68"/>
    <w:bookmarkStart w:id="69"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9" Target="media/rId3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2026-05-29T04:39:50Z</dcterms:created>
  <dcterms:modified xsi:type="dcterms:W3CDTF">2026-05-29T04:39:50Z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