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Employee Management System</w:t>
      </w:r>
    </w:p>
    <w:p>
      <w:pPr>
        <w:pStyle w:val="Subtitle"/>
      </w:pPr>
      <w:r>
        <w:t>Project documentation and maintenance guide</w:t>
      </w:r>
    </w:p>
    <w:p>
      <w:r>
        <w:t>This guide explains how EMS is structured, how its main workflows operate and how to maintain the local and hosted application. It is intended for project maintainers, administrators and HR users. Use README.md for copyable setup commands and progress.md for the final verification record.</w:t>
      </w:r>
    </w:p>
    <w:p>
      <w:pPr>
        <w:pStyle w:val="Heading2"/>
      </w:pPr>
      <w:r>
        <w:t>Purpose and current scope</w:t>
      </w:r>
    </w:p>
    <w:p>
      <w:r>
        <w:t>EMS keeps employee records, departments, attendance, leave requests and monthly payslips in one role-based web application. The latest interface adapts the supplied Carbon design reference using the existing React components and plain CSS. Business rules remain intact, including 21 calendar days of annual leave by default and manually entered tax and deductions.</w:t>
      </w:r>
    </w:p>
    <w:p>
      <w:pPr>
        <w:pStyle w:val="Heading2"/>
      </w:pPr>
      <w:r>
        <w:t>Application architecture</w:t>
      </w:r>
    </w:p>
    <w:p>
      <w:r>
        <w:t>The browser runs a React single-page application built by Vite. React Router chooses pages, service modules send Axios requests to the Express API, and Mongoose models store records in MongoDB. The frontend API address is configured at build time. The backend reads its database, authentication and policy settings when it starts.</w:t>
      </w:r>
    </w:p>
    <w:p>
      <w:r>
        <w:t>Protected requests carry a JWT in the Authorization header. Middleware validates it and loads the current user from the database before enforcing roles. This prevents an old token from retaining permissions after a role change. The client also checks session validity and hides controls that a role cannot use; the API remains the authority.</w:t>
      </w:r>
    </w:p>
    <w:p>
      <w:pPr>
        <w:pStyle w:val="Heading2"/>
      </w:pPr>
      <w:r>
        <w:t>Repository organization</w:t>
      </w:r>
    </w:p>
    <w:p>
      <w:r>
        <w:t>client/src/pages holds route screens; components holds forms, tables, navigation and shared states; services holds API and session helpers. index.css contains visual tokens, responsive rules and print styles. The backend separates routes, controllers, models, middleware and utilities. Each application has its own package manifest and lockfile.</w:t>
      </w:r>
    </w:p>
    <w:p>
      <w:r>
        <w:t>Keep JavaScript and JSX, small components, named function comments and straightforward async/await. Reuse existing validation and services. The Carbon reference does not require adding Next.js, TypeScript or the Carbon React package.</w:t>
      </w:r>
    </w:p>
    <w:p>
      <w:r>
        <w:br w:type="page"/>
      </w:r>
    </w:p>
    <w:p>
      <w:pPr>
        <w:pStyle w:val="Heading1"/>
      </w:pPr>
      <w:r>
        <w:t>Access and data relationships</w:t>
      </w:r>
    </w:p>
    <w:p>
      <w:r>
        <w:t>An account and an employee record serve different purposes. A User signs in and has a role. An Employee describes employment and links to that account through Employee.user. Public registration creates only the account; Admin or HR creates the employee record and selects its Linked account.</w:t>
      </w:r>
    </w:p>
    <w:tbl>
      <w:tblPr>
        <w:tblW w:type="auto" w:w="0"/>
        <w:jc w:val="center"/>
        <w:tblLayout w:type="fixed"/>
        <w:tblLook w:firstColumn="1" w:firstRow="1" w:lastColumn="0" w:lastRow="0" w:noHBand="0" w:noVBand="1" w:val="04A0"/>
      </w:tblPr>
      <w:tblGrid>
        <w:gridCol w:w="3312"/>
        <w:gridCol w:w="3312"/>
        <w:gridCol w:w="3312"/>
      </w:tblGrid>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8EEF5"/>
          </w:tcPr>
          <w:p>
            <w:pPr>
              <w:spacing w:after="60"/>
            </w:pPr>
            <w:r>
              <w:rPr>
                <w:b/>
                <w:sz w:val="20"/>
              </w:rPr>
              <w:t>Role</w:t>
            </w:r>
          </w:p>
        </w:tc>
        <w:tc>
          <w:tcPr>
            <w:tcW w:type="dxa" w:w="403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8EEF5"/>
          </w:tcPr>
          <w:p>
            <w:pPr>
              <w:spacing w:after="60"/>
            </w:pPr>
            <w:r>
              <w:rPr>
                <w:b/>
                <w:sz w:val="20"/>
              </w:rPr>
              <w:t>Management access</w:t>
            </w:r>
          </w:p>
        </w:tc>
        <w:tc>
          <w:tcPr>
            <w:tcW w:type="dxa" w:w="4464"/>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E8EEF5"/>
          </w:tcPr>
          <w:p>
            <w:pPr>
              <w:spacing w:after="60"/>
            </w:pPr>
            <w:r>
              <w:rPr>
                <w:b/>
                <w:sz w:val="20"/>
              </w:rPr>
              <w:t>Personal access</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spacing w:after="60"/>
            </w:pPr>
            <w:r>
              <w:rPr>
                <w:b w:val="0"/>
                <w:sz w:val="20"/>
              </w:rPr>
              <w:t>Admin</w:t>
            </w:r>
          </w:p>
        </w:tc>
        <w:tc>
          <w:tcPr>
            <w:tcW w:type="dxa" w:w="403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spacing w:after="60"/>
            </w:pPr>
            <w:r>
              <w:rPr>
                <w:b w:val="0"/>
                <w:sz w:val="20"/>
              </w:rPr>
              <w:t>Employees, departments, leave review, payroll and user roles</w:t>
            </w:r>
          </w:p>
        </w:tc>
        <w:tc>
          <w:tcPr>
            <w:tcW w:type="dxa" w:w="4464"/>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spacing w:after="60"/>
            </w:pPr>
            <w:r>
              <w:rPr>
                <w:b w:val="0"/>
                <w:sz w:val="20"/>
              </w:rPr>
              <w:t>Attendance, leave and own payslips when linked</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spacing w:after="60"/>
            </w:pPr>
            <w:r>
              <w:rPr>
                <w:b w:val="0"/>
                <w:sz w:val="20"/>
              </w:rPr>
              <w:t>HR</w:t>
            </w:r>
          </w:p>
        </w:tc>
        <w:tc>
          <w:tcPr>
            <w:tcW w:type="dxa" w:w="403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spacing w:after="60"/>
            </w:pPr>
            <w:r>
              <w:rPr>
                <w:b w:val="0"/>
                <w:sz w:val="20"/>
              </w:rPr>
              <w:t>Employees, departments, leave review and payroll</w:t>
            </w:r>
          </w:p>
        </w:tc>
        <w:tc>
          <w:tcPr>
            <w:tcW w:type="dxa" w:w="4464"/>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spacing w:after="60"/>
            </w:pPr>
            <w:r>
              <w:rPr>
                <w:b w:val="0"/>
                <w:sz w:val="20"/>
              </w:rPr>
              <w:t>Attendance, leave and own payslips when linked</w:t>
            </w:r>
          </w:p>
        </w:tc>
      </w:tr>
      <w:tr>
        <w:tc>
          <w:tcPr>
            <w:tcW w:type="dxa" w:w="1440"/>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spacing w:after="60"/>
            </w:pPr>
            <w:r>
              <w:rPr>
                <w:b w:val="0"/>
                <w:sz w:val="20"/>
              </w:rPr>
              <w:t>Employee</w:t>
            </w:r>
          </w:p>
        </w:tc>
        <w:tc>
          <w:tcPr>
            <w:tcW w:type="dxa" w:w="4032"/>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spacing w:after="60"/>
            </w:pPr>
            <w:r>
              <w:rPr>
                <w:b w:val="0"/>
                <w:sz w:val="20"/>
              </w:rPr>
              <w:t>Read employee and department lists</w:t>
            </w:r>
          </w:p>
        </w:tc>
        <w:tc>
          <w:tcPr>
            <w:tcW w:type="dxa" w:w="4464"/>
            <w:vAlign w:val="center"/>
            <w:tcBorders>
              <w:top w:val="single" w:sz="4" w:color="D9D9D9"/>
              <w:left w:val="single" w:sz="4" w:color="D9D9D9"/>
              <w:bottom w:val="single" w:sz="4" w:color="D9D9D9"/>
              <w:right w:val="single" w:sz="4" w:color="D9D9D9"/>
            </w:tcBorders>
            <w:tcMar>
              <w:top w:w="100" w:type="dxa"/>
              <w:left w:w="100" w:type="dxa"/>
              <w:bottom w:w="100" w:type="dxa"/>
              <w:right w:w="100" w:type="dxa"/>
            </w:tcMar>
            <w:shd w:fill="FFFFFF"/>
          </w:tcPr>
          <w:p>
            <w:pPr>
              <w:spacing w:after="60"/>
            </w:pPr>
            <w:r>
              <w:rPr>
                <w:b w:val="0"/>
                <w:sz w:val="20"/>
              </w:rPr>
              <w:t>Attendance, leave and own payslips when linked</w:t>
            </w:r>
          </w:p>
        </w:tc>
      </w:tr>
    </w:tbl>
    <w:p>
      <w:pPr>
        <w:pStyle w:val="Heading2"/>
      </w:pPr>
      <w:r>
        <w:t>Core records</w:t>
      </w:r>
    </w:p>
    <w:p>
      <w:r>
        <w:t>User stores identity, a hashed password and role. Employee stores the employee ID, contact details, joining date, salary, department reference and optional account reference. Department stores its manager reference and budget; employee counts are derived from employee records.</w:t>
      </w:r>
    </w:p>
    <w:p>
      <w:r>
        <w:t>Attendance links an employee to a company date with check-in, check-out and worked hours. Leave links an employee to a date range, type, reason, stored day count and review status. Payroll links an employee to a month, monetary amounts, calculated net salary, company metadata and audit fields.</w:t>
      </w:r>
    </w:p>
    <w:p>
      <w:pPr>
        <w:pStyle w:val="Heading2"/>
      </w:pPr>
      <w:r>
        <w:t>Integrity rules</w:t>
      </w:r>
    </w:p>
    <w:p>
      <w:r>
        <w:t>Unique indexes protect account and employee identifiers, employee account links, daily attendance and monthly payslips. Startup waits for indexes before serving requests. Deletion guards preserve departments containing employees and employee records with history. A stable account link survives employee email changes; legacy email matching claims an unlinked record on first use.</w:t>
      </w:r>
    </w:p>
    <w:p>
      <w:r>
        <w:t>Only Admin can change another account role. An account cannot change its own role, and a department manager must be reassigned before demotion to Employee.</w:t>
      </w:r>
    </w:p>
    <w:p>
      <w:r>
        <w:br w:type="page"/>
      </w:r>
    </w:p>
    <w:p>
      <w:pPr>
        <w:pStyle w:val="Heading1"/>
      </w:pPr>
      <w:r>
        <w:t>Daily workflows and policies</w:t>
      </w:r>
    </w:p>
    <w:p>
      <w:pPr>
        <w:pStyle w:val="Heading2"/>
      </w:pPr>
      <w:r>
        <w:t>Overview and directory</w:t>
      </w:r>
    </w:p>
    <w:p>
      <w:r>
        <w:t>Admin and HR see employee totals, attendance today, approved leave today, monthly payroll and department counts. Employees see personal task links. Loading and retry states distinguish a failed request from an empty dataset. The directory supports literal text searches and management forms with persistent field labels.</w:t>
      </w:r>
    </w:p>
    <w:p>
      <w:pPr>
        <w:pStyle w:val="Heading2"/>
      </w:pPr>
      <w:r>
        <w:t>Attendance</w:t>
      </w:r>
    </w:p>
    <w:p>
      <w:r>
        <w:t>A linked employee checks in once per company date, then checks out to record worked hours. Duplicate check-ins are rejected. Admin and HR can review all attendance, while personal views remain tied to the signed-in account. Company dates use COMPANY_TIME_ZONE, which defaults to Africa/Harare.</w:t>
      </w:r>
    </w:p>
    <w:p>
      <w:pPr>
        <w:pStyle w:val="Heading2"/>
      </w:pPr>
      <w:r>
        <w:t>Leave</w:t>
      </w:r>
    </w:p>
    <w:p>
      <w:r>
        <w:t>Employees submit a leave type, inclusive date range and reason, then track the status in their history. Pending requests can be cancelled. Admin and HR approve or reject other employees' pending requests and view annual balances. Self-review is rejected. Conditional status updates prevent a review and cancellation of the same request from overwriting each other.</w:t>
      </w:r>
    </w:p>
    <w:p>
      <w:r>
        <w:t>Annual leave defaults to 21 calendar days. ANNUAL_LEAVE_DAYS changes the allowance; LEAVE_DAY_MODE=working excludes weekends and the explicitly configured PUBLIC_HOLIDAYS. No external holiday calendar is fetched. New requests use the active settings; old stored day totals are not recalculated. Schedule policy changes carefully, particularly across leave years.</w:t>
      </w:r>
    </w:p>
    <w:p>
      <w:pPr>
        <w:pStyle w:val="Heading2"/>
      </w:pPr>
      <w:r>
        <w:t>Payroll</w:t>
      </w:r>
    </w:p>
    <w:p>
      <w:r>
        <w:t>Admin and HR create one payslip per employee and month. The server calculates net salary from basic salary, allowances and bonuses minus deductions and tax. HR enters tax and deductions, including any agreed absence or unpaid-leave adjustment. No automatic tax jurisdiction or absence policy is assumed.</w:t>
      </w:r>
    </w:p>
    <w:p>
      <w:r>
        <w:t>Managers can switch between all payslips and their own. Viewing a payslip provides a print layout that omits navigation and controls. Updating amounts records the latest editor and update time while preserving the original creator. This is not a complete revision ledger.</w:t>
      </w:r>
    </w:p>
    <w:p>
      <w:pPr>
        <w:pStyle w:val="Heading2"/>
      </w:pPr>
      <w:r>
        <w:t>Responsive and accessible interaction</w:t>
      </w:r>
    </w:p>
    <w:p>
      <w:r>
        <w:t>Desktop screens use a fixed header and sidebar. Smaller screens use an expandable navigation menu that closes after following a link and supports Escape. Forms stack and tables scroll within focusable regions. Visible focus, text status labels, error alerts, saving feedback and reduced-motion rules support keyboard and assistive-technology use. Failed saves retain entered form values.</w:t>
      </w:r>
    </w:p>
    <w:p>
      <w:r>
        <w:br w:type="page"/>
      </w:r>
    </w:p>
    <w:p>
      <w:pPr>
        <w:pStyle w:val="Heading1"/>
      </w:pPr>
      <w:r>
        <w:t>Setup deployment and operations</w:t>
      </w:r>
    </w:p>
    <w:p>
      <w:pPr>
        <w:pStyle w:val="Heading2"/>
      </w:pPr>
      <w:r>
        <w:t>Local services</w:t>
      </w:r>
    </w:p>
    <w:p>
      <w:r>
        <w:t>Install dependencies with npm ci inside server and client separately. Copy each .env.example only when the corresponding .env does not already exist. Set the backend database URI and a random JWT secret of at least 32 characters. The database name must be explicit: using a different name can create an unintended database.</w:t>
      </w:r>
    </w:p>
    <w:p>
      <w:r>
        <w:t>Run npm run dev in server. In a second terminal run npm run dev -- --host 127.0.0.1 --port 5173 --strictPort in client. The API normally listens on port 5000 and the frontend on 5173. Check /api/health before signing in. Use Ctrl+C in the corresponding terminal to stop a service.</w:t>
      </w:r>
    </w:p>
    <w:p>
      <w:pPr>
        <w:pStyle w:val="Heading2"/>
      </w:pPr>
      <w:r>
        <w:t>Administrator bootstrap</w:t>
      </w:r>
    </w:p>
    <w:p>
      <w:r>
        <w:t>For a new installation, set ADMIN_NAME, ADMIN_EMAIL and ADMIN_PASSWORD in server/.env and run npm run create-admin from server. The script creates an administrator or promotes an existing account with that email without changing its password. Remove ADMIN_PASSWORD afterward. Existing installations do not need to recreate their Admin.</w:t>
      </w:r>
    </w:p>
    <w:p>
      <w:pPr>
        <w:pStyle w:val="Heading2"/>
      </w:pPr>
      <w:r>
        <w:t>Environment and hosting</w:t>
      </w:r>
    </w:p>
    <w:p>
      <w:r>
        <w:t>VITE_API_URL is the frontend API address and must end in /api. Production changes require a new frontend build. CLIENT_URL is the allowed deployed frontend origin. Local development accepts localhost:5173 and 127.0.0.1:5173. Atlas requires valid database credentials and network access from the backend host.</w:t>
      </w:r>
    </w:p>
    <w:p>
      <w:r>
        <w:t>For the existing deployment structure, configure Render with root server, build npm ci and start npm start. Configure Vercel with root client, build npm run build and output dist. client/vercel.json supports refreshing nested routes. Use the intended existing MongoDB database and configure environment values on each host. This maintenance pass did not publish the local changes.</w:t>
      </w:r>
    </w:p>
    <w:p>
      <w:pPr>
        <w:pStyle w:val="Heading2"/>
      </w:pPr>
      <w:r>
        <w:t>Troubleshooting</w:t>
      </w:r>
    </w:p>
    <w:p>
      <w:r>
        <w:t>Registration failures should be diagnosed from the displayed API error and API health. Check the frontend API address, backend allowed origin and duplicate-email errors. A registered account still needs a linked employee record before using personal features. For missing personal data, inspect Linked account rather than creating another database.</w:t>
      </w:r>
    </w:p>
    <w:p>
      <w:r>
        <w:t>If a temporary connection failure occurs, restore the API/database and use Retry. If a port is occupied, stop the old process before starting another. Maintain backups and access credentials through the database host; the application does not supply a backup scheduler. Never commit real environment secrets.</w:t>
      </w:r>
    </w:p>
    <w:p>
      <w:r>
        <w:br w:type="page"/>
      </w:r>
    </w:p>
    <w:p>
      <w:pPr>
        <w:pStyle w:val="Heading1"/>
      </w:pPr>
      <w:r>
        <w:t>Verification and maintenance record</w:t>
      </w:r>
    </w:p>
    <w:p>
      <w:r>
        <w:t>The final local run checked the interface, existing business rules and database-backed API flows separately. This distinction matters: fixture-based browser tests establish layout and interaction behavior, while the isolated API run exercises real MongoDB indexes and account links.</w:t>
      </w:r>
    </w:p>
    <w:p>
      <w:pPr>
        <w:pStyle w:val="Heading2"/>
      </w:pPr>
      <w:r>
        <w:t>Completed verification</w:t>
      </w:r>
    </w:p>
    <w:p>
      <w:r>
        <w:t>The backend unit suite passed 28 tests covering authorization, account links, date and policy helpers, deletion guards, leave review and payroll calculations. The frontend suite passed 4 tests covering role-dependent controls and session guards. The Vite production build passed.</w:t>
      </w:r>
    </w:p>
    <w:p>
      <w:r>
        <w:t>The live integration script passed 32 HTTP checks with MongoDB, including registration roles, account linking through email changes, duplicate attendance and payroll rejection, leave review restrictions, payroll calculation and edit audit fields, and Overview totals. It created a unique ems_qa database on the configured host and removed that database after completion.</w:t>
      </w:r>
    </w:p>
    <w:p>
      <w:r>
        <w:t>Browser verification covered 150 role, route and viewport combinations across Admin, HR and Employee at widths 320, 390, 768, 1024, 1280 and 1440 pixels. No page overflow or uncaught browser errors were detected. Interaction checks covered mobile navigation and Escape, Overview retry, edit cancellation, input preservation after failure, payroll views, print exclusions and reduced motion. Representative desktop and phone screenshots were reviewed.</w:t>
      </w:r>
    </w:p>
    <w:p>
      <w:pPr>
        <w:pStyle w:val="Heading2"/>
      </w:pPr>
      <w:r>
        <w:t>Repeatable checks</w:t>
      </w:r>
    </w:p>
    <w:p>
      <w:r>
        <w:t>Run npm test in server and client, then npm run build in client. For live API verification, run node scripts/verifyIntegration.js from server with database create/drop permissions and port 5099 available. Browser verification is optional and uses Chrome plus an external Playwright installation; README.md explains the environment variables and command. Generated evidence is stored in ignored .qa, not application source.</w:t>
      </w:r>
    </w:p>
    <w:p>
      <w:pPr>
        <w:pStyle w:val="Heading2"/>
      </w:pPr>
      <w:r>
        <w:t>Limits and follow up</w:t>
      </w:r>
    </w:p>
    <w:p>
      <w:r>
        <w:t>Browser tests use deterministic API fixtures and do not certify production hosting or every possible dataset. The API run uses a separate temporary database. This pass does not certify high-load behavior, cross-record concurrent leave balance serialization, a full security audit or every assistive-technology/browser combination. Recheck login, registration, linking and routing after deploying the final commit.</w:t>
      </w:r>
    </w:p>
    <w:p>
      <w:r>
        <w:t>Retained documentation consists of README.md for setup and API routes, progress.md for final change and verification status, and this document for architecture and operations. Keep those documents synchronized with future behavior changes. Package declarations and lockfiles remain aligned, and no application dependencies were added for the redesign.</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Maintenance edition  /  18 October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EMS  /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160" w:line="269" w:lineRule="auto"/>
    </w:pPr>
    <w:rPr>
      <w:rFonts w:ascii="Arial" w:hAnsi="Arial"/>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60" w:line="269" w:lineRule="auto"/>
    </w:pPr>
    <w:rPr>
      <w:rFonts w:ascii="Arial" w:hAnsi="Arial"/>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60" w:line="269" w:lineRule="auto"/>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40" w:after="160" w:line="269" w:lineRule="auto"/>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69"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line="269" w:lineRule="auto"/>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Employee Management System Project Documentation</dc:title>
  <dc:subject>Architecture, workflows, setup and maintenance</dc:subject>
  <dc:creator>EMS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