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9558" w14:textId="72778B67" w:rsidR="00F551F0" w:rsidRPr="00F551F0" w:rsidRDefault="00F551F0" w:rsidP="00F551F0">
      <w:pPr>
        <w:widowControl w:val="0"/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pt-BR"/>
          <w14:ligatures w14:val="none"/>
        </w:rPr>
      </w:pPr>
      <w:r w:rsidRPr="00F551F0">
        <w:rPr>
          <w:rFonts w:ascii="Arial" w:eastAsia="Times New Roman" w:hAnsi="Arial" w:cs="Arial"/>
          <w:b/>
          <w:color w:val="222222"/>
          <w:kern w:val="0"/>
          <w:sz w:val="24"/>
          <w:szCs w:val="24"/>
          <w:lang w:eastAsia="pt-BR"/>
          <w14:ligatures w14:val="none"/>
        </w:rPr>
        <w:t>FISIOPATOLOGIA DA TUBERCULOSE E A IMPORTÂNCIA DA ENFERMAGEM</w:t>
      </w:r>
      <w:r w:rsidRPr="00F551F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pt-BR"/>
          <w14:ligatures w14:val="none"/>
        </w:rPr>
        <w:t xml:space="preserve"> PARA A PROFILAXIA E CONTROLE DA DOENÇA</w:t>
      </w:r>
    </w:p>
    <w:p w14:paraId="4B5F33CC" w14:textId="77777777" w:rsidR="00F551F0" w:rsidRPr="00F551F0" w:rsidRDefault="00F551F0" w:rsidP="00F551F0">
      <w:pPr>
        <w:widowControl w:val="0"/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</w:pPr>
    </w:p>
    <w:p w14:paraId="1E53095B" w14:textId="77777777" w:rsidR="00F551F0" w:rsidRPr="00F551F0" w:rsidRDefault="00F551F0" w:rsidP="00F551F0">
      <w:pPr>
        <w:widowControl w:val="0"/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pt-BR"/>
          <w14:ligatures w14:val="none"/>
        </w:rPr>
      </w:pPr>
      <w:r w:rsidRPr="00F551F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pt-BR"/>
          <w14:ligatures w14:val="none"/>
        </w:rPr>
        <w:t xml:space="preserve">Bárbara </w:t>
      </w:r>
      <w:proofErr w:type="spellStart"/>
      <w:r w:rsidRPr="00F551F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pt-BR"/>
          <w14:ligatures w14:val="none"/>
        </w:rPr>
        <w:t>Talhari</w:t>
      </w:r>
      <w:proofErr w:type="spellEnd"/>
      <w:r w:rsidRPr="00F551F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pt-BR"/>
          <w14:ligatures w14:val="none"/>
        </w:rPr>
        <w:t xml:space="preserve"> Zanetti Alves; Isadora Camargo de Oliveira; Ana Luiza Santos Teixeira; Catarina Akiko Miyamoto</w:t>
      </w:r>
    </w:p>
    <w:p w14:paraId="729A9F47" w14:textId="77777777" w:rsidR="00F551F0" w:rsidRPr="00F551F0" w:rsidRDefault="00F551F0" w:rsidP="00F551F0">
      <w:pPr>
        <w:widowControl w:val="0"/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</w:pPr>
    </w:p>
    <w:p w14:paraId="30DD61FA" w14:textId="77777777" w:rsidR="00F551F0" w:rsidRPr="00F551F0" w:rsidRDefault="00F551F0" w:rsidP="00F551F0">
      <w:pPr>
        <w:widowControl w:val="0"/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pt-BR"/>
          <w14:ligatures w14:val="none"/>
        </w:rPr>
      </w:pPr>
      <w:r w:rsidRPr="00F551F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pt-BR"/>
          <w14:ligatures w14:val="none"/>
        </w:rPr>
        <w:t>RESUMO</w:t>
      </w:r>
    </w:p>
    <w:p w14:paraId="38047EF9" w14:textId="77777777" w:rsidR="00F551F0" w:rsidRPr="00F551F0" w:rsidRDefault="00F551F0" w:rsidP="00F551F0">
      <w:pPr>
        <w:widowControl w:val="0"/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</w:pPr>
      <w:r w:rsidRPr="00F551F0"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  <w:t xml:space="preserve">A tuberculose (TB) é causada por </w:t>
      </w:r>
      <w:r w:rsidRPr="00F551F0">
        <w:rPr>
          <w:rFonts w:ascii="Arial" w:eastAsia="Times New Roman" w:hAnsi="Arial" w:cs="Arial"/>
          <w:bCs/>
          <w:i/>
          <w:iCs/>
          <w:color w:val="222222"/>
          <w:kern w:val="0"/>
          <w:sz w:val="24"/>
          <w:szCs w:val="24"/>
          <w:lang w:eastAsia="pt-BR"/>
          <w14:ligatures w14:val="none"/>
        </w:rPr>
        <w:t xml:space="preserve">Mycobacterium </w:t>
      </w:r>
      <w:proofErr w:type="spellStart"/>
      <w:r w:rsidRPr="00F551F0">
        <w:rPr>
          <w:rFonts w:ascii="Arial" w:eastAsia="Times New Roman" w:hAnsi="Arial" w:cs="Arial"/>
          <w:bCs/>
          <w:i/>
          <w:iCs/>
          <w:color w:val="222222"/>
          <w:kern w:val="0"/>
          <w:sz w:val="24"/>
          <w:szCs w:val="24"/>
          <w:lang w:eastAsia="pt-BR"/>
          <w14:ligatures w14:val="none"/>
        </w:rPr>
        <w:t>tuberculosis</w:t>
      </w:r>
      <w:proofErr w:type="spellEnd"/>
      <w:r w:rsidRPr="00F551F0"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  <w:t xml:space="preserve"> (ou bacilos de Kock, BK) que se instala silenciosamente pela inalação de aerossóis contaminados. Inicialmente, os </w:t>
      </w:r>
      <w:proofErr w:type="spellStart"/>
      <w:r w:rsidRPr="00F551F0"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  <w:t>BKs</w:t>
      </w:r>
      <w:proofErr w:type="spellEnd"/>
      <w:r w:rsidRPr="00F551F0"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  <w:t xml:space="preserve"> atingem os alvéolos pulmonares, são fagocitados e geram uma resposta pró-inflamatória que induz a formação da matriz celular do granuloma. Em indivíduos imunocompetentes, este prossegue para esterilização localizada da infecção e mineralização da lesão, assim o BK pode permanecer inativo até algum fator permitir o seu derramamento nas vias aéreas para reativação e progressão à forma ativa. Normalmente, a infecção se inicia em um único local dos pulmões e se manifesta por tosse persistente (&gt; 2-3 semanas), acompanhada de secreção mucosa ou purulenta e hemoptise, em casos mais avançados. O escape dos </w:t>
      </w:r>
      <w:proofErr w:type="spellStart"/>
      <w:r w:rsidRPr="00F551F0"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  <w:t>BKs</w:t>
      </w:r>
      <w:proofErr w:type="spellEnd"/>
      <w:r w:rsidRPr="00F551F0"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  <w:t xml:space="preserve"> do granuloma e disseminação através dos sistemas linfático e sanguíneo leva à forma extrapulmonar. O diagnóstico laboratorial permite a identificação precoce, o início imediato do tratamento e a interrupção da cadeia de transmissão. NO Brasil, o protocolo de tratamento se divide em duas fases (intensiva (esquema 2RHZE) e de manutenção (esquema 4RH)) e a profilaxia é direcionada prioritariamente a grupos vulneráveis (infectados com HIV, contatos intradomiciliares de TB ativa e imunossuprimidos) e se baseia no uso de farmacoterapias que impedem a progressão da infecção latente para ativa. A consulta de enfermagem é um meio viável no enfrentamento da doença, sobretudo, na profilaxia e no controle, pois o profissional avalia o paciente de forma integral, identifica sinais e sintomas sugestivos, verifica o histórico de exposição à doença e orienta sobre medidas preventivas. </w:t>
      </w:r>
    </w:p>
    <w:p w14:paraId="1F87F76B" w14:textId="77777777" w:rsidR="00F551F0" w:rsidRPr="00F551F0" w:rsidRDefault="00F551F0" w:rsidP="00F551F0">
      <w:pPr>
        <w:widowControl w:val="0"/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</w:pPr>
    </w:p>
    <w:p w14:paraId="3E2B78FF" w14:textId="77777777" w:rsidR="00F551F0" w:rsidRPr="00F551F0" w:rsidRDefault="00F551F0" w:rsidP="00F551F0">
      <w:pPr>
        <w:widowControl w:val="0"/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</w:pPr>
      <w:r w:rsidRPr="00F551F0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pt-BR"/>
          <w14:ligatures w14:val="none"/>
        </w:rPr>
        <w:t>PALAVRAS-CHAVE:</w:t>
      </w:r>
      <w:r w:rsidRPr="00F551F0"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  <w:t xml:space="preserve"> granuloma; macrófago espumoso; hemoptise; esquema 2RHZE; esquema 4RH.</w:t>
      </w:r>
    </w:p>
    <w:p w14:paraId="24CDA029" w14:textId="77777777" w:rsidR="00F551F0" w:rsidRDefault="00F551F0" w:rsidP="00F551F0">
      <w:pPr>
        <w:widowControl w:val="0"/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</w:pPr>
    </w:p>
    <w:p w14:paraId="37ACBEA0" w14:textId="77777777" w:rsidR="001D63EC" w:rsidRDefault="001D63EC" w:rsidP="00F551F0">
      <w:pPr>
        <w:widowControl w:val="0"/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bCs/>
          <w:color w:val="222222"/>
          <w:kern w:val="0"/>
          <w:sz w:val="24"/>
          <w:szCs w:val="24"/>
          <w:lang w:eastAsia="pt-BR"/>
          <w14:ligatures w14:val="none"/>
        </w:rPr>
      </w:pPr>
    </w:p>
    <w:p w14:paraId="6FD44A03" w14:textId="68B0C30B" w:rsidR="001D63EC" w:rsidRPr="001D63EC" w:rsidRDefault="001D63EC" w:rsidP="00F551F0">
      <w:pPr>
        <w:widowControl w:val="0"/>
        <w:tabs>
          <w:tab w:val="left" w:pos="360"/>
        </w:tabs>
        <w:spacing w:after="0" w:line="240" w:lineRule="auto"/>
        <w:jc w:val="both"/>
        <w:rPr>
          <w:rFonts w:ascii="Arial" w:eastAsia="Times New Roman" w:hAnsi="Arial" w:cs="Arial"/>
          <w:b/>
          <w:color w:val="EE0000"/>
          <w:kern w:val="0"/>
          <w:sz w:val="24"/>
          <w:szCs w:val="24"/>
          <w:lang w:eastAsia="pt-BR"/>
          <w14:ligatures w14:val="none"/>
        </w:rPr>
      </w:pPr>
      <w:r w:rsidRPr="001D63EC">
        <w:rPr>
          <w:rFonts w:ascii="Arial" w:eastAsia="Times New Roman" w:hAnsi="Arial" w:cs="Arial"/>
          <w:b/>
          <w:color w:val="EE0000"/>
          <w:kern w:val="0"/>
          <w:sz w:val="24"/>
          <w:szCs w:val="24"/>
          <w:lang w:eastAsia="pt-BR"/>
          <w14:ligatures w14:val="none"/>
        </w:rPr>
        <w:t>Obs. O resumo deve conter 200-250 palavras</w:t>
      </w:r>
    </w:p>
    <w:sectPr w:rsidR="001D63EC" w:rsidRPr="001D63EC" w:rsidSect="00F551F0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F0"/>
    <w:rsid w:val="00075BA7"/>
    <w:rsid w:val="0007747D"/>
    <w:rsid w:val="001D63EC"/>
    <w:rsid w:val="0093210B"/>
    <w:rsid w:val="00972AE1"/>
    <w:rsid w:val="009B279D"/>
    <w:rsid w:val="00A3251E"/>
    <w:rsid w:val="00B35211"/>
    <w:rsid w:val="00BA31BC"/>
    <w:rsid w:val="00F5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5F936"/>
  <w15:chartTrackingRefBased/>
  <w15:docId w15:val="{56229CCA-B899-496D-9D92-A5BCB007F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5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51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5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51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5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5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51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51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51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51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5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Catarina Miyamoto</dc:creator>
  <cp:keywords/>
  <dc:description/>
  <cp:lastModifiedBy>Catarina Miyamoto</cp:lastModifiedBy>
  <cp:revision>2</cp:revision>
  <dcterms:created xsi:type="dcterms:W3CDTF">2026-09-03T16:56:00Z</dcterms:created>
  <dcterms:modified xsi:type="dcterms:W3CDTF">2026-09-03T16:59:00Z</dcterms:modified>
</cp:coreProperties>
</file>