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UWB 위치추정과 LiDAR Local Planner를 이용한 TurtleBot3 자율 무선충전 접근 시스템</w:t>
      </w:r>
    </w:p>
    <w:p>
      <w:pPr>
        <w:jc w:val="center"/>
      </w:pPr>
      <w:r>
        <w:rPr>
          <w:color w:val="555555"/>
          <w:sz w:val="18"/>
        </w:rPr>
        <w:t>교수님 검토용 논문 초안 | 수식/그림/예비 로그 결과 포함 | 2026-05-31</w:t>
      </w:r>
    </w:p>
    <w:p>
      <w:pPr>
        <w:pStyle w:val="Heading1"/>
      </w:pPr>
      <w:r>
        <w:t>초록</w:t>
      </w:r>
    </w:p>
    <w:p>
      <w:r>
        <w:t>본 연구는 실내 모바일 로봇의 자율 무선충전 시나리오에서 UWB 기반 위치추정, 충전 스테이션 선택, LiDAR 기반 local approach, QR 기반 최종 정렬 handoff를 결합한 TurtleBot3 Waffle Pi 시스템을 제안한다. GPS 사용이 어려운 실내 환경에서 UWB anchor-tag ranging은 충전소 접근을 위한 전역 좌표 단서를 제공하고, LiDAR는 접근 중 국소 장애물 회피를 담당한다. 로봇이 충전소 반경 1 m에 도달하면 정지 후 QR/카메라 정렬 단계로 전환된다. 저장된 UWB 예비 로그를 중앙 기준점으로 분석한 결과, 평균 오차 1.57 cm, RMSE 1.71 cm가 관측되었다. 단, 이 값은 true pose가 동기화된 최종 실험값이 아니라 논문 실험 설계를 위한 예비 로그 분석 결과이다.</w:t>
      </w:r>
    </w:p>
    <w:p>
      <w:r>
        <w:t>주요어: UWB, TurtleBot3, wireless charging, LiDAR local planner, QR docking, indoor localization</w:t>
      </w:r>
    </w:p>
    <w:p>
      <w:pPr>
        <w:pStyle w:val="Heading1"/>
      </w:pPr>
      <w:r>
        <w:t>1. 서론</w:t>
      </w:r>
    </w:p>
    <w:p>
      <w:r>
        <w:t>실내 자율 로봇이 장시간 운용되기 위해서는 배터리 부족 시 스스로 충전 위치로 이동하고, 충전 가능한 자세로 정렬하는 기능이 필요하다. TurtleBot3 Waffle Pi는 ROS 기반 모바일 로봇 플랫폼으로 LiDAR와 카메라를 활용할 수 있으며[1], 일반적인 TurtleBot navigation은 SLAM으로 생성한 map을 활용한다[2]. 그러나 충전소 접근 단계에서는 전체 map에 의존하지 않고 UWB 좌표와 LiDAR local obstacle avoidance만으로도 단순 실내 환경에서 충전소 근방까지 접근할 수 있다.</w:t>
      </w:r>
    </w:p>
    <w:p>
      <w:r>
        <w:t>본 연구의 기여는 다음과 같다. 첫째, UWB anchor-tag ranging을 이용하여 로봇 pose와 충전소 선택을 결합한 접근 구조를 제시한다. 둘째, LiDAR sector distance를 이용한 local planner로 mapless 접근 단계를 구현한다. 셋째, 무선전력전송(WPT)의 정렬 오차 중요성을 고려하여 UWB-LiDAR 접근 이후 QR/카메라 기반 최종 정렬 단계로 handoff하는 논문 구조를 제안한다[4][5].</w:t>
      </w:r>
    </w:p>
    <w:p>
      <w:pPr>
        <w:pStyle w:val="Heading1"/>
      </w:pPr>
      <w:r>
        <w:t>2. 관련 연구 및 참고자료</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792"/>
            <w:vAlign w:val="center"/>
            <w:tcMar>
              <w:top w:w="80" w:type="dxa"/>
              <w:start w:w="120" w:type="dxa"/>
              <w:bottom w:w="80" w:type="dxa"/>
              <w:end w:w="120" w:type="dxa"/>
            </w:tcMar>
            <w:shd w:fill="E8EEF5"/>
          </w:tcPr>
          <w:p>
            <w:pPr>
              <w:jc w:val="center"/>
            </w:pPr>
            <w:r>
              <w:rPr>
                <w:b/>
                <w:sz w:val="17"/>
              </w:rPr>
              <w:t>구분</w:t>
            </w:r>
          </w:p>
        </w:tc>
        <w:tc>
          <w:tcPr>
            <w:tcW w:type="dxa" w:w="4032"/>
            <w:vAlign w:val="center"/>
            <w:tcMar>
              <w:top w:w="80" w:type="dxa"/>
              <w:start w:w="120" w:type="dxa"/>
              <w:bottom w:w="80" w:type="dxa"/>
              <w:end w:w="120" w:type="dxa"/>
            </w:tcMar>
            <w:shd w:fill="E8EEF5"/>
          </w:tcPr>
          <w:p>
            <w:pPr>
              <w:jc w:val="center"/>
            </w:pPr>
            <w:r>
              <w:rPr>
                <w:b/>
                <w:sz w:val="17"/>
              </w:rPr>
              <w:t>참고자료</w:t>
            </w:r>
          </w:p>
        </w:tc>
        <w:tc>
          <w:tcPr>
            <w:tcW w:type="dxa" w:w="5256"/>
            <w:vAlign w:val="center"/>
            <w:tcMar>
              <w:top w:w="80" w:type="dxa"/>
              <w:start w:w="120" w:type="dxa"/>
              <w:bottom w:w="80" w:type="dxa"/>
              <w:end w:w="120" w:type="dxa"/>
            </w:tcMar>
            <w:shd w:fill="E8EEF5"/>
          </w:tcPr>
          <w:p>
            <w:pPr>
              <w:jc w:val="center"/>
            </w:pPr>
            <w:r>
              <w:rPr>
                <w:b/>
                <w:sz w:val="17"/>
              </w:rPr>
              <w:t>논문에서 쓰는 역할</w:t>
            </w:r>
          </w:p>
        </w:tc>
      </w:tr>
      <w:tr>
        <w:tc>
          <w:tcPr>
            <w:tcW w:type="dxa" w:w="792"/>
            <w:vAlign w:val="center"/>
            <w:tcMar>
              <w:top w:w="80" w:type="dxa"/>
              <w:start w:w="120" w:type="dxa"/>
              <w:bottom w:w="80" w:type="dxa"/>
              <w:end w:w="120" w:type="dxa"/>
            </w:tcMar>
          </w:tcPr>
          <w:p>
            <w:pPr>
              <w:jc w:val="center"/>
            </w:pPr>
            <w:r>
              <w:rPr>
                <w:sz w:val="17"/>
              </w:rPr>
              <w:t>[1]</w:t>
            </w:r>
          </w:p>
        </w:tc>
        <w:tc>
          <w:tcPr>
            <w:tcW w:type="dxa" w:w="4032"/>
            <w:vAlign w:val="center"/>
            <w:tcMar>
              <w:top w:w="80" w:type="dxa"/>
              <w:start w:w="120" w:type="dxa"/>
              <w:bottom w:w="80" w:type="dxa"/>
              <w:end w:w="120" w:type="dxa"/>
            </w:tcMar>
          </w:tcPr>
          <w:p>
            <w:r>
              <w:rPr>
                <w:sz w:val="17"/>
              </w:rPr>
              <w:t>ROBOTIS TurtleBot3 e-Manual: Features / Waffle Pi</w:t>
            </w:r>
          </w:p>
        </w:tc>
        <w:tc>
          <w:tcPr>
            <w:tcW w:type="dxa" w:w="5256"/>
            <w:vAlign w:val="center"/>
            <w:tcMar>
              <w:top w:w="80" w:type="dxa"/>
              <w:start w:w="120" w:type="dxa"/>
              <w:bottom w:w="80" w:type="dxa"/>
              <w:end w:w="120" w:type="dxa"/>
            </w:tcMar>
          </w:tcPr>
          <w:p>
            <w:r>
              <w:rPr>
                <w:sz w:val="17"/>
              </w:rPr>
              <w:t>TurtleBot3 Waffle Pi 플랫폼, LiDAR/카메라/ROS 기반 구성 근거</w:t>
            </w:r>
          </w:p>
        </w:tc>
      </w:tr>
      <w:tr>
        <w:tc>
          <w:tcPr>
            <w:tcW w:type="dxa" w:w="792"/>
            <w:vAlign w:val="center"/>
            <w:tcMar>
              <w:top w:w="80" w:type="dxa"/>
              <w:start w:w="120" w:type="dxa"/>
              <w:bottom w:w="80" w:type="dxa"/>
              <w:end w:w="120" w:type="dxa"/>
            </w:tcMar>
          </w:tcPr>
          <w:p>
            <w:pPr>
              <w:jc w:val="center"/>
            </w:pPr>
            <w:r>
              <w:rPr>
                <w:sz w:val="17"/>
              </w:rPr>
              <w:t>[2]</w:t>
            </w:r>
          </w:p>
        </w:tc>
        <w:tc>
          <w:tcPr>
            <w:tcW w:type="dxa" w:w="4032"/>
            <w:vAlign w:val="center"/>
            <w:tcMar>
              <w:top w:w="80" w:type="dxa"/>
              <w:start w:w="120" w:type="dxa"/>
              <w:bottom w:w="80" w:type="dxa"/>
              <w:end w:w="120" w:type="dxa"/>
            </w:tcMar>
          </w:tcPr>
          <w:p>
            <w:r>
              <w:rPr>
                <w:sz w:val="17"/>
              </w:rPr>
              <w:t>ROBOTIS TurtleBot3 e-Manual: Navigation</w:t>
            </w:r>
          </w:p>
        </w:tc>
        <w:tc>
          <w:tcPr>
            <w:tcW w:type="dxa" w:w="5256"/>
            <w:vAlign w:val="center"/>
            <w:tcMar>
              <w:top w:w="80" w:type="dxa"/>
              <w:start w:w="120" w:type="dxa"/>
              <w:bottom w:w="80" w:type="dxa"/>
              <w:end w:w="120" w:type="dxa"/>
            </w:tcMar>
          </w:tcPr>
          <w:p>
            <w:r>
              <w:rPr>
                <w:sz w:val="17"/>
              </w:rPr>
              <w:t>일반 SLAM/map 기반 navigation과 본 연구의 mapless UWB-LiDAR 접근 방식 비교</w:t>
            </w:r>
          </w:p>
        </w:tc>
      </w:tr>
      <w:tr>
        <w:tc>
          <w:tcPr>
            <w:tcW w:type="dxa" w:w="792"/>
            <w:vAlign w:val="center"/>
            <w:tcMar>
              <w:top w:w="80" w:type="dxa"/>
              <w:start w:w="120" w:type="dxa"/>
              <w:bottom w:w="80" w:type="dxa"/>
              <w:end w:w="120" w:type="dxa"/>
            </w:tcMar>
          </w:tcPr>
          <w:p>
            <w:pPr>
              <w:jc w:val="center"/>
            </w:pPr>
            <w:r>
              <w:rPr>
                <w:sz w:val="17"/>
              </w:rPr>
              <w:t>[3]</w:t>
            </w:r>
          </w:p>
        </w:tc>
        <w:tc>
          <w:tcPr>
            <w:tcW w:type="dxa" w:w="4032"/>
            <w:vAlign w:val="center"/>
            <w:tcMar>
              <w:top w:w="80" w:type="dxa"/>
              <w:start w:w="120" w:type="dxa"/>
              <w:bottom w:w="80" w:type="dxa"/>
              <w:end w:w="120" w:type="dxa"/>
            </w:tcMar>
          </w:tcPr>
          <w:p>
            <w:r>
              <w:rPr>
                <w:sz w:val="17"/>
              </w:rPr>
              <w:t>Qorvo DW1000 UWB Transceiver</w:t>
            </w:r>
          </w:p>
        </w:tc>
        <w:tc>
          <w:tcPr>
            <w:tcW w:type="dxa" w:w="5256"/>
            <w:vAlign w:val="center"/>
            <w:tcMar>
              <w:top w:w="80" w:type="dxa"/>
              <w:start w:w="120" w:type="dxa"/>
              <w:bottom w:w="80" w:type="dxa"/>
              <w:end w:w="120" w:type="dxa"/>
            </w:tcMar>
          </w:tcPr>
          <w:p>
            <w:r>
              <w:rPr>
                <w:sz w:val="17"/>
              </w:rPr>
              <w:t>UWB ranging, TWR/TDoA RTLS, 약 10 cm급 위치 응용 가능성 근거</w:t>
            </w:r>
          </w:p>
        </w:tc>
      </w:tr>
      <w:tr>
        <w:tc>
          <w:tcPr>
            <w:tcW w:type="dxa" w:w="792"/>
            <w:vAlign w:val="center"/>
            <w:tcMar>
              <w:top w:w="80" w:type="dxa"/>
              <w:start w:w="120" w:type="dxa"/>
              <w:bottom w:w="80" w:type="dxa"/>
              <w:end w:w="120" w:type="dxa"/>
            </w:tcMar>
          </w:tcPr>
          <w:p>
            <w:pPr>
              <w:jc w:val="center"/>
            </w:pPr>
            <w:r>
              <w:rPr>
                <w:sz w:val="17"/>
              </w:rPr>
              <w:t>[4]</w:t>
            </w:r>
          </w:p>
        </w:tc>
        <w:tc>
          <w:tcPr>
            <w:tcW w:type="dxa" w:w="4032"/>
            <w:vAlign w:val="center"/>
            <w:tcMar>
              <w:top w:w="80" w:type="dxa"/>
              <w:start w:w="120" w:type="dxa"/>
              <w:bottom w:w="80" w:type="dxa"/>
              <w:end w:w="120" w:type="dxa"/>
            </w:tcMar>
          </w:tcPr>
          <w:p>
            <w:r>
              <w:rPr>
                <w:sz w:val="17"/>
              </w:rPr>
              <w:t>Ultrawideband-based precise short-range localization for wireless power transfer to electric vehicles in parking environments</w:t>
            </w:r>
          </w:p>
        </w:tc>
        <w:tc>
          <w:tcPr>
            <w:tcW w:type="dxa" w:w="5256"/>
            <w:vAlign w:val="center"/>
            <w:tcMar>
              <w:top w:w="80" w:type="dxa"/>
              <w:start w:w="120" w:type="dxa"/>
              <w:bottom w:w="80" w:type="dxa"/>
              <w:end w:w="120" w:type="dxa"/>
            </w:tcMar>
          </w:tcPr>
          <w:p>
            <w:r>
              <w:rPr>
                <w:sz w:val="17"/>
              </w:rPr>
              <w:t>무선전력전송에서 단거리 위치추정과 정렬 오차가 중요하다는 연구 배경</w:t>
            </w:r>
          </w:p>
        </w:tc>
      </w:tr>
      <w:tr>
        <w:tc>
          <w:tcPr>
            <w:tcW w:type="dxa" w:w="792"/>
            <w:vAlign w:val="center"/>
            <w:tcMar>
              <w:top w:w="80" w:type="dxa"/>
              <w:start w:w="120" w:type="dxa"/>
              <w:bottom w:w="80" w:type="dxa"/>
              <w:end w:w="120" w:type="dxa"/>
            </w:tcMar>
          </w:tcPr>
          <w:p>
            <w:pPr>
              <w:jc w:val="center"/>
            </w:pPr>
            <w:r>
              <w:rPr>
                <w:sz w:val="17"/>
              </w:rPr>
              <w:t>[5]</w:t>
            </w:r>
          </w:p>
        </w:tc>
        <w:tc>
          <w:tcPr>
            <w:tcW w:type="dxa" w:w="4032"/>
            <w:vAlign w:val="center"/>
            <w:tcMar>
              <w:top w:w="80" w:type="dxa"/>
              <w:start w:w="120" w:type="dxa"/>
              <w:bottom w:w="80" w:type="dxa"/>
              <w:end w:w="120" w:type="dxa"/>
            </w:tcMar>
          </w:tcPr>
          <w:p>
            <w:r>
              <w:rPr>
                <w:sz w:val="17"/>
              </w:rPr>
              <w:t>OpenCV QRCodeDetector Class Reference</w:t>
            </w:r>
          </w:p>
        </w:tc>
        <w:tc>
          <w:tcPr>
            <w:tcW w:type="dxa" w:w="5256"/>
            <w:vAlign w:val="center"/>
            <w:tcMar>
              <w:top w:w="80" w:type="dxa"/>
              <w:start w:w="120" w:type="dxa"/>
              <w:bottom w:w="80" w:type="dxa"/>
              <w:end w:w="120" w:type="dxa"/>
            </w:tcMar>
          </w:tcPr>
          <w:p>
            <w:r>
              <w:rPr>
                <w:sz w:val="17"/>
              </w:rPr>
              <w:t>QR marker 검출과 최종 시각 정렬 단계 설계 근거</w:t>
            </w:r>
          </w:p>
        </w:tc>
      </w:tr>
    </w:tbl>
    <w:p/>
    <w:p>
      <w:pPr>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fig04_reference_to_system_map.png"/>
                    <pic:cNvPicPr/>
                  </pic:nvPicPr>
                  <pic:blipFill>
                    <a:blip r:embed="rId9"/>
                    <a:stretch>
                      <a:fillRect/>
                    </a:stretch>
                  </pic:blipFill>
                  <pic:spPr>
                    <a:xfrm>
                      <a:off x="0" y="0"/>
                      <a:ext cx="5669280" cy="3366135"/>
                    </a:xfrm>
                    <a:prstGeom prst="rect"/>
                  </pic:spPr>
                </pic:pic>
              </a:graphicData>
            </a:graphic>
          </wp:inline>
        </w:drawing>
      </w:r>
    </w:p>
    <w:p>
      <w:pPr>
        <w:jc w:val="center"/>
      </w:pPr>
      <w:r>
        <w:rPr>
          <w:color w:val="555555"/>
          <w:sz w:val="17"/>
        </w:rPr>
        <w:t>Fig. 1. 참고자료와 본 시스템 설계의 연결 관계.</w:t>
      </w:r>
    </w:p>
    <w:p>
      <w:pPr>
        <w:pStyle w:val="Heading1"/>
      </w:pPr>
      <w:r>
        <w:t>3. 시스템 구성</w:t>
      </w:r>
    </w:p>
    <w:p>
      <w:r>
        <w:t>시스템은 UWB anchor 4개, TurtleBot3 Waffle Pi에 장착된 UWB tag, LiDAR, 카메라, 두 개의 충전 스테이션으로 구성된다. UWB는 로봇 위치와 충전소 선택에 사용하고, LiDAR는 local obstacle avoidance 및 충전소 근방 접근에 사용한다. 카메라는 `/near_charger=true` 이후 QR marker를 검출하여 최종 정렬 오차를 줄이는 단계에서 사용된다.</w:t>
      </w:r>
    </w:p>
    <w:p>
      <w:pPr>
        <w:jc w:val="center"/>
      </w:pPr>
      <w:r>
        <w:drawing>
          <wp:inline xmlns:a="http://schemas.openxmlformats.org/drawingml/2006/main" xmlns:pic="http://schemas.openxmlformats.org/drawingml/2006/picture">
            <wp:extent cx="5669280" cy="3380369"/>
            <wp:docPr id="2" name="Picture 2"/>
            <wp:cNvGraphicFramePr>
              <a:graphicFrameLocks noChangeAspect="1"/>
            </wp:cNvGraphicFramePr>
            <a:graphic>
              <a:graphicData uri="http://schemas.openxmlformats.org/drawingml/2006/picture">
                <pic:pic>
                  <pic:nvPicPr>
                    <pic:cNvPr id="0" name="fig01_system_architecture.png"/>
                    <pic:cNvPicPr/>
                  </pic:nvPicPr>
                  <pic:blipFill>
                    <a:blip r:embed="rId10"/>
                    <a:stretch>
                      <a:fillRect/>
                    </a:stretch>
                  </pic:blipFill>
                  <pic:spPr>
                    <a:xfrm>
                      <a:off x="0" y="0"/>
                      <a:ext cx="5669280" cy="3380369"/>
                    </a:xfrm>
                    <a:prstGeom prst="rect"/>
                  </pic:spPr>
                </pic:pic>
              </a:graphicData>
            </a:graphic>
          </wp:inline>
        </w:drawing>
      </w:r>
    </w:p>
    <w:p>
      <w:pPr>
        <w:jc w:val="center"/>
      </w:pPr>
      <w:r>
        <w:rPr>
          <w:color w:val="555555"/>
          <w:sz w:val="17"/>
        </w:rPr>
        <w:t>Fig. 2. UWB-LiDAR-QR 기반 TurtleBot 자율 무선충전 시스템 구성.</w:t>
      </w:r>
    </w:p>
    <w:p>
      <w:pPr>
        <w:jc w:val="center"/>
      </w:pPr>
      <w:r>
        <w:drawing>
          <wp:inline xmlns:a="http://schemas.openxmlformats.org/drawingml/2006/main" xmlns:pic="http://schemas.openxmlformats.org/drawingml/2006/picture">
            <wp:extent cx="5669280" cy="1610502"/>
            <wp:docPr id="3" name="Picture 3"/>
            <wp:cNvGraphicFramePr>
              <a:graphicFrameLocks noChangeAspect="1"/>
            </wp:cNvGraphicFramePr>
            <a:graphic>
              <a:graphicData uri="http://schemas.openxmlformats.org/drawingml/2006/picture">
                <pic:pic>
                  <pic:nvPicPr>
                    <pic:cNvPr id="0" name="fig02_operation_flow.png"/>
                    <pic:cNvPicPr/>
                  </pic:nvPicPr>
                  <pic:blipFill>
                    <a:blip r:embed="rId11"/>
                    <a:stretch>
                      <a:fillRect/>
                    </a:stretch>
                  </pic:blipFill>
                  <pic:spPr>
                    <a:xfrm>
                      <a:off x="0" y="0"/>
                      <a:ext cx="5669280" cy="1610502"/>
                    </a:xfrm>
                    <a:prstGeom prst="rect"/>
                  </pic:spPr>
                </pic:pic>
              </a:graphicData>
            </a:graphic>
          </wp:inline>
        </w:drawing>
      </w:r>
    </w:p>
    <w:p>
      <w:pPr>
        <w:jc w:val="center"/>
      </w:pPr>
      <w:r>
        <w:rPr>
          <w:color w:val="555555"/>
          <w:sz w:val="17"/>
        </w:rPr>
        <w:t>Fig. 3. 배터리 부족부터 QR docking handoff까지의 동작 흐름.</w:t>
      </w:r>
    </w:p>
    <w:p>
      <w:pPr>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fig06_ros_topic_pipeline.png"/>
                    <pic:cNvPicPr/>
                  </pic:nvPicPr>
                  <pic:blipFill>
                    <a:blip r:embed="rId12"/>
                    <a:stretch>
                      <a:fillRect/>
                    </a:stretch>
                  </pic:blipFill>
                  <pic:spPr>
                    <a:xfrm>
                      <a:off x="0" y="0"/>
                      <a:ext cx="5669280" cy="3366135"/>
                    </a:xfrm>
                    <a:prstGeom prst="rect"/>
                  </pic:spPr>
                </pic:pic>
              </a:graphicData>
            </a:graphic>
          </wp:inline>
        </w:drawing>
      </w:r>
    </w:p>
    <w:p>
      <w:pPr>
        <w:jc w:val="center"/>
      </w:pPr>
      <w:r>
        <w:rPr>
          <w:color w:val="555555"/>
          <w:sz w:val="17"/>
        </w:rPr>
        <w:t>Fig. 4. ROS topic 기반 구현 pipeline.</w:t>
      </w:r>
    </w:p>
    <w:p>
      <w:pPr>
        <w:pStyle w:val="Heading1"/>
      </w:pPr>
      <w:r>
        <w:t>4. UWB 위치추정 모델</w:t>
      </w:r>
    </w:p>
    <w:p>
      <w:r>
        <w:t>DW1000 계열 UWB transceiver는 RTLS에서 TWR 또는 TDoA 방식의 ranging/positioning에 활용될 수 있다[3]. 본 연구에서는 anchor 좌표를 알고 있다고 가정하고, tag-anchor 거리 측정값으로 TurtleBot의 2D 위치를 추정한다.</w:t>
      </w:r>
    </w:p>
    <w:p>
      <w:pPr>
        <w:jc w:val="center"/>
      </w:pPr>
      <w:r>
        <w:rPr>
          <w:rFonts w:ascii="Cambria Math" w:hAnsi="Cambria Math"/>
          <w:b/>
          <w:sz w:val="21"/>
        </w:rPr>
        <w:t>(1)   z_i(k) = ||p(k) - a_i||_2 + b_i + eps_i(k)</w:t>
      </w:r>
    </w:p>
    <w:p>
      <w:pPr>
        <w:jc w:val="center"/>
      </w:pPr>
      <w:r>
        <w:rPr>
          <w:color w:val="555555"/>
          <w:sz w:val="17"/>
        </w:rPr>
        <w:t>i번째 anchor a_i와 tag 위치 p 사이의 실제 거리, anchor bias b_i, 측정 잡음 eps_i를 포함한 ranging 모델.</w:t>
      </w:r>
    </w:p>
    <w:p>
      <w:pPr>
        <w:jc w:val="center"/>
      </w:pPr>
      <w:r>
        <w:rPr>
          <w:rFonts w:ascii="Cambria Math" w:hAnsi="Cambria Math"/>
          <w:b/>
          <w:sz w:val="21"/>
        </w:rPr>
        <w:t>(2)   r_i = c * tau_i</w:t>
      </w:r>
    </w:p>
    <w:p>
      <w:pPr>
        <w:jc w:val="center"/>
      </w:pPr>
      <w:r>
        <w:rPr>
          <w:color w:val="555555"/>
          <w:sz w:val="17"/>
        </w:rPr>
        <w:t>전파 전파시간 tau_i에 광속 c를 곱해 거리로 환산한다. 실제 DW1000 TWR에서는 clock offset/antenna delay 보정이 필요하다.</w:t>
      </w:r>
    </w:p>
    <w:p>
      <w:pPr>
        <w:jc w:val="center"/>
      </w:pPr>
      <w:r>
        <w:rPr>
          <w:rFonts w:ascii="Cambria Math" w:hAnsi="Cambria Math"/>
          <w:b/>
          <w:sz w:val="21"/>
        </w:rPr>
        <w:t>(3)   p_hat = argmin_p sum_i w_i (||p - a_i||_2 - (z_i - b_i))^2</w:t>
      </w:r>
    </w:p>
    <w:p>
      <w:pPr>
        <w:jc w:val="center"/>
      </w:pPr>
      <w:r>
        <w:rPr>
          <w:color w:val="555555"/>
          <w:sz w:val="17"/>
        </w:rPr>
        <w:t>4개 UWB anchor 거리값을 가장 잘 만족하는 2D 위치 p를 추정한다.</w:t>
      </w:r>
    </w:p>
    <w:p>
      <w:pPr>
        <w:jc w:val="center"/>
      </w:pPr>
      <w:r>
        <w:rPr>
          <w:rFonts w:ascii="Cambria Math" w:hAnsi="Cambria Math"/>
          <w:b/>
          <w:sz w:val="21"/>
        </w:rPr>
        <w:t>(4)   2(a_i-a_1)^T p = r_1^2 - r_i^2 + ||a_i||^2 - ||a_1||^2,  i=2,...,N</w:t>
      </w:r>
    </w:p>
    <w:p>
      <w:pPr>
        <w:jc w:val="center"/>
      </w:pPr>
      <w:r>
        <w:rPr>
          <w:color w:val="555555"/>
          <w:sz w:val="17"/>
        </w:rPr>
        <w:t>첫 anchor 방정식을 빼서 x,y에 대한 선형 방정식 Ap=b를 구성한다.</w:t>
      </w:r>
    </w:p>
    <w:p>
      <w:pPr>
        <w:jc w:val="center"/>
      </w:pPr>
      <w:r>
        <w:rPr>
          <w:rFonts w:ascii="Cambria Math" w:hAnsi="Cambria Math"/>
          <w:b/>
          <w:sz w:val="21"/>
        </w:rPr>
        <w:t>(5)   p_f(k) = alpha p_hat(k) + (1-alpha) p_f(k-1)</w:t>
      </w:r>
    </w:p>
    <w:p>
      <w:pPr>
        <w:jc w:val="center"/>
      </w:pPr>
      <w:r>
        <w:rPr>
          <w:color w:val="555555"/>
          <w:sz w:val="17"/>
        </w:rPr>
        <w:t>본 프로젝트 config의 smoothing_alpha=0.35를 적용할 수 있는 1차 저역통과 필터.</w:t>
      </w:r>
    </w:p>
    <w:p>
      <w:pPr>
        <w:jc w:val="center"/>
      </w:pPr>
      <w:r>
        <w:drawing>
          <wp:inline xmlns:a="http://schemas.openxmlformats.org/drawingml/2006/main" xmlns:pic="http://schemas.openxmlformats.org/drawingml/2006/picture">
            <wp:extent cx="5669280" cy="3366135"/>
            <wp:docPr id="5" name="Picture 5"/>
            <wp:cNvGraphicFramePr>
              <a:graphicFrameLocks noChangeAspect="1"/>
            </wp:cNvGraphicFramePr>
            <a:graphic>
              <a:graphicData uri="http://schemas.openxmlformats.org/drawingml/2006/picture">
                <pic:pic>
                  <pic:nvPicPr>
                    <pic:cNvPr id="0" name="fig05_uwb_anchor_geometry.png"/>
                    <pic:cNvPicPr/>
                  </pic:nvPicPr>
                  <pic:blipFill>
                    <a:blip r:embed="rId13"/>
                    <a:stretch>
                      <a:fillRect/>
                    </a:stretch>
                  </pic:blipFill>
                  <pic:spPr>
                    <a:xfrm>
                      <a:off x="0" y="0"/>
                      <a:ext cx="5669280" cy="3366135"/>
                    </a:xfrm>
                    <a:prstGeom prst="rect"/>
                  </pic:spPr>
                </pic:pic>
              </a:graphicData>
            </a:graphic>
          </wp:inline>
        </w:drawing>
      </w:r>
    </w:p>
    <w:p>
      <w:pPr>
        <w:jc w:val="center"/>
      </w:pPr>
      <w:r>
        <w:rPr>
          <w:color w:val="555555"/>
          <w:sz w:val="17"/>
        </w:rPr>
        <w:t>Fig. 5. 4-anchor UWB 위치추정 geometry.</w:t>
      </w:r>
    </w:p>
    <w:p>
      <w:pPr>
        <w:pStyle w:val="Heading1"/>
      </w:pPr>
      <w:r>
        <w:t>5. 충전소 선택 및 LiDAR Local Approach</w:t>
      </w:r>
    </w:p>
    <w:p>
      <w:r>
        <w:t>추정된 UWB 위치는 두 충전소 중 가까운 station을 선택하는 데 사용된다. 선택된 station 좌표는 `/target_charger`로 publish되고, local planner는 `/scan`, `/uwb_pose`, `/target_charger`를 이용해 heading error를 줄이며 이동한다. front sector가 위험 거리 이하이면 회피 상태로 전환하고, 목표 반경 `R_goal=1.0 m`에 들어오면 정지한다.</w:t>
      </w:r>
    </w:p>
    <w:p>
      <w:pPr>
        <w:jc w:val="center"/>
      </w:pPr>
      <w:r>
        <w:rPr>
          <w:rFonts w:ascii="Cambria Math" w:hAnsi="Cambria Math"/>
          <w:b/>
          <w:sz w:val="21"/>
        </w:rPr>
        <w:t>(6)   j* = argmin_j ||p_f - c_j||_2,  j in {1,2}</w:t>
      </w:r>
    </w:p>
    <w:p>
      <w:pPr>
        <w:jc w:val="center"/>
      </w:pPr>
      <w:r>
        <w:rPr>
          <w:color w:val="555555"/>
          <w:sz w:val="17"/>
        </w:rPr>
        <w:t>현재 UWB 위치에서 가장 가까운 충전 스테이션을 target charger로 선택한다.</w:t>
      </w:r>
    </w:p>
    <w:p>
      <w:pPr>
        <w:jc w:val="center"/>
      </w:pPr>
      <w:r>
        <w:rPr>
          <w:rFonts w:ascii="Cambria Math" w:hAnsi="Cambria Math"/>
          <w:b/>
          <w:sz w:val="21"/>
        </w:rPr>
        <w:t>(7)   e_theta = wrap(atan2(c_y - y, c_x - x) - theta)</w:t>
      </w:r>
    </w:p>
    <w:p>
      <w:pPr>
        <w:jc w:val="center"/>
      </w:pPr>
      <w:r>
        <w:rPr>
          <w:color w:val="555555"/>
          <w:sz w:val="17"/>
        </w:rPr>
        <w:t>로봇 heading과 목표 충전소 방향 사이의 각도 오차.</w:t>
      </w:r>
    </w:p>
    <w:p>
      <w:pPr>
        <w:jc w:val="center"/>
      </w:pPr>
      <w:r>
        <w:rPr>
          <w:rFonts w:ascii="Cambria Math" w:hAnsi="Cambria Math"/>
          <w:b/>
          <w:sz w:val="21"/>
        </w:rPr>
        <w:t>(8)   v = v_max I(d_goal &gt; R_goal),   omega = sat(k_theta e_theta, -omega_max, omega_max)</w:t>
      </w:r>
    </w:p>
    <w:p>
      <w:pPr>
        <w:jc w:val="center"/>
      </w:pPr>
      <w:r>
        <w:rPr>
          <w:color w:val="555555"/>
          <w:sz w:val="17"/>
        </w:rPr>
        <w:t>goal_radius 밖에서는 저속 전진하고 heading 오차에 비례해 회전한다.</w:t>
      </w:r>
    </w:p>
    <w:p>
      <w:pPr>
        <w:jc w:val="center"/>
      </w:pPr>
      <w:r>
        <w:rPr>
          <w:rFonts w:ascii="Cambria Math" w:hAnsi="Cambria Math"/>
          <w:b/>
          <w:sz w:val="21"/>
        </w:rPr>
        <w:t>(9)   d_S = min_{phi in S} r(phi)</w:t>
      </w:r>
    </w:p>
    <w:p>
      <w:pPr>
        <w:jc w:val="center"/>
      </w:pPr>
      <w:r>
        <w:rPr>
          <w:color w:val="555555"/>
          <w:sz w:val="17"/>
        </w:rPr>
        <w:t>front/front-left/front-right 등 sector별 최소 LaserScan 거리로 장애물 회피 상태를 결정한다.</w:t>
      </w:r>
    </w:p>
    <w:p>
      <w:pPr>
        <w:pStyle w:val="Heading1"/>
      </w:pPr>
      <w:r>
        <w:t>6. QR 기반 최종 정렬 모델</w:t>
      </w:r>
    </w:p>
    <w:p>
      <w:r>
        <w:t>OpenCV QRCodeDetector는 영상에서 QR code를 검출하고 decode하는 API를 제공한다[5]. 본 연구에서는 UWB-LiDAR 접근이 완료된 후 QR marker의 네 꼭짓점으로부터 marker 중심을 계산하고, 영상 중심과의 오차를 최종 docking 제어에 사용할 수 있다.</w:t>
      </w:r>
    </w:p>
    <w:p>
      <w:pPr>
        <w:jc w:val="center"/>
      </w:pPr>
      <w:r>
        <w:rPr>
          <w:rFonts w:ascii="Cambria Math" w:hAnsi="Cambria Math"/>
          <w:b/>
          <w:sz w:val="21"/>
        </w:rPr>
        <w:t>(10)   e_q = [u_q - u_0, v_q - v_0]^T,   q_c = (1/4) sum_m q_m</w:t>
      </w:r>
    </w:p>
    <w:p>
      <w:pPr>
        <w:jc w:val="center"/>
      </w:pPr>
      <w:r>
        <w:rPr>
          <w:color w:val="555555"/>
          <w:sz w:val="17"/>
        </w:rPr>
        <w:t>QR 네 꼭짓점 평균으로 marker 중심을 구하고 영상 중심과의 픽셀 오차를 최종 정렬에 사용한다.</w:t>
      </w:r>
    </w:p>
    <w:p>
      <w:pPr>
        <w:pStyle w:val="Heading1"/>
      </w:pPr>
      <w:r>
        <w:t>7. 예비 로그 분석 결과</w:t>
      </w:r>
    </w:p>
    <w:p>
      <w:r>
        <w:t>현재 확보된 실제 로그는 UWB 좌표 로그와 COM5 serial diagnostic log이다. true pose가 실시간으로 동기화된 최종 rosbag은 아직 없으므로, 아래 결과는 논문 최종 성능값이 아니라 실험 설계를 위한 예비 분석값으로 제시한다.</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16"/>
            <w:vAlign w:val="center"/>
            <w:tcMar>
              <w:top w:w="80" w:type="dxa"/>
              <w:start w:w="120" w:type="dxa"/>
              <w:bottom w:w="80" w:type="dxa"/>
              <w:end w:w="120" w:type="dxa"/>
            </w:tcMar>
            <w:shd w:fill="E8EEF5"/>
          </w:tcPr>
          <w:p>
            <w:pPr>
              <w:jc w:val="center"/>
            </w:pPr>
            <w:r>
              <w:rPr>
                <w:b/>
                <w:sz w:val="17"/>
              </w:rPr>
              <w:t>지표</w:t>
            </w:r>
          </w:p>
        </w:tc>
        <w:tc>
          <w:tcPr>
            <w:tcW w:type="dxa" w:w="2160"/>
            <w:vAlign w:val="center"/>
            <w:tcMar>
              <w:top w:w="80" w:type="dxa"/>
              <w:start w:w="120" w:type="dxa"/>
              <w:bottom w:w="80" w:type="dxa"/>
              <w:end w:w="120" w:type="dxa"/>
            </w:tcMar>
            <w:shd w:fill="E8EEF5"/>
          </w:tcPr>
          <w:p>
            <w:pPr>
              <w:jc w:val="center"/>
            </w:pPr>
            <w:r>
              <w:rPr>
                <w:b/>
                <w:sz w:val="17"/>
              </w:rPr>
              <w:t>값</w:t>
            </w:r>
          </w:p>
        </w:tc>
        <w:tc>
          <w:tcPr>
            <w:tcW w:type="dxa" w:w="5904"/>
            <w:vAlign w:val="center"/>
            <w:tcMar>
              <w:top w:w="80" w:type="dxa"/>
              <w:start w:w="120" w:type="dxa"/>
              <w:bottom w:w="80" w:type="dxa"/>
              <w:end w:w="120" w:type="dxa"/>
            </w:tcMar>
            <w:shd w:fill="E8EEF5"/>
          </w:tcPr>
          <w:p>
            <w:pPr>
              <w:jc w:val="center"/>
            </w:pPr>
            <w:r>
              <w:rPr>
                <w:b/>
                <w:sz w:val="17"/>
              </w:rPr>
              <w:t>해석</w:t>
            </w:r>
          </w:p>
        </w:tc>
      </w:tr>
      <w:tr>
        <w:tc>
          <w:tcPr>
            <w:tcW w:type="dxa" w:w="2016"/>
            <w:vAlign w:val="center"/>
            <w:tcMar>
              <w:top w:w="80" w:type="dxa"/>
              <w:start w:w="120" w:type="dxa"/>
              <w:bottom w:w="80" w:type="dxa"/>
              <w:end w:w="120" w:type="dxa"/>
            </w:tcMar>
          </w:tcPr>
          <w:p>
            <w:pPr>
              <w:jc w:val="center"/>
            </w:pPr>
            <w:r>
              <w:rPr>
                <w:sz w:val="17"/>
              </w:rPr>
              <w:t>sample count</w:t>
            </w:r>
          </w:p>
        </w:tc>
        <w:tc>
          <w:tcPr>
            <w:tcW w:type="dxa" w:w="2160"/>
            <w:vAlign w:val="center"/>
            <w:tcMar>
              <w:top w:w="80" w:type="dxa"/>
              <w:start w:w="120" w:type="dxa"/>
              <w:bottom w:w="80" w:type="dxa"/>
              <w:end w:w="120" w:type="dxa"/>
            </w:tcMar>
          </w:tcPr>
          <w:p>
            <w:r>
              <w:rPr>
                <w:sz w:val="17"/>
              </w:rPr>
              <w:t>10</w:t>
            </w:r>
          </w:p>
        </w:tc>
        <w:tc>
          <w:tcPr>
            <w:tcW w:type="dxa" w:w="5904"/>
            <w:vAlign w:val="center"/>
            <w:tcMar>
              <w:top w:w="80" w:type="dxa"/>
              <w:start w:w="120" w:type="dxa"/>
              <w:bottom w:w="80" w:type="dxa"/>
              <w:end w:w="120" w:type="dxa"/>
            </w:tcMar>
          </w:tcPr>
          <w:p>
            <w:r>
              <w:rPr>
                <w:sz w:val="17"/>
              </w:rPr>
              <w:t>안정 정적 구간에서 선택한 UWB 표본 수</w:t>
            </w:r>
          </w:p>
        </w:tc>
      </w:tr>
      <w:tr>
        <w:tc>
          <w:tcPr>
            <w:tcW w:type="dxa" w:w="2016"/>
            <w:vAlign w:val="center"/>
            <w:tcMar>
              <w:top w:w="80" w:type="dxa"/>
              <w:start w:w="120" w:type="dxa"/>
              <w:bottom w:w="80" w:type="dxa"/>
              <w:end w:w="120" w:type="dxa"/>
            </w:tcMar>
          </w:tcPr>
          <w:p>
            <w:pPr>
              <w:jc w:val="center"/>
            </w:pPr>
            <w:r>
              <w:rPr>
                <w:sz w:val="17"/>
              </w:rPr>
              <w:t>mean error</w:t>
            </w:r>
          </w:p>
        </w:tc>
        <w:tc>
          <w:tcPr>
            <w:tcW w:type="dxa" w:w="2160"/>
            <w:vAlign w:val="center"/>
            <w:tcMar>
              <w:top w:w="80" w:type="dxa"/>
              <w:start w:w="120" w:type="dxa"/>
              <w:bottom w:w="80" w:type="dxa"/>
              <w:end w:w="120" w:type="dxa"/>
            </w:tcMar>
          </w:tcPr>
          <w:p>
            <w:r>
              <w:rPr>
                <w:sz w:val="17"/>
              </w:rPr>
              <w:t>1.57 cm</w:t>
            </w:r>
          </w:p>
        </w:tc>
        <w:tc>
          <w:tcPr>
            <w:tcW w:type="dxa" w:w="5904"/>
            <w:vAlign w:val="center"/>
            <w:tcMar>
              <w:top w:w="80" w:type="dxa"/>
              <w:start w:w="120" w:type="dxa"/>
              <w:bottom w:w="80" w:type="dxa"/>
              <w:end w:w="120" w:type="dxa"/>
            </w:tcMar>
          </w:tcPr>
          <w:p>
            <w:r>
              <w:rPr>
                <w:sz w:val="17"/>
              </w:rPr>
              <w:t>중앙 기준점 (2.50, 2.50 m) 대비 평균 오차</w:t>
            </w:r>
          </w:p>
        </w:tc>
      </w:tr>
      <w:tr>
        <w:tc>
          <w:tcPr>
            <w:tcW w:type="dxa" w:w="2016"/>
            <w:vAlign w:val="center"/>
            <w:tcMar>
              <w:top w:w="80" w:type="dxa"/>
              <w:start w:w="120" w:type="dxa"/>
              <w:bottom w:w="80" w:type="dxa"/>
              <w:end w:w="120" w:type="dxa"/>
            </w:tcMar>
          </w:tcPr>
          <w:p>
            <w:pPr>
              <w:jc w:val="center"/>
            </w:pPr>
            <w:r>
              <w:rPr>
                <w:sz w:val="17"/>
              </w:rPr>
              <w:t>RMSE</w:t>
            </w:r>
          </w:p>
        </w:tc>
        <w:tc>
          <w:tcPr>
            <w:tcW w:type="dxa" w:w="2160"/>
            <w:vAlign w:val="center"/>
            <w:tcMar>
              <w:top w:w="80" w:type="dxa"/>
              <w:start w:w="120" w:type="dxa"/>
              <w:bottom w:w="80" w:type="dxa"/>
              <w:end w:w="120" w:type="dxa"/>
            </w:tcMar>
          </w:tcPr>
          <w:p>
            <w:r>
              <w:rPr>
                <w:sz w:val="17"/>
              </w:rPr>
              <w:t>1.71 cm</w:t>
            </w:r>
          </w:p>
        </w:tc>
        <w:tc>
          <w:tcPr>
            <w:tcW w:type="dxa" w:w="5904"/>
            <w:vAlign w:val="center"/>
            <w:tcMar>
              <w:top w:w="80" w:type="dxa"/>
              <w:start w:w="120" w:type="dxa"/>
              <w:bottom w:w="80" w:type="dxa"/>
              <w:end w:w="120" w:type="dxa"/>
            </w:tcMar>
          </w:tcPr>
          <w:p>
            <w:r>
              <w:rPr>
                <w:sz w:val="17"/>
              </w:rPr>
              <w:t>큰 오차에 민감한 종합 지표</w:t>
            </w:r>
          </w:p>
        </w:tc>
      </w:tr>
      <w:tr>
        <w:tc>
          <w:tcPr>
            <w:tcW w:type="dxa" w:w="2016"/>
            <w:vAlign w:val="center"/>
            <w:tcMar>
              <w:top w:w="80" w:type="dxa"/>
              <w:start w:w="120" w:type="dxa"/>
              <w:bottom w:w="80" w:type="dxa"/>
              <w:end w:w="120" w:type="dxa"/>
            </w:tcMar>
          </w:tcPr>
          <w:p>
            <w:pPr>
              <w:jc w:val="center"/>
            </w:pPr>
            <w:r>
              <w:rPr>
                <w:sz w:val="17"/>
              </w:rPr>
              <w:t>95% error</w:t>
            </w:r>
          </w:p>
        </w:tc>
        <w:tc>
          <w:tcPr>
            <w:tcW w:type="dxa" w:w="2160"/>
            <w:vAlign w:val="center"/>
            <w:tcMar>
              <w:top w:w="80" w:type="dxa"/>
              <w:start w:w="120" w:type="dxa"/>
              <w:bottom w:w="80" w:type="dxa"/>
              <w:end w:w="120" w:type="dxa"/>
            </w:tcMar>
          </w:tcPr>
          <w:p>
            <w:r>
              <w:rPr>
                <w:sz w:val="17"/>
              </w:rPr>
              <w:t>2.52 cm</w:t>
            </w:r>
          </w:p>
        </w:tc>
        <w:tc>
          <w:tcPr>
            <w:tcW w:type="dxa" w:w="5904"/>
            <w:vAlign w:val="center"/>
            <w:tcMar>
              <w:top w:w="80" w:type="dxa"/>
              <w:start w:w="120" w:type="dxa"/>
              <w:bottom w:w="80" w:type="dxa"/>
              <w:end w:w="120" w:type="dxa"/>
            </w:tcMar>
          </w:tcPr>
          <w:p>
            <w:r>
              <w:rPr>
                <w:sz w:val="17"/>
              </w:rPr>
              <w:t>표본 95%가 포함되는 오차 수준</w:t>
            </w:r>
          </w:p>
        </w:tc>
      </w:tr>
      <w:tr>
        <w:tc>
          <w:tcPr>
            <w:tcW w:type="dxa" w:w="2016"/>
            <w:vAlign w:val="center"/>
            <w:tcMar>
              <w:top w:w="80" w:type="dxa"/>
              <w:start w:w="120" w:type="dxa"/>
              <w:bottom w:w="80" w:type="dxa"/>
              <w:end w:w="120" w:type="dxa"/>
            </w:tcMar>
          </w:tcPr>
          <w:p>
            <w:pPr>
              <w:jc w:val="center"/>
            </w:pPr>
            <w:r>
              <w:rPr>
                <w:sz w:val="17"/>
              </w:rPr>
              <w:t>x/y std</w:t>
            </w:r>
          </w:p>
        </w:tc>
        <w:tc>
          <w:tcPr>
            <w:tcW w:type="dxa" w:w="2160"/>
            <w:vAlign w:val="center"/>
            <w:tcMar>
              <w:top w:w="80" w:type="dxa"/>
              <w:start w:w="120" w:type="dxa"/>
              <w:bottom w:w="80" w:type="dxa"/>
              <w:end w:w="120" w:type="dxa"/>
            </w:tcMar>
          </w:tcPr>
          <w:p>
            <w:r>
              <w:rPr>
                <w:sz w:val="17"/>
              </w:rPr>
              <w:t>1.09 / 1.15 cm</w:t>
            </w:r>
          </w:p>
        </w:tc>
        <w:tc>
          <w:tcPr>
            <w:tcW w:type="dxa" w:w="5904"/>
            <w:vAlign w:val="center"/>
            <w:tcMar>
              <w:top w:w="80" w:type="dxa"/>
              <w:start w:w="120" w:type="dxa"/>
              <w:bottom w:w="80" w:type="dxa"/>
              <w:end w:w="120" w:type="dxa"/>
            </w:tcMar>
          </w:tcPr>
          <w:p>
            <w:r>
              <w:rPr>
                <w:sz w:val="17"/>
              </w:rPr>
              <w:t>필터링 후 반복성</w:t>
            </w:r>
          </w:p>
        </w:tc>
      </w:tr>
    </w:tbl>
    <w:p/>
    <w:p>
      <w:pPr>
        <w:jc w:val="center"/>
      </w:pPr>
      <w:r>
        <w:drawing>
          <wp:inline xmlns:a="http://schemas.openxmlformats.org/drawingml/2006/main" xmlns:pic="http://schemas.openxmlformats.org/drawingml/2006/picture">
            <wp:extent cx="5212080" cy="3420428"/>
            <wp:docPr id="6" name="Picture 6"/>
            <wp:cNvGraphicFramePr>
              <a:graphicFrameLocks noChangeAspect="1"/>
            </wp:cNvGraphicFramePr>
            <a:graphic>
              <a:graphicData uri="http://schemas.openxmlformats.org/drawingml/2006/picture">
                <pic:pic>
                  <pic:nvPicPr>
                    <pic:cNvPr id="0" name="fig07_uwb_static_scatter.png"/>
                    <pic:cNvPicPr/>
                  </pic:nvPicPr>
                  <pic:blipFill>
                    <a:blip r:embed="rId14"/>
                    <a:stretch>
                      <a:fillRect/>
                    </a:stretch>
                  </pic:blipFill>
                  <pic:spPr>
                    <a:xfrm>
                      <a:off x="0" y="0"/>
                      <a:ext cx="5212080" cy="3420428"/>
                    </a:xfrm>
                    <a:prstGeom prst="rect"/>
                  </pic:spPr>
                </pic:pic>
              </a:graphicData>
            </a:graphic>
          </wp:inline>
        </w:drawing>
      </w:r>
    </w:p>
    <w:p>
      <w:pPr>
        <w:jc w:val="center"/>
      </w:pPr>
      <w:r>
        <w:rPr>
          <w:color w:val="555555"/>
          <w:sz w:val="17"/>
        </w:rPr>
        <w:t>Fig. 6. 실제 UWB 로그 기반 정적 좌표 산점도.</w:t>
      </w:r>
    </w:p>
    <w:p>
      <w:pPr>
        <w:jc w:val="center"/>
      </w:pPr>
      <w:r>
        <w:drawing>
          <wp:inline xmlns:a="http://schemas.openxmlformats.org/drawingml/2006/main" xmlns:pic="http://schemas.openxmlformats.org/drawingml/2006/picture">
            <wp:extent cx="5212080" cy="3420428"/>
            <wp:docPr id="7" name="Picture 7"/>
            <wp:cNvGraphicFramePr>
              <a:graphicFrameLocks noChangeAspect="1"/>
            </wp:cNvGraphicFramePr>
            <a:graphic>
              <a:graphicData uri="http://schemas.openxmlformats.org/drawingml/2006/picture">
                <pic:pic>
                  <pic:nvPicPr>
                    <pic:cNvPr id="0" name="fig08_uwb_static_error.png"/>
                    <pic:cNvPicPr/>
                  </pic:nvPicPr>
                  <pic:blipFill>
                    <a:blip r:embed="rId15"/>
                    <a:stretch>
                      <a:fillRect/>
                    </a:stretch>
                  </pic:blipFill>
                  <pic:spPr>
                    <a:xfrm>
                      <a:off x="0" y="0"/>
                      <a:ext cx="5212080" cy="3420428"/>
                    </a:xfrm>
                    <a:prstGeom prst="rect"/>
                  </pic:spPr>
                </pic:pic>
              </a:graphicData>
            </a:graphic>
          </wp:inline>
        </w:drawing>
      </w:r>
    </w:p>
    <w:p>
      <w:pPr>
        <w:jc w:val="center"/>
      </w:pPr>
      <w:r>
        <w:rPr>
          <w:color w:val="555555"/>
          <w:sz w:val="17"/>
        </w:rPr>
        <w:t>Fig. 7. 중앙 기준점 대비 UWB 정적 위치 오차.</w:t>
      </w:r>
    </w:p>
    <w:p>
      <w:pPr>
        <w:jc w:val="center"/>
      </w:pPr>
      <w:r>
        <w:drawing>
          <wp:inline xmlns:a="http://schemas.openxmlformats.org/drawingml/2006/main" xmlns:pic="http://schemas.openxmlformats.org/drawingml/2006/picture">
            <wp:extent cx="5212080" cy="3420428"/>
            <wp:docPr id="8" name="Picture 8"/>
            <wp:cNvGraphicFramePr>
              <a:graphicFrameLocks noChangeAspect="1"/>
            </wp:cNvGraphicFramePr>
            <a:graphic>
              <a:graphicData uri="http://schemas.openxmlformats.org/drawingml/2006/picture">
                <pic:pic>
                  <pic:nvPicPr>
                    <pic:cNvPr id="0" name="fig09_all_uwb_log_trace.png"/>
                    <pic:cNvPicPr/>
                  </pic:nvPicPr>
                  <pic:blipFill>
                    <a:blip r:embed="rId16"/>
                    <a:stretch>
                      <a:fillRect/>
                    </a:stretch>
                  </pic:blipFill>
                  <pic:spPr>
                    <a:xfrm>
                      <a:off x="0" y="0"/>
                      <a:ext cx="5212080" cy="3420428"/>
                    </a:xfrm>
                    <a:prstGeom prst="rect"/>
                  </pic:spPr>
                </pic:pic>
              </a:graphicData>
            </a:graphic>
          </wp:inline>
        </w:drawing>
      </w:r>
    </w:p>
    <w:p>
      <w:pPr>
        <w:jc w:val="center"/>
      </w:pPr>
      <w:r>
        <w:rPr>
          <w:color w:val="555555"/>
          <w:sz w:val="17"/>
        </w:rPr>
        <w:t>Fig. 8. 저장된 UWB 좌표 로그 궤적.</w:t>
      </w:r>
    </w:p>
    <w:p>
      <w:pPr>
        <w:pStyle w:val="Heading1"/>
      </w:pPr>
      <w:r>
        <w:t>8. 최종 논문 실험 계획</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vAlign w:val="center"/>
            <w:tcMar>
              <w:top w:w="80" w:type="dxa"/>
              <w:start w:w="120" w:type="dxa"/>
              <w:bottom w:w="80" w:type="dxa"/>
              <w:end w:w="120" w:type="dxa"/>
            </w:tcMar>
            <w:shd w:fill="E8EEF5"/>
          </w:tcPr>
          <w:p>
            <w:pPr>
              <w:jc w:val="center"/>
            </w:pPr>
            <w:r>
              <w:rPr>
                <w:b/>
                <w:sz w:val="17"/>
              </w:rPr>
              <w:t>실험</w:t>
            </w:r>
          </w:p>
        </w:tc>
        <w:tc>
          <w:tcPr>
            <w:tcW w:type="dxa" w:w="3816"/>
            <w:vAlign w:val="center"/>
            <w:tcMar>
              <w:top w:w="80" w:type="dxa"/>
              <w:start w:w="120" w:type="dxa"/>
              <w:bottom w:w="80" w:type="dxa"/>
              <w:end w:w="120" w:type="dxa"/>
            </w:tcMar>
            <w:shd w:fill="E8EEF5"/>
          </w:tcPr>
          <w:p>
            <w:pPr>
              <w:jc w:val="center"/>
            </w:pPr>
            <w:r>
              <w:rPr>
                <w:b/>
                <w:sz w:val="17"/>
              </w:rPr>
              <w:t>측정값</w:t>
            </w:r>
          </w:p>
        </w:tc>
        <w:tc>
          <w:tcPr>
            <w:tcW w:type="dxa" w:w="4176"/>
            <w:vAlign w:val="center"/>
            <w:tcMar>
              <w:top w:w="80" w:type="dxa"/>
              <w:start w:w="120" w:type="dxa"/>
              <w:bottom w:w="80" w:type="dxa"/>
              <w:end w:w="120" w:type="dxa"/>
            </w:tcMar>
            <w:shd w:fill="E8EEF5"/>
          </w:tcPr>
          <w:p>
            <w:pPr>
              <w:jc w:val="center"/>
            </w:pPr>
            <w:r>
              <w:rPr>
                <w:b/>
                <w:sz w:val="17"/>
              </w:rPr>
              <w:t>논문 결과 표기</w:t>
            </w:r>
          </w:p>
        </w:tc>
      </w:tr>
      <w:tr>
        <w:tc>
          <w:tcPr>
            <w:tcW w:type="dxa" w:w="2088"/>
            <w:vAlign w:val="center"/>
            <w:tcMar>
              <w:top w:w="80" w:type="dxa"/>
              <w:start w:w="120" w:type="dxa"/>
              <w:bottom w:w="80" w:type="dxa"/>
              <w:end w:w="120" w:type="dxa"/>
            </w:tcMar>
          </w:tcPr>
          <w:p>
            <w:pPr>
              <w:jc w:val="center"/>
            </w:pPr>
            <w:r>
              <w:rPr>
                <w:sz w:val="17"/>
              </w:rPr>
              <w:t>UWB 정적 정확도</w:t>
            </w:r>
          </w:p>
        </w:tc>
        <w:tc>
          <w:tcPr>
            <w:tcW w:type="dxa" w:w="3816"/>
            <w:vAlign w:val="center"/>
            <w:tcMar>
              <w:top w:w="80" w:type="dxa"/>
              <w:start w:w="120" w:type="dxa"/>
              <w:bottom w:w="80" w:type="dxa"/>
              <w:end w:w="120" w:type="dxa"/>
            </w:tcMar>
          </w:tcPr>
          <w:p>
            <w:r>
              <w:rPr>
                <w:sz w:val="17"/>
              </w:rPr>
              <w:t>true_x, true_y, uwb_x, uwb_y</w:t>
            </w:r>
          </w:p>
        </w:tc>
        <w:tc>
          <w:tcPr>
            <w:tcW w:type="dxa" w:w="4176"/>
            <w:vAlign w:val="center"/>
            <w:tcMar>
              <w:top w:w="80" w:type="dxa"/>
              <w:start w:w="120" w:type="dxa"/>
              <w:bottom w:w="80" w:type="dxa"/>
              <w:end w:w="120" w:type="dxa"/>
            </w:tcMar>
          </w:tcPr>
          <w:p>
            <w:r>
              <w:rPr>
                <w:sz w:val="17"/>
              </w:rPr>
              <w:t>mean error, RMSE, 95% error</w:t>
            </w:r>
          </w:p>
        </w:tc>
      </w:tr>
      <w:tr>
        <w:tc>
          <w:tcPr>
            <w:tcW w:type="dxa" w:w="2088"/>
            <w:vAlign w:val="center"/>
            <w:tcMar>
              <w:top w:w="80" w:type="dxa"/>
              <w:start w:w="120" w:type="dxa"/>
              <w:bottom w:w="80" w:type="dxa"/>
              <w:end w:w="120" w:type="dxa"/>
            </w:tcMar>
          </w:tcPr>
          <w:p>
            <w:pPr>
              <w:jc w:val="center"/>
            </w:pPr>
            <w:r>
              <w:rPr>
                <w:sz w:val="17"/>
              </w:rPr>
              <w:t>충전소 선택</w:t>
            </w:r>
          </w:p>
        </w:tc>
        <w:tc>
          <w:tcPr>
            <w:tcW w:type="dxa" w:w="3816"/>
            <w:vAlign w:val="center"/>
            <w:tcMar>
              <w:top w:w="80" w:type="dxa"/>
              <w:start w:w="120" w:type="dxa"/>
              <w:bottom w:w="80" w:type="dxa"/>
              <w:end w:w="120" w:type="dxa"/>
            </w:tcMar>
          </w:tcPr>
          <w:p>
            <w:r>
              <w:rPr>
                <w:sz w:val="17"/>
              </w:rPr>
              <w:t>start pose, selected charger, expected charger</w:t>
            </w:r>
          </w:p>
        </w:tc>
        <w:tc>
          <w:tcPr>
            <w:tcW w:type="dxa" w:w="4176"/>
            <w:vAlign w:val="center"/>
            <w:tcMar>
              <w:top w:w="80" w:type="dxa"/>
              <w:start w:w="120" w:type="dxa"/>
              <w:bottom w:w="80" w:type="dxa"/>
              <w:end w:w="120" w:type="dxa"/>
            </w:tcMar>
          </w:tcPr>
          <w:p>
            <w:r>
              <w:rPr>
                <w:sz w:val="17"/>
              </w:rPr>
              <w:t>selection success rate</w:t>
            </w:r>
          </w:p>
        </w:tc>
      </w:tr>
      <w:tr>
        <w:tc>
          <w:tcPr>
            <w:tcW w:type="dxa" w:w="2088"/>
            <w:vAlign w:val="center"/>
            <w:tcMar>
              <w:top w:w="80" w:type="dxa"/>
              <w:start w:w="120" w:type="dxa"/>
              <w:bottom w:w="80" w:type="dxa"/>
              <w:end w:w="120" w:type="dxa"/>
            </w:tcMar>
          </w:tcPr>
          <w:p>
            <w:pPr>
              <w:jc w:val="center"/>
            </w:pPr>
            <w:r>
              <w:rPr>
                <w:sz w:val="17"/>
              </w:rPr>
              <w:t>LiDAR 접근</w:t>
            </w:r>
          </w:p>
        </w:tc>
        <w:tc>
          <w:tcPr>
            <w:tcW w:type="dxa" w:w="3816"/>
            <w:vAlign w:val="center"/>
            <w:tcMar>
              <w:top w:w="80" w:type="dxa"/>
              <w:start w:w="120" w:type="dxa"/>
              <w:bottom w:w="80" w:type="dxa"/>
              <w:end w:w="120" w:type="dxa"/>
            </w:tcMar>
          </w:tcPr>
          <w:p>
            <w:r>
              <w:rPr>
                <w:sz w:val="17"/>
              </w:rPr>
              <w:t>rosbag, state transition, cmd_vel, near_charger time</w:t>
            </w:r>
          </w:p>
        </w:tc>
        <w:tc>
          <w:tcPr>
            <w:tcW w:type="dxa" w:w="4176"/>
            <w:vAlign w:val="center"/>
            <w:tcMar>
              <w:top w:w="80" w:type="dxa"/>
              <w:start w:w="120" w:type="dxa"/>
              <w:bottom w:w="80" w:type="dxa"/>
              <w:end w:w="120" w:type="dxa"/>
            </w:tcMar>
          </w:tcPr>
          <w:p>
            <w:r>
              <w:rPr>
                <w:sz w:val="17"/>
              </w:rPr>
              <w:t>approach time, stop radius error</w:t>
            </w:r>
          </w:p>
        </w:tc>
      </w:tr>
      <w:tr>
        <w:tc>
          <w:tcPr>
            <w:tcW w:type="dxa" w:w="2088"/>
            <w:vAlign w:val="center"/>
            <w:tcMar>
              <w:top w:w="80" w:type="dxa"/>
              <w:start w:w="120" w:type="dxa"/>
              <w:bottom w:w="80" w:type="dxa"/>
              <w:end w:w="120" w:type="dxa"/>
            </w:tcMar>
          </w:tcPr>
          <w:p>
            <w:pPr>
              <w:jc w:val="center"/>
            </w:pPr>
            <w:r>
              <w:rPr>
                <w:sz w:val="17"/>
              </w:rPr>
              <w:t>QR 최종 정렬</w:t>
            </w:r>
          </w:p>
        </w:tc>
        <w:tc>
          <w:tcPr>
            <w:tcW w:type="dxa" w:w="3816"/>
            <w:vAlign w:val="center"/>
            <w:tcMar>
              <w:top w:w="80" w:type="dxa"/>
              <w:start w:w="120" w:type="dxa"/>
              <w:bottom w:w="80" w:type="dxa"/>
              <w:end w:w="120" w:type="dxa"/>
            </w:tcMar>
          </w:tcPr>
          <w:p>
            <w:r>
              <w:rPr>
                <w:sz w:val="17"/>
              </w:rPr>
              <w:t>QR pixel error, final physical offset</w:t>
            </w:r>
          </w:p>
        </w:tc>
        <w:tc>
          <w:tcPr>
            <w:tcW w:type="dxa" w:w="4176"/>
            <w:vAlign w:val="center"/>
            <w:tcMar>
              <w:top w:w="80" w:type="dxa"/>
              <w:start w:w="120" w:type="dxa"/>
              <w:bottom w:w="80" w:type="dxa"/>
              <w:end w:w="120" w:type="dxa"/>
            </w:tcMar>
          </w:tcPr>
          <w:p>
            <w:r>
              <w:rPr>
                <w:sz w:val="17"/>
              </w:rPr>
              <w:t>final docking error cm</w:t>
            </w:r>
          </w:p>
        </w:tc>
      </w:tr>
      <w:tr>
        <w:tc>
          <w:tcPr>
            <w:tcW w:type="dxa" w:w="2088"/>
            <w:vAlign w:val="center"/>
            <w:tcMar>
              <w:top w:w="80" w:type="dxa"/>
              <w:start w:w="120" w:type="dxa"/>
              <w:bottom w:w="80" w:type="dxa"/>
              <w:end w:w="120" w:type="dxa"/>
            </w:tcMar>
          </w:tcPr>
          <w:p>
            <w:pPr>
              <w:jc w:val="center"/>
            </w:pPr>
            <w:r>
              <w:rPr>
                <w:sz w:val="17"/>
              </w:rPr>
              <w:t>통합 충전</w:t>
            </w:r>
          </w:p>
        </w:tc>
        <w:tc>
          <w:tcPr>
            <w:tcW w:type="dxa" w:w="3816"/>
            <w:vAlign w:val="center"/>
            <w:tcMar>
              <w:top w:w="80" w:type="dxa"/>
              <w:start w:w="120" w:type="dxa"/>
              <w:bottom w:w="80" w:type="dxa"/>
              <w:end w:w="120" w:type="dxa"/>
            </w:tcMar>
          </w:tcPr>
          <w:p>
            <w:r>
              <w:rPr>
                <w:sz w:val="17"/>
              </w:rPr>
              <w:t>battery trigger to charging start</w:t>
            </w:r>
          </w:p>
        </w:tc>
        <w:tc>
          <w:tcPr>
            <w:tcW w:type="dxa" w:w="4176"/>
            <w:vAlign w:val="center"/>
            <w:tcMar>
              <w:top w:w="80" w:type="dxa"/>
              <w:start w:w="120" w:type="dxa"/>
              <w:bottom w:w="80" w:type="dxa"/>
              <w:end w:w="120" w:type="dxa"/>
            </w:tcMar>
          </w:tcPr>
          <w:p>
            <w:r>
              <w:rPr>
                <w:sz w:val="17"/>
              </w:rPr>
              <w:t>success rate, elapsed time</w:t>
            </w:r>
          </w:p>
        </w:tc>
      </w:tr>
    </w:tbl>
    <w:p/>
    <w:p>
      <w:pPr>
        <w:pStyle w:val="Heading1"/>
      </w:pPr>
      <w:r>
        <w:t>9. 결론</w:t>
      </w:r>
    </w:p>
    <w:p>
      <w:r>
        <w:t>본 초안은 UWB-LiDAR 기반 TurtleBot 충전소 접근 시스템을 논문 형식으로 정리한 것이다. 현재 자료만으로는 UWB 예비 로그 기반 위치 안정성, 충전소 선택 구조, LiDAR local planner 구조까지는 논문 방법론으로 정리 가능하다. 다만 최종 QR docking 및 실제 무선충전 성공률은 아직 실험 증거가 없으므로, 최종 논문에서는 반드시 true pose가 포함된 반복 실험과 최종 docking 사진/영상/rosbag을 추가해야 한다.</w:t>
      </w:r>
    </w:p>
    <w:p>
      <w:pPr>
        <w:pStyle w:val="Heading1"/>
      </w:pPr>
      <w:r>
        <w:t>참고문헌</w:t>
      </w:r>
    </w:p>
    <w:p>
      <w:r>
        <w:rPr>
          <w:b/>
        </w:rPr>
        <w:t xml:space="preserve">[1] ROBOTIS TurtleBot3 e-Manual: Features / Waffle Pi. </w:t>
      </w:r>
      <w:r>
        <w:t>https://emanual.robotis.com/docs/en/platform/turtlebot3/features/</w:t>
      </w:r>
    </w:p>
    <w:p>
      <w:r>
        <w:rPr>
          <w:b/>
        </w:rPr>
        <w:t xml:space="preserve">[2] ROBOTIS TurtleBot3 e-Manual: Navigation. </w:t>
      </w:r>
      <w:r>
        <w:t>https://emanual.robotis.com/docs/en/platform/turtlebot3/navigation/</w:t>
      </w:r>
    </w:p>
    <w:p>
      <w:r>
        <w:rPr>
          <w:b/>
        </w:rPr>
        <w:t xml:space="preserve">[3] Qorvo DW1000 UWB Transceiver. </w:t>
      </w:r>
      <w:r>
        <w:t>https://www.qorvo.com/products/p/DW1000</w:t>
      </w:r>
    </w:p>
    <w:p>
      <w:r>
        <w:rPr>
          <w:b/>
        </w:rPr>
        <w:t xml:space="preserve">[4] Ultrawideband-based precise short-range localization for wireless power transfer to electric vehicles in parking environments. </w:t>
      </w:r>
      <w:r>
        <w:t>https://pmc.ncbi.nlm.nih.gov/articles/PMC8176549/</w:t>
      </w:r>
    </w:p>
    <w:p>
      <w:r>
        <w:rPr>
          <w:b/>
        </w:rPr>
        <w:t xml:space="preserve">[5] OpenCV QRCodeDetector Class Reference. </w:t>
      </w:r>
      <w:r>
        <w:t>https://docs.opencv.org/3.4/de/dc3/classcv_1_1QRCodeDetector.html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algun Gothic" w:hAnsi="Malgun Gothic" w:eastAsia="Malgun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lgun Gothic" w:hAnsi="Malgun Gothic" w:eastAsia="Malgun Gothic"/>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Malgun Gothic" w:hAnsi="Malgun Gothic" w:eastAsia="Malgun Gothic"/>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