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pj_jj6u4.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op1l1ia9.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637ijl0p.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5rq_i5x_.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qkj2ogss.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7o5jj1vz.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b0p2hshf.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pz3nhsxm.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추인이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추인의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4evqjvoc.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통제를 벗어날 가능성이 있는 최초의 범용 기술이다.”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j6nebave.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uu6j7rye.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32wxf74f.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추인이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“통제를 벗어날 가능성이 있는 최초의 범용 기술”이라고 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대응의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대응의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tp5rnon7.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fwt6hm9e.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tdmb1zg3.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f8fij6mh.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법적 관계는 당사자를 전제로 한다 — 당사자가 누구인지 정해지지 않으면 그 사이의 권리와 의무를 정할 수 없다. 20세기 초 예일대 법학자 호펠드(1917)가 체계화한 이 원리에 따라 ❷는 ❶을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아오키(2001)가 보인 것처럼, 제도들은 서로를 보강하며 공진화하는 경향이 있다.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세 유형의 주체(principal)를 정의한다 — 앤트로픽 자체, 운영자(operator), 사용자(user). 각 주체는 역할과 책임 수준에 따라 서로 다른 신뢰와 권한을 부여받으며, AI는 이 위계 안에서 행동한다. 이것은 아직 한 기업의 내부 규범에 불과하지만, 주체 정의의 필요성이 기술 현장에서 자생적으로 떠오르고 있음을 보여준다. 문제는 이런 범주화가 개별 기업의 자율에 맡겨져 있다는 것이다 — 사회적으로 합의된 법적 범주가 없는 상태에서.</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AI의 법적 지위에 대한 학술적 논의는 크게 세 갈래다. 첫째, EU가 2017년에 제안한 “전자인격(electronic personhood)” 개념이다. 로봇에 독립적 법적 지위를 부여하여 손해배상 능력을 갖추게 하자는 것이었으나, 유럽 AI 전문가 156명이 공개서한으로 반대하면서 후퇴했다. 반대의 핵심은 법적 지위 부여가 개발자의 책임을 희석시킨다는 우려였다. 이후 EU는 2024년 AI Act에서 이 문제를 회피했고, 2025년에는 AI 책임 지침(Liability Directive)마저 철회했다. 8년간 프레임이 없는 상태다.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AI를 기존 대리인법(agency law) 틀에서 분석하려는 시도(Chopra &amp; White, 2011; Kolt, 2025)가 이어지고 있으나, 대리인의 전제인 “본인의 통제”가 자율 AI에서 약화된다는 근본적 한계가 있다(Oliver, 2021; Bayern, 2021).</w:t>
      </w:r>
    </w:p>
    <w:p>
      <w:pPr>
        <w:spacing w:line="360" w:lineRule="auto" w:after="160"/>
        <w:ind w:firstLine="283"/>
      </w:pPr>
      <w:r>
        <w:rPr>
          <w:rFonts w:ascii="Asta Sans" w:hAnsi="Asta Sans" w:eastAsia="Asta Sans"/>
          <w:b w:val="0"/>
          <w:sz w:val="22"/>
        </w:rPr>
        <w:t>셋째, 버클리 교수 러셀(2019)이 대표하는 “정렬(alignment)” 접근이다. 법적 지위 이전에 AI가 인간의 가치와 정렬되어야 하며, 인간이 언제든 수정하거나 중단할 수 있어야 한다는 것이다. 이 원칙은 설득력이 크지만, AI의 자율성이 높아질수록 “수정 가능성”을 어떻게 보장할 것인가라는 실천적 문제가 남는다.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이 세 갈래를 종합하여, 전자인을 단일한 지위가 아니라 스펙트럼으로 설계할 것을 제안한다 — 도구 → 대리인 → 준자율 → 자율. 스펙트럼의 각 단계에서 자율성의 범위, 책임의 귀속, 인간 개입의 수준이 달라진다. EU의 시행착오(전부 아니면 전무)를 넘어, 자율성의 정도에 따라 점진적으로 확대되는 법적 범주를 설계하는 것이 목표다. 러셀의 “번복 가능성” 원칙은 스펙트럼 전체를 관통하는 핵심 제약이 되며, 자율성이 높아질수록 이 원칙의 보장 메커니즘이 정교해져야 한다.</w:t>
      </w:r>
    </w:p>
    <w:p>
      <w:pPr>
        <w:spacing w:before="320" w:after="160"/>
      </w:pPr>
      <w:r>
        <w:rPr>
          <w:rFonts w:ascii="Asta Sans" w:hAnsi="Asta Sans" w:eastAsia="Asta Sans"/>
          <w:b/>
          <w:color w:val="444444"/>
          <w:sz w:val="26"/>
        </w:rPr>
        <w:t>4.3 ❷ 관계 정의 — 인간-AI 사이의 권리와 책임</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가격과 계약을 통해 주체 간 관계가 자연스럽게 만들어졌고, 법이 이를 정리했다. 재산권, 노동법, 시민적 권리, 삼권분립이 그 내용이었다.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before="200" w:after="80"/>
      </w:pPr>
      <w:r>
        <w:rPr>
          <w:rFonts w:ascii="Asta Sans" w:hAnsi="Asta Sans" w:eastAsia="Asta Sans"/>
          <w:b/>
          <w:color w:val="1E3A5F"/>
          <w:sz w:val="22"/>
        </w:rPr>
        <w:t>데이터 소유권</w:t>
      </w:r>
    </w:p>
    <w:p>
      <w:pPr>
        <w:spacing w:line="360" w:lineRule="auto" w:after="160"/>
        <w:ind w:firstLine="283"/>
      </w:pPr>
      <w:r>
        <w:rPr>
          <w:rFonts w:ascii="Asta Sans" w:hAnsi="Asta Sans" w:eastAsia="Asta Sans"/>
          <w:b w:val="0"/>
          <w:sz w:val="22"/>
        </w:rPr>
        <w:t>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before="200" w:after="80"/>
      </w:pPr>
      <w:r>
        <w:rPr>
          <w:rFonts w:ascii="Asta Sans" w:hAnsi="Asta Sans" w:eastAsia="Asta Sans"/>
          <w:b/>
          <w:color w:val="1E3A5F"/>
          <w:sz w:val="22"/>
        </w:rPr>
        <w:t>인간-AI 책임 배분</w:t>
      </w:r>
    </w:p>
    <w:p>
      <w:pPr>
        <w:spacing w:line="360" w:lineRule="auto" w:after="160"/>
        <w:ind w:firstLine="283"/>
      </w:pPr>
      <w:r>
        <w:rPr>
          <w:rFonts w:ascii="Asta Sans" w:hAnsi="Asta Sans" w:eastAsia="Asta Sans"/>
          <w:b w:val="0"/>
          <w:sz w:val="22"/>
        </w:rPr>
        <w:t>AI가 잘못된 결정을 내렸을 때 누가 책임지는가. 벤지오(2024)는 문제가 생긴 후에 대응하는 것이 아니라, 문제를 미리 예측하고 방지하는 “예측적 거버넌스”를 제안했다.</w:t>
      </w:r>
    </w:p>
    <w:p>
      <w:pPr>
        <w:spacing w:before="200" w:after="80"/>
      </w:pPr>
      <w:r>
        <w:rPr>
          <w:rFonts w:ascii="Asta Sans" w:hAnsi="Asta Sans" w:eastAsia="Asta Sans"/>
          <w:b/>
          <w:color w:val="1E3A5F"/>
          <w:sz w:val="22"/>
        </w:rPr>
        <w:t>알고리즘 권력의 규율</w:t>
      </w:r>
    </w:p>
    <w:p>
      <w:pPr>
        <w:spacing w:line="360" w:lineRule="auto" w:after="160"/>
        <w:ind w:firstLine="283"/>
      </w:pPr>
      <w:r>
        <w:rPr>
          <w:rFonts w:ascii="Asta Sans" w:hAnsi="Asta Sans" w:eastAsia="Asta Sans"/>
          <w:b w:val="0"/>
          <w:sz w:val="22"/>
        </w:rPr>
        <w:t>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before="200" w:after="80"/>
      </w:pPr>
      <w:r>
        <w:rPr>
          <w:rFonts w:ascii="Asta Sans" w:hAnsi="Asta Sans" w:eastAsia="Asta Sans"/>
          <w:b/>
          <w:color w:val="1E3A5F"/>
          <w:sz w:val="22"/>
        </w:rPr>
        <w:t>디지털 시민권</w:t>
      </w:r>
    </w:p>
    <w:p>
      <w:pPr>
        <w:spacing w:line="360" w:lineRule="auto" w:after="160"/>
        <w:ind w:firstLine="283"/>
      </w:pPr>
      <w:r>
        <w:rPr>
          <w:rFonts w:ascii="Asta Sans" w:hAnsi="Asta Sans" w:eastAsia="Asta Sans"/>
          <w:b w:val="0"/>
          <w:sz w:val="22"/>
        </w:rPr>
        <w:t>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before="200" w:after="80"/>
      </w:pPr>
      <w:r>
        <w:rPr>
          <w:rFonts w:ascii="Asta Sans" w:hAnsi="Asta Sans" w:eastAsia="Asta Sans"/>
          <w:b/>
          <w:color w:val="1E3A5F"/>
          <w:sz w:val="22"/>
        </w:rPr>
        <w:t>연구 리뷰</w:t>
      </w:r>
    </w:p>
    <w:p>
      <w:pPr>
        <w:spacing w:line="360" w:lineRule="auto" w:after="160"/>
        <w:ind w:firstLine="283"/>
      </w:pPr>
      <w:r>
        <w:rPr>
          <w:rFonts w:ascii="Asta Sans" w:hAnsi="Asta Sans" w:eastAsia="Asta Sans"/>
          <w:b w:val="0"/>
          <w:sz w:val="22"/>
        </w:rPr>
        <w:t>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before="200" w:after="80"/>
      </w:pPr>
      <w:r>
        <w:rPr>
          <w:rFonts w:ascii="Asta Sans" w:hAnsi="Asta Sans" w:eastAsia="Asta Sans"/>
          <w:b/>
          <w:color w:val="1E3A5F"/>
          <w:sz w:val="22"/>
        </w:rPr>
        <w:t>산업 시대</w:t>
      </w:r>
    </w:p>
    <w:p>
      <w:pPr>
        <w:spacing w:line="360" w:lineRule="auto" w:after="160"/>
        <w:ind w:firstLine="283"/>
      </w:pPr>
      <w:r>
        <w:rPr>
          <w:rFonts w:ascii="Asta Sans" w:hAnsi="Asta Sans" w:eastAsia="Asta Sans"/>
          <w:b w:val="0"/>
          <w:sz w:val="22"/>
        </w:rPr>
        <w:t>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before="200" w:after="80"/>
      </w:pPr>
      <w:r>
        <w:rPr>
          <w:rFonts w:ascii="Asta Sans" w:hAnsi="Asta Sans" w:eastAsia="Asta Sans"/>
          <w:b/>
          <w:color w:val="1E3A5F"/>
          <w:sz w:val="22"/>
        </w:rPr>
        <w:t>AI 시대</w:t>
      </w:r>
    </w:p>
    <w:p>
      <w:pPr>
        <w:spacing w:line="360" w:lineRule="auto" w:after="160"/>
        <w:ind w:firstLine="283"/>
      </w:pPr>
      <w:r>
        <w:rPr>
          <w:rFonts w:ascii="Asta Sans" w:hAnsi="Asta Sans" w:eastAsia="Asta Sans"/>
          <w:b w:val="0"/>
          <w:sz w:val="22"/>
        </w:rPr>
        <w:t>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before="200" w:after="80"/>
      </w:pPr>
      <w:r>
        <w:rPr>
          <w:rFonts w:ascii="Asta Sans" w:hAnsi="Asta Sans" w:eastAsia="Asta Sans"/>
          <w:b/>
          <w:color w:val="1E3A5F"/>
          <w:sz w:val="22"/>
        </w:rPr>
        <w:t>연구 리뷰: 분배</w:t>
      </w:r>
    </w:p>
    <w:p>
      <w:pPr>
        <w:spacing w:line="360" w:lineRule="auto" w:after="160"/>
        <w:ind w:firstLine="283"/>
      </w:pPr>
      <w:r>
        <w:rPr>
          <w:rFonts w:ascii="Asta Sans" w:hAnsi="Asta Sans" w:eastAsia="Asta Sans"/>
          <w:b w:val="0"/>
          <w:sz w:val="22"/>
        </w:rPr>
        <w:t>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before="200" w:after="80"/>
      </w:pPr>
      <w:r>
        <w:rPr>
          <w:rFonts w:ascii="Asta Sans" w:hAnsi="Asta Sans" w:eastAsia="Asta Sans"/>
          <w:b/>
          <w:color w:val="1E3A5F"/>
          <w:sz w:val="22"/>
        </w:rPr>
        <w:t>연구 리뷰: 거버넌스</w:t>
      </w:r>
    </w:p>
    <w:p>
      <w:pPr>
        <w:spacing w:line="360" w:lineRule="auto" w:after="160"/>
        <w:ind w:firstLine="283"/>
      </w:pPr>
      <w:r>
        <w:rPr>
          <w:rFonts w:ascii="Asta Sans" w:hAnsi="Asta Sans" w:eastAsia="Asta Sans"/>
          <w:b w:val="0"/>
          <w:sz w:val="22"/>
        </w:rPr>
        <w:t>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before="200" w:after="80"/>
      </w:pPr>
      <w:r>
        <w:rPr>
          <w:rFonts w:ascii="Asta Sans" w:hAnsi="Asta Sans" w:eastAsia="Asta Sans"/>
          <w:b/>
          <w:color w:val="1E3A5F"/>
          <w:sz w:val="22"/>
        </w:rPr>
        <w:t>연구 방향</w:t>
      </w:r>
    </w:p>
    <w:p>
      <w:pPr>
        <w:spacing w:line="360" w:lineRule="auto" w:after="160"/>
        <w:ind w:firstLine="283"/>
      </w:pPr>
      <w:r>
        <w:rPr>
          <w:rFonts w:ascii="Asta Sans" w:hAnsi="Asta Sans" w:eastAsia="Asta Sans"/>
          <w:b w:val="0"/>
          <w:sz w:val="22"/>
        </w:rPr>
        <w:t>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나머지 80%</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전체 작업량의 80%를 차지하지만,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_632fzxa.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lbktp9wb.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1il86_9q.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jwh_5e38.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대응의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Amodei, D. (2024, October 17). Machines of loving grace. https://darioamodei.com/machines-of-loving-grace</w:t>
      </w:r>
    </w:p>
    <w:p>
      <w:pPr>
        <w:spacing w:line="336" w:lineRule="auto" w:after="120"/>
        <w:ind w:hanging="720" w:left="720"/>
      </w:pPr>
      <w:r>
        <w:rPr>
          <w:rFonts w:ascii="Asta Sans" w:hAnsi="Asta Sans" w:eastAsia="Asta Sans"/>
          <w:b w:val="0"/>
          <w:sz w:val="20"/>
        </w:rPr>
        <w:t>Amodei, D. (2026, February 3). The adolescence of technology. https://darioamodei.com/essay/the-adolescence-of-technology</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