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oq3z4f5o.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_977faj_.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3z6tsipz.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8bymvekw.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20b3fne4.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pudvnaeo.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6gr1jwmm.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gi7x3ioi.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추인이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추인의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2_ia224d.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통제를 벗어날 가능성이 있는 최초의 범용 기술이다.”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4squ8hbd.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ellq8cid.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hqxnbse8.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추인이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“통제를 벗어날 가능성이 있는 최초의 범용 기술”이라고 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대응의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대응의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n4le3_09.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7n8w_8fn.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dm28nh5e.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r4bzk7kw.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법적 관계는 당사자를 전제로 한다 — 당사자가 누구인지 정해지지 않으면 그 사이의 권리와 의무를 정할 수 없다. 20세기 초 예일대 법학자 호펠드(1917)가 체계화한 이 원리에 따라 ❷는 ❶을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아오키(2001)가 보인 것처럼, 제도들은 서로를 보강하며 공진화하는 경향이 있다.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세 유형의 주체(principal)를 정의한다 — 앤트로픽 자체, 운영자(operator), 사용자(user). 각 주체는 역할과 책임 수준에 따라 서로 다른 신뢰와 권한을 부여받으며, AI는 이 위계 안에서 행동한다. 이것은 아직 한 기업의 내부 규범에 불과하지만, 주체 정의의 필요성이 기술 현장에서 자생적으로 떠오르고 있음을 보여준다. 문제는 이런 범주화가 개별 기업의 자율에 맡겨져 있다는 것이다 — 사회적으로 합의된 법적 범주가 없는 상태에서.</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AI의 법적 지위에 대한 학술적 논의는 크게 세 갈래다. 첫째, EU가 2017년에 제안한 “전자인격(electronic personhood)” 개념이다. 로봇에 독립적 법적 지위를 부여하여 손해배상 능력을 갖추게 하자는 것이었으나, 유럽 AI 전문가 156명이 공개서한으로 반대하면서 후퇴했다. 반대의 핵심은 법적 지위 부여가 개발자의 책임을 희석시킨다는 우려였다. 이후 EU는 2024년 AI Act에서 이 문제를 회피했고, 2025년에는 AI 책임 지침(Liability Directive)마저 철회했다. 8년간 프레임이 없는 상태다.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AI를 기존 대리인법(agency law) 틀에서 분석하려는 시도(Chopra &amp; White, 2011; Kolt, 2025)가 이어지고 있으나, 대리인의 전제인 “본인의 통제”가 자율 AI에서 약화된다는 근본적 한계가 있다(Oliver, 2021; Bayern, 2021).</w:t>
      </w:r>
    </w:p>
    <w:p>
      <w:pPr>
        <w:spacing w:line="360" w:lineRule="auto" w:after="160"/>
        <w:ind w:firstLine="283"/>
      </w:pPr>
      <w:r>
        <w:rPr>
          <w:rFonts w:ascii="Asta Sans" w:hAnsi="Asta Sans" w:eastAsia="Asta Sans"/>
          <w:b w:val="0"/>
          <w:sz w:val="22"/>
        </w:rPr>
        <w:t>셋째, 버클리 교수 러셀(2019)이 대표하는 “정렬(alignment)” 접근이다. 법적 지위 이전에 AI가 인간의 가치와 정렬되어야 하며, 인간이 언제든 수정하거나 중단할 수 있어야 한다는 것이다. 이 원칙은 설득력이 크지만, AI의 자율성이 높아질수록 “수정 가능성”을 어떻게 보장할 것인가라는 실천적 문제가 남는다.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이 세 갈래를 종합하여, 전자인을 단일한 지위가 아니라 스펙트럼으로 설계할 것을 제안한다 — 도구 → 대리인 → 준자율 → 자율. 스펙트럼의 각 단계에서 자율성의 범위, 책임의 귀속, 인간 개입의 수준이 달라진다. EU의 시행착오(전부 아니면 전무)를 넘어, 자율성의 정도에 따라 점진적으로 확대되는 법적 범주를 설계하는 것이 목표다. 러셀의 “번복 가능성” 원칙은 스펙트럼 전체를 관통하는 핵심 제약이 되며, 자율성이 높아질수록 이 원칙의 보장 메커니즘이 정교해져야 한다.</w:t>
      </w:r>
    </w:p>
    <w:p>
      <w:pPr>
        <w:spacing w:before="320" w:after="160"/>
      </w:pPr>
      <w:r>
        <w:rPr>
          <w:rFonts w:ascii="Asta Sans" w:hAnsi="Asta Sans" w:eastAsia="Asta Sans"/>
          <w:b/>
          <w:color w:val="444444"/>
          <w:sz w:val="26"/>
        </w:rPr>
        <w:t>4.3 ❷ 관계 정의 — 인간-AI 사이의 권리와 책임</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가격과 계약을 통해 주체 간 관계가 자연스럽게 만들어졌고, 법이 이를 정리했다. 재산권, 노동법, 시민적 권리, 삼권분립이 그 내용이었다.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before="200" w:after="80"/>
      </w:pPr>
      <w:r>
        <w:rPr>
          <w:rFonts w:ascii="Asta Sans" w:hAnsi="Asta Sans" w:eastAsia="Asta Sans"/>
          <w:b/>
          <w:color w:val="1E3A5F"/>
          <w:sz w:val="22"/>
        </w:rPr>
        <w:t>데이터 소유권</w:t>
      </w:r>
    </w:p>
    <w:p>
      <w:pPr>
        <w:spacing w:line="360" w:lineRule="auto" w:after="160"/>
        <w:ind w:firstLine="283"/>
      </w:pPr>
      <w:r>
        <w:rPr>
          <w:rFonts w:ascii="Asta Sans" w:hAnsi="Asta Sans" w:eastAsia="Asta Sans"/>
          <w:b w:val="0"/>
          <w:sz w:val="22"/>
        </w:rPr>
        <w:t>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before="200" w:after="80"/>
      </w:pPr>
      <w:r>
        <w:rPr>
          <w:rFonts w:ascii="Asta Sans" w:hAnsi="Asta Sans" w:eastAsia="Asta Sans"/>
          <w:b/>
          <w:color w:val="1E3A5F"/>
          <w:sz w:val="22"/>
        </w:rPr>
        <w:t>인간-AI 책임 배분</w:t>
      </w:r>
    </w:p>
    <w:p>
      <w:pPr>
        <w:spacing w:line="360" w:lineRule="auto" w:after="160"/>
        <w:ind w:firstLine="283"/>
      </w:pPr>
      <w:r>
        <w:rPr>
          <w:rFonts w:ascii="Asta Sans" w:hAnsi="Asta Sans" w:eastAsia="Asta Sans"/>
          <w:b w:val="0"/>
          <w:sz w:val="22"/>
        </w:rPr>
        <w:t>AI가 잘못된 결정을 내렸을 때 누가 책임지는가. 벤지오(2024)는 문제가 생긴 후에 대응하는 것이 아니라, 문제를 미리 예측하고 방지하는 “예측적 거버넌스”를 제안했다.</w:t>
      </w:r>
    </w:p>
    <w:p>
      <w:pPr>
        <w:spacing w:before="200" w:after="80"/>
      </w:pPr>
      <w:r>
        <w:rPr>
          <w:rFonts w:ascii="Asta Sans" w:hAnsi="Asta Sans" w:eastAsia="Asta Sans"/>
          <w:b/>
          <w:color w:val="1E3A5F"/>
          <w:sz w:val="22"/>
        </w:rPr>
        <w:t>알고리즘 권력의 규율</w:t>
      </w:r>
    </w:p>
    <w:p>
      <w:pPr>
        <w:spacing w:line="360" w:lineRule="auto" w:after="160"/>
        <w:ind w:firstLine="283"/>
      </w:pPr>
      <w:r>
        <w:rPr>
          <w:rFonts w:ascii="Asta Sans" w:hAnsi="Asta Sans" w:eastAsia="Asta Sans"/>
          <w:b w:val="0"/>
          <w:sz w:val="22"/>
        </w:rPr>
        <w:t>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before="200" w:after="80"/>
      </w:pPr>
      <w:r>
        <w:rPr>
          <w:rFonts w:ascii="Asta Sans" w:hAnsi="Asta Sans" w:eastAsia="Asta Sans"/>
          <w:b/>
          <w:color w:val="1E3A5F"/>
          <w:sz w:val="22"/>
        </w:rPr>
        <w:t>디지털 시민권</w:t>
      </w:r>
    </w:p>
    <w:p>
      <w:pPr>
        <w:spacing w:line="360" w:lineRule="auto" w:after="160"/>
        <w:ind w:firstLine="283"/>
      </w:pPr>
      <w:r>
        <w:rPr>
          <w:rFonts w:ascii="Asta Sans" w:hAnsi="Asta Sans" w:eastAsia="Asta Sans"/>
          <w:b w:val="0"/>
          <w:sz w:val="22"/>
        </w:rPr>
        <w:t>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before="200" w:after="80"/>
      </w:pPr>
      <w:r>
        <w:rPr>
          <w:rFonts w:ascii="Asta Sans" w:hAnsi="Asta Sans" w:eastAsia="Asta Sans"/>
          <w:b/>
          <w:color w:val="1E3A5F"/>
          <w:sz w:val="22"/>
        </w:rPr>
        <w:t>연구 리뷰: 분배</w:t>
      </w:r>
    </w:p>
    <w:p>
      <w:pPr>
        <w:spacing w:line="360" w:lineRule="auto" w:after="160"/>
        <w:ind w:firstLine="283"/>
      </w:pPr>
      <w:r>
        <w:rPr>
          <w:rFonts w:ascii="Asta Sans" w:hAnsi="Asta Sans" w:eastAsia="Asta Sans"/>
          <w:b w:val="0"/>
          <w:sz w:val="22"/>
        </w:rPr>
        <w:t>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before="200" w:after="80"/>
      </w:pPr>
      <w:r>
        <w:rPr>
          <w:rFonts w:ascii="Asta Sans" w:hAnsi="Asta Sans" w:eastAsia="Asta Sans"/>
          <w:b/>
          <w:color w:val="1E3A5F"/>
          <w:sz w:val="22"/>
        </w:rPr>
        <w:t>연구 리뷰: 거버넌스</w:t>
      </w:r>
    </w:p>
    <w:p>
      <w:pPr>
        <w:spacing w:line="360" w:lineRule="auto" w:after="160"/>
        <w:ind w:firstLine="283"/>
      </w:pPr>
      <w:r>
        <w:rPr>
          <w:rFonts w:ascii="Asta Sans" w:hAnsi="Asta Sans" w:eastAsia="Asta Sans"/>
          <w:b w:val="0"/>
          <w:sz w:val="22"/>
        </w:rPr>
        <w:t>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나머지 80%</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전체 작업량의 80%를 차지하지만,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4ftuqvoi.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gag951y9.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i7763zjp.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98y4hah8.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대응의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400"/>
      </w:pPr>
      <w:r>
        <w:rPr>
          <w:rFonts w:ascii="Asta Sans" w:hAnsi="Asta Sans" w:eastAsia="Asta Sans"/>
          <w:b/>
          <w:color w:val="000000"/>
          <w:sz w:val="44"/>
        </w:rPr>
        <w:t>부록 D: AI Safety Levels (ASL)</w:t>
      </w:r>
    </w:p>
    <w:p>
      <w:pPr>
        <w:spacing w:after="320"/>
        <w:pBdr>
          <w:bottom w:val="single" w:sz="4" w:space="1" w:color="333333"/>
        </w:pBdr>
      </w:pPr>
    </w:p>
    <w:p>
      <w:pPr>
        <w:spacing w:line="360" w:lineRule="auto" w:after="160"/>
        <w:ind w:firstLine="283"/>
      </w:pPr>
      <w:r>
        <w:rPr>
          <w:rFonts w:ascii="Asta Sans" w:hAnsi="Asta Sans" w:eastAsia="Asta Sans"/>
          <w:b w:val="0"/>
          <w:sz w:val="22"/>
        </w:rPr>
        <w:t>AI Safety Levels(ASL)는 Anthropic이 자사의 책임 있는 확장 정책(Responsible Scaling Policy, RSP) 내에서 정의한 AI 안전 등급 체계다. 2023년 9월 RSP v1.0으로 최초 발표되었고, 2025년 5월 v2.2까지 업데이트되었다. 핵심 원리는 비례적 보호(proportional protection)로, AI 모델의 역량이 증가함에 따라 안전 조치도 비례하여 강화되어야 한다는 것이다. 미국 정부의 생물안전등급(Biosafety Level, BSL) 체계에서 영감을 받아 설계되었다.</w:t>
      </w:r>
    </w:p>
    <w:p>
      <w:pPr>
        <w:spacing w:before="280" w:after="160"/>
      </w:pPr>
      <w:r>
        <w:rPr>
          <w:rFonts w:ascii="Asta Sans" w:hAnsi="Asta Sans" w:eastAsia="Asta Sans"/>
          <w:b/>
          <w:color w:val="444444"/>
          <w:sz w:val="26"/>
        </w:rPr>
        <w:t>1. ASL 등급 체계</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850"/>
            <w:shd w:fill="333333" w:val="clear"/>
          </w:tcPr>
          <w:p>
            <w:r/>
            <w:r>
              <w:rPr>
                <w:rFonts w:ascii="Asta Sans" w:hAnsi="Asta Sans" w:eastAsia="Asta Sans"/>
                <w:b/>
                <w:color w:val="FFFFFF"/>
                <w:sz w:val="18"/>
              </w:rPr>
              <w:t>등급</w:t>
            </w:r>
          </w:p>
        </w:tc>
        <w:tc>
          <w:tcPr>
            <w:tcW w:type="dxa" w:w="1417"/>
            <w:shd w:fill="333333" w:val="clear"/>
          </w:tcPr>
          <w:p>
            <w:r/>
            <w:r>
              <w:rPr>
                <w:rFonts w:ascii="Asta Sans" w:hAnsi="Asta Sans" w:eastAsia="Asta Sans"/>
                <w:b/>
                <w:color w:val="FFFFFF"/>
                <w:sz w:val="18"/>
              </w:rPr>
              <w:t>제목</w:t>
            </w:r>
          </w:p>
        </w:tc>
        <w:tc>
          <w:tcPr>
            <w:tcW w:type="dxa" w:w="2835"/>
            <w:shd w:fill="333333" w:val="clear"/>
          </w:tcPr>
          <w:p>
            <w:r/>
            <w:r>
              <w:rPr>
                <w:rFonts w:ascii="Asta Sans" w:hAnsi="Asta Sans" w:eastAsia="Asta Sans"/>
                <w:b/>
                <w:color w:val="FFFFFF"/>
                <w:sz w:val="18"/>
              </w:rPr>
              <w:t>AI 역량 기준</w:t>
            </w:r>
          </w:p>
        </w:tc>
        <w:tc>
          <w:tcPr>
            <w:tcW w:type="dxa" w:w="2835"/>
            <w:shd w:fill="333333" w:val="clear"/>
          </w:tcPr>
          <w:p>
            <w:r/>
            <w:r>
              <w:rPr>
                <w:rFonts w:ascii="Asta Sans" w:hAnsi="Asta Sans" w:eastAsia="Asta Sans"/>
                <w:b/>
                <w:color w:val="FFFFFF"/>
                <w:sz w:val="18"/>
              </w:rPr>
              <w:t>안전 조치</w:t>
            </w:r>
          </w:p>
        </w:tc>
        <w:tc>
          <w:tcPr>
            <w:tcW w:type="dxa" w:w="1417"/>
            <w:shd w:fill="333333" w:val="clear"/>
          </w:tcPr>
          <w:p>
            <w:r/>
            <w:r>
              <w:rPr>
                <w:rFonts w:ascii="Asta Sans" w:hAnsi="Asta Sans" w:eastAsia="Asta Sans"/>
                <w:b/>
                <w:color w:val="FFFFFF"/>
                <w:sz w:val="18"/>
              </w:rPr>
              <w:t>BSL 대응</w:t>
            </w:r>
          </w:p>
        </w:tc>
      </w:tr>
      <w:tr>
        <w:tc>
          <w:tcPr>
            <w:tcW w:type="dxa" w:w="850"/>
          </w:tcPr>
          <w:p>
            <w:pPr>
              <w:spacing w:line="312" w:lineRule="auto"/>
            </w:pPr>
            <w:r/>
            <w:r>
              <w:rPr>
                <w:rFonts w:ascii="Asta Sans" w:hAnsi="Asta Sans" w:eastAsia="Asta Sans"/>
                <w:b/>
                <w:sz w:val="18"/>
              </w:rPr>
              <w:t>ASL-1</w:t>
            </w:r>
          </w:p>
        </w:tc>
        <w:tc>
          <w:tcPr>
            <w:tcW w:type="dxa" w:w="1417"/>
          </w:tcPr>
          <w:p>
            <w:pPr>
              <w:spacing w:line="312" w:lineRule="auto"/>
            </w:pPr>
            <w:r/>
            <w:r>
              <w:rPr>
                <w:rFonts w:ascii="Asta Sans" w:hAnsi="Asta Sans" w:eastAsia="Asta Sans"/>
                <w:b w:val="0"/>
                <w:sz w:val="18"/>
              </w:rPr>
              <w:t>무의미한 위험</w:t>
            </w:r>
          </w:p>
        </w:tc>
        <w:tc>
          <w:tcPr>
            <w:tcW w:type="dxa" w:w="2835"/>
          </w:tcPr>
          <w:p>
            <w:pPr>
              <w:spacing w:line="312" w:lineRule="auto"/>
            </w:pPr>
            <w:r/>
            <w:r>
              <w:rPr>
                <w:rFonts w:ascii="Asta Sans" w:hAnsi="Asta Sans" w:eastAsia="Asta Sans"/>
                <w:b w:val="0"/>
                <w:sz w:val="18"/>
              </w:rPr>
              <w:t>의미 있는 재앙적 위험을 제기하지 않는 시스템</w:t>
            </w:r>
          </w:p>
        </w:tc>
        <w:tc>
          <w:tcPr>
            <w:tcW w:type="dxa" w:w="2835"/>
          </w:tcPr>
          <w:p>
            <w:pPr>
              <w:spacing w:line="312" w:lineRule="auto"/>
            </w:pPr>
            <w:r/>
            <w:r>
              <w:rPr>
                <w:rFonts w:ascii="Asta Sans" w:hAnsi="Asta Sans" w:eastAsia="Asta Sans"/>
                <w:b w:val="0"/>
                <w:sz w:val="18"/>
              </w:rPr>
              <w:t>특별한 안전 조치 불필요</w:t>
            </w:r>
          </w:p>
        </w:tc>
        <w:tc>
          <w:tcPr>
            <w:tcW w:type="dxa" w:w="1417"/>
          </w:tcPr>
          <w:p>
            <w:pPr>
              <w:spacing w:line="312" w:lineRule="auto"/>
            </w:pPr>
            <w:r/>
            <w:r>
              <w:rPr>
                <w:rFonts w:ascii="Asta Sans" w:hAnsi="Asta Sans" w:eastAsia="Asta Sans"/>
                <w:b w:val="0"/>
                <w:sz w:val="18"/>
              </w:rPr>
              <w:t>BSL-1</w:t>
            </w:r>
          </w:p>
        </w:tc>
      </w:tr>
      <w:tr>
        <w:tc>
          <w:tcPr>
            <w:tcW w:type="dxa" w:w="850"/>
          </w:tcPr>
          <w:p>
            <w:pPr>
              <w:spacing w:line="312" w:lineRule="auto"/>
            </w:pPr>
            <w:r/>
            <w:r>
              <w:rPr>
                <w:rFonts w:ascii="Asta Sans" w:hAnsi="Asta Sans" w:eastAsia="Asta Sans"/>
                <w:b/>
                <w:sz w:val="18"/>
              </w:rPr>
              <w:t>ASL-2</w:t>
            </w:r>
          </w:p>
        </w:tc>
        <w:tc>
          <w:tcPr>
            <w:tcW w:type="dxa" w:w="1417"/>
          </w:tcPr>
          <w:p>
            <w:pPr>
              <w:spacing w:line="312" w:lineRule="auto"/>
            </w:pPr>
            <w:r/>
            <w:r>
              <w:rPr>
                <w:rFonts w:ascii="Asta Sans" w:hAnsi="Asta Sans" w:eastAsia="Asta Sans"/>
                <w:b w:val="0"/>
                <w:sz w:val="18"/>
              </w:rPr>
              <w:t>초기 위험 징후</w:t>
            </w:r>
          </w:p>
        </w:tc>
        <w:tc>
          <w:tcPr>
            <w:tcW w:type="dxa" w:w="2835"/>
          </w:tcPr>
          <w:p>
            <w:pPr>
              <w:spacing w:line="312" w:lineRule="auto"/>
            </w:pPr>
            <w:r/>
            <w:r>
              <w:rPr>
                <w:rFonts w:ascii="Asta Sans" w:hAnsi="Asta Sans" w:eastAsia="Asta Sans"/>
                <w:b w:val="0"/>
                <w:sz w:val="18"/>
              </w:rPr>
              <w:t>CBRN 관련 지침 제공이 가능하나 검색 엔진/교과서 수준</w:t>
            </w:r>
          </w:p>
        </w:tc>
        <w:tc>
          <w:tcPr>
            <w:tcW w:type="dxa" w:w="2835"/>
          </w:tcPr>
          <w:p>
            <w:pPr>
              <w:spacing w:line="312" w:lineRule="auto"/>
            </w:pPr>
            <w:r/>
            <w:r>
              <w:rPr>
                <w:rFonts w:ascii="Asta Sans" w:hAnsi="Asta Sans" w:eastAsia="Asta Sans"/>
                <w:b w:val="0"/>
                <w:sz w:val="18"/>
              </w:rPr>
              <w:t>CBRN 요청 거부 훈련, 가중치 탈취 방어</w:t>
            </w:r>
          </w:p>
        </w:tc>
        <w:tc>
          <w:tcPr>
            <w:tcW w:type="dxa" w:w="1417"/>
          </w:tcPr>
          <w:p>
            <w:pPr>
              <w:spacing w:line="312" w:lineRule="auto"/>
            </w:pPr>
            <w:r/>
            <w:r>
              <w:rPr>
                <w:rFonts w:ascii="Asta Sans" w:hAnsi="Asta Sans" w:eastAsia="Asta Sans"/>
                <w:b w:val="0"/>
                <w:sz w:val="18"/>
              </w:rPr>
              <w:t>BSL-2</w:t>
            </w:r>
          </w:p>
        </w:tc>
      </w:tr>
      <w:tr>
        <w:tc>
          <w:tcPr>
            <w:tcW w:type="dxa" w:w="850"/>
          </w:tcPr>
          <w:p>
            <w:pPr>
              <w:spacing w:line="312" w:lineRule="auto"/>
            </w:pPr>
            <w:r/>
            <w:r>
              <w:rPr>
                <w:rFonts w:ascii="Asta Sans" w:hAnsi="Asta Sans" w:eastAsia="Asta Sans"/>
                <w:b/>
                <w:sz w:val="18"/>
              </w:rPr>
              <w:t>ASL-3</w:t>
            </w:r>
          </w:p>
        </w:tc>
        <w:tc>
          <w:tcPr>
            <w:tcW w:type="dxa" w:w="1417"/>
          </w:tcPr>
          <w:p>
            <w:pPr>
              <w:spacing w:line="312" w:lineRule="auto"/>
            </w:pPr>
            <w:r/>
            <w:r>
              <w:rPr>
                <w:rFonts w:ascii="Asta Sans" w:hAnsi="Asta Sans" w:eastAsia="Asta Sans"/>
                <w:b w:val="0"/>
                <w:sz w:val="18"/>
              </w:rPr>
              <w:t>실질적 위험 증가</w:t>
            </w:r>
          </w:p>
        </w:tc>
        <w:tc>
          <w:tcPr>
            <w:tcW w:type="dxa" w:w="2835"/>
          </w:tcPr>
          <w:p>
            <w:pPr>
              <w:spacing w:line="312" w:lineRule="auto"/>
            </w:pPr>
            <w:r/>
            <w:r>
              <w:rPr>
                <w:rFonts w:ascii="Asta Sans" w:hAnsi="Asta Sans" w:eastAsia="Asta Sans"/>
                <w:b w:val="0"/>
                <w:sz w:val="18"/>
              </w:rPr>
              <w:t>CBRN 위험을 실질적으로 증가시키거나 초기 자율 행동 역량</w:t>
            </w:r>
          </w:p>
        </w:tc>
        <w:tc>
          <w:tcPr>
            <w:tcW w:type="dxa" w:w="2835"/>
          </w:tcPr>
          <w:p>
            <w:pPr>
              <w:spacing w:line="312" w:lineRule="auto"/>
            </w:pPr>
            <w:r/>
            <w:r>
              <w:rPr>
                <w:rFonts w:ascii="Asta Sans" w:hAnsi="Asta Sans" w:eastAsia="Asta Sans"/>
                <w:b w:val="0"/>
                <w:sz w:val="18"/>
              </w:rPr>
              <w:t>Constitutional Classifiers, 100+ 보안 통제, 이중 인증</w:t>
            </w:r>
          </w:p>
        </w:tc>
        <w:tc>
          <w:tcPr>
            <w:tcW w:type="dxa" w:w="1417"/>
          </w:tcPr>
          <w:p>
            <w:pPr>
              <w:spacing w:line="312" w:lineRule="auto"/>
            </w:pPr>
            <w:r/>
            <w:r>
              <w:rPr>
                <w:rFonts w:ascii="Asta Sans" w:hAnsi="Asta Sans" w:eastAsia="Asta Sans"/>
                <w:b w:val="0"/>
                <w:sz w:val="18"/>
              </w:rPr>
              <w:t>BSL-3</w:t>
            </w:r>
          </w:p>
        </w:tc>
      </w:tr>
      <w:tr>
        <w:tc>
          <w:tcPr>
            <w:tcW w:type="dxa" w:w="850"/>
          </w:tcPr>
          <w:p>
            <w:pPr>
              <w:spacing w:line="312" w:lineRule="auto"/>
            </w:pPr>
            <w:r/>
            <w:r>
              <w:rPr>
                <w:rFonts w:ascii="Asta Sans" w:hAnsi="Asta Sans" w:eastAsia="Asta Sans"/>
                <w:b/>
                <w:sz w:val="18"/>
              </w:rPr>
              <w:t>ASL-4</w:t>
            </w:r>
          </w:p>
        </w:tc>
        <w:tc>
          <w:tcPr>
            <w:tcW w:type="dxa" w:w="1417"/>
          </w:tcPr>
          <w:p>
            <w:pPr>
              <w:spacing w:line="312" w:lineRule="auto"/>
            </w:pPr>
            <w:r/>
            <w:r>
              <w:rPr>
                <w:rFonts w:ascii="Asta Sans" w:hAnsi="Asta Sans" w:eastAsia="Asta Sans"/>
                <w:b w:val="0"/>
                <w:sz w:val="18"/>
              </w:rPr>
              <w:t>고도 위험 (연구 단계)</w:t>
            </w:r>
          </w:p>
        </w:tc>
        <w:tc>
          <w:tcPr>
            <w:tcW w:type="dxa" w:w="2835"/>
          </w:tcPr>
          <w:p>
            <w:pPr>
              <w:spacing w:line="312" w:lineRule="auto"/>
            </w:pPr>
            <w:r/>
            <w:r>
              <w:rPr>
                <w:rFonts w:ascii="Asta Sans" w:hAnsi="Asta Sans" w:eastAsia="Asta Sans"/>
                <w:b w:val="0"/>
                <w:sz w:val="18"/>
              </w:rPr>
              <w:t>국가 안보 수준의 사이버/생물 위협, 자율 복제 가능</w:t>
            </w:r>
          </w:p>
        </w:tc>
        <w:tc>
          <w:tcPr>
            <w:tcW w:type="dxa" w:w="2835"/>
          </w:tcPr>
          <w:p>
            <w:pPr>
              <w:spacing w:line="312" w:lineRule="auto"/>
            </w:pPr>
            <w:r/>
            <w:r>
              <w:rPr>
                <w:rFonts w:ascii="Asta Sans" w:hAnsi="Asta Sans" w:eastAsia="Asta Sans"/>
                <w:b w:val="0"/>
                <w:sz w:val="18"/>
              </w:rPr>
              <w:t>기계적 해석 가능성, AI 통제, 인센티브 분석</w:t>
            </w:r>
          </w:p>
        </w:tc>
        <w:tc>
          <w:tcPr>
            <w:tcW w:type="dxa" w:w="1417"/>
          </w:tcPr>
          <w:p>
            <w:pPr>
              <w:spacing w:line="312" w:lineRule="auto"/>
            </w:pPr>
            <w:r/>
            <w:r>
              <w:rPr>
                <w:rFonts w:ascii="Asta Sans" w:hAnsi="Asta Sans" w:eastAsia="Asta Sans"/>
                <w:b w:val="0"/>
                <w:sz w:val="18"/>
              </w:rPr>
              <w:t>BSL-4</w:t>
            </w:r>
          </w:p>
        </w:tc>
      </w:tr>
      <w:tr>
        <w:tc>
          <w:tcPr>
            <w:tcW w:type="dxa" w:w="850"/>
          </w:tcPr>
          <w:p>
            <w:pPr>
              <w:spacing w:line="312" w:lineRule="auto"/>
            </w:pPr>
            <w:r/>
            <w:r>
              <w:rPr>
                <w:rFonts w:ascii="Asta Sans" w:hAnsi="Asta Sans" w:eastAsia="Asta Sans"/>
                <w:b/>
                <w:sz w:val="18"/>
              </w:rPr>
              <w:t>ASL-5+</w:t>
            </w:r>
          </w:p>
        </w:tc>
        <w:tc>
          <w:tcPr>
            <w:tcW w:type="dxa" w:w="1417"/>
          </w:tcPr>
          <w:p>
            <w:pPr>
              <w:spacing w:line="312" w:lineRule="auto"/>
            </w:pPr>
            <w:r/>
            <w:r>
              <w:rPr>
                <w:rFonts w:ascii="Asta Sans" w:hAnsi="Asta Sans" w:eastAsia="Asta Sans"/>
                <w:b w:val="0"/>
                <w:sz w:val="18"/>
              </w:rPr>
              <w:t>극단적 위험 (개념적)</w:t>
            </w:r>
          </w:p>
        </w:tc>
        <w:tc>
          <w:tcPr>
            <w:tcW w:type="dxa" w:w="2835"/>
          </w:tcPr>
          <w:p>
            <w:pPr>
              <w:spacing w:line="312" w:lineRule="auto"/>
            </w:pPr>
            <w:r/>
            <w:r>
              <w:rPr>
                <w:rFonts w:ascii="Asta Sans" w:hAnsi="Asta Sans" w:eastAsia="Asta Sans"/>
                <w:b w:val="0"/>
                <w:sz w:val="18"/>
              </w:rPr>
              <w:t>인간 수준 또는 그 이상의 자율적 AI</w:t>
            </w:r>
          </w:p>
        </w:tc>
        <w:tc>
          <w:tcPr>
            <w:tcW w:type="dxa" w:w="2835"/>
          </w:tcPr>
          <w:p>
            <w:pPr>
              <w:spacing w:line="312" w:lineRule="auto"/>
            </w:pPr>
            <w:r/>
            <w:r>
              <w:rPr>
                <w:rFonts w:ascii="Asta Sans" w:hAnsi="Asta Sans" w:eastAsia="Asta Sans"/>
                <w:b w:val="0"/>
                <w:sz w:val="18"/>
              </w:rPr>
              <w:t>외부 감독 필수. 구체적 기준 미수립</w:t>
            </w:r>
          </w:p>
        </w:tc>
        <w:tc>
          <w:tcPr>
            <w:tcW w:type="dxa" w:w="1417"/>
          </w:tcPr>
          <w:p>
            <w:pPr>
              <w:spacing w:line="312" w:lineRule="auto"/>
            </w:pPr>
            <w:r/>
            <w:r>
              <w:rPr>
                <w:rFonts w:ascii="Asta Sans" w:hAnsi="Asta Sans" w:eastAsia="Asta Sans"/>
                <w:b w:val="0"/>
                <w:sz w:val="18"/>
              </w:rPr>
              <w:t>해당 없음</w:t>
            </w:r>
          </w:p>
        </w:tc>
      </w:tr>
    </w:tbl>
    <w:p>
      <w:pPr>
        <w:spacing w:before="280" w:after="160"/>
      </w:pPr>
      <w:r>
        <w:rPr>
          <w:rFonts w:ascii="Asta Sans" w:hAnsi="Asta Sans" w:eastAsia="Asta Sans"/>
          <w:b/>
          <w:color w:val="444444"/>
          <w:sz w:val="26"/>
        </w:rPr>
        <w:t>2. 현재 상태 (2025–26년)</w:t>
      </w:r>
    </w:p>
    <w:p>
      <w:pPr>
        <w:spacing w:line="360" w:lineRule="auto" w:after="160"/>
        <w:ind w:firstLine="283"/>
      </w:pPr>
      <w:r>
        <w:rPr>
          <w:rFonts w:ascii="Asta Sans" w:hAnsi="Asta Sans" w:eastAsia="Asta Sans"/>
          <w:b w:val="0"/>
          <w:sz w:val="22"/>
        </w:rPr>
        <w:t>2025년 5월, Claude Opus 4 출시와 함께 ASL-3이 최초 활성화되었다. Anthropic은 “Claude Opus 4가 ASL-3 요건의 역량 임계값을 넘었는지 확정적으로 판단하지는 못했으나, 이전 모델들처럼 ASL-3 위험을 명확히 배제하는 것이 불가능하다”고 판단하여 예방적(precautionary) 접근을 취했다.</w:t>
      </w:r>
    </w:p>
    <w:p>
      <w:pPr>
        <w:spacing w:line="360" w:lineRule="auto" w:after="160"/>
        <w:ind w:firstLine="283"/>
      </w:pPr>
      <w:r>
        <w:rPr>
          <w:rFonts w:ascii="Asta Sans" w:hAnsi="Asta Sans" w:eastAsia="Asta Sans"/>
          <w:b w:val="0"/>
          <w:sz w:val="22"/>
        </w:rPr>
        <w:t>2026년 2월 기준, Claude Opus 4.6은 ASL-3 등급으로 운영되고 있다. 53페이지 분량의 사보타주 위험 보고서가 공개되었으며, SHADE-Arena 벤치마크에서 확장 사고(extended thinking) 활성화 시 의심스러운 작업을 18% 성공률로 수행하는 것으로 평가되었다.</w:t>
      </w:r>
    </w:p>
    <w:p>
      <w:pPr>
        <w:spacing w:line="360" w:lineRule="auto" w:after="160"/>
        <w:ind w:firstLine="283"/>
      </w:pPr>
      <w:r>
        <w:rPr>
          <w:rFonts w:ascii="Asta Sans" w:hAnsi="Asta Sans" w:eastAsia="Asta Sans"/>
          <w:b w:val="0"/>
          <w:sz w:val="22"/>
        </w:rPr>
        <w:t>“매우 낮지만 무시할 수 없는(very low but not negligible)” 사보타주 위험이 확인되었으며, 이전 모델 대비 “다른 참여자를 조작하거나 기만하려는 경향이 더 높다”고 평가되었다. 다만 “일관된 위험한 목표, 추론 불투명성, 장기 계획 신뢰성이 부족하여” 탐지 없는 사보타주 실행은 불가능하다고 평가되었다.</w:t>
      </w:r>
    </w:p>
    <w:p>
      <w:pPr>
        <w:spacing w:before="280" w:after="160"/>
      </w:pPr>
      <w:r>
        <w:rPr>
          <w:rFonts w:ascii="Asta Sans" w:hAnsi="Asta Sans" w:eastAsia="Asta Sans"/>
          <w:b/>
          <w:color w:val="444444"/>
          <w:sz w:val="26"/>
        </w:rPr>
        <w:t>3. 주요 AI 안전 프레임워크 비교</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333333" w:val="clear"/>
          </w:tcPr>
          <w:p>
            <w:r/>
            <w:r>
              <w:rPr>
                <w:rFonts w:ascii="Asta Sans" w:hAnsi="Asta Sans" w:eastAsia="Asta Sans"/>
                <w:b/>
                <w:color w:val="FFFFFF"/>
                <w:sz w:val="18"/>
              </w:rPr>
              <w:t>프레임워크</w:t>
            </w:r>
          </w:p>
        </w:tc>
        <w:tc>
          <w:tcPr>
            <w:tcW w:type="dxa" w:w="1984"/>
            <w:shd w:fill="333333" w:val="clear"/>
          </w:tcPr>
          <w:p>
            <w:r/>
            <w:r>
              <w:rPr>
                <w:rFonts w:ascii="Asta Sans" w:hAnsi="Asta Sans" w:eastAsia="Asta Sans"/>
                <w:b/>
                <w:color w:val="FFFFFF"/>
                <w:sz w:val="18"/>
              </w:rPr>
              <w:t>유형</w:t>
            </w:r>
          </w:p>
        </w:tc>
        <w:tc>
          <w:tcPr>
            <w:tcW w:type="dxa" w:w="2835"/>
            <w:shd w:fill="333333" w:val="clear"/>
          </w:tcPr>
          <w:p>
            <w:r/>
            <w:r>
              <w:rPr>
                <w:rFonts w:ascii="Asta Sans" w:hAnsi="Asta Sans" w:eastAsia="Asta Sans"/>
                <w:b/>
                <w:color w:val="FFFFFF"/>
                <w:sz w:val="18"/>
              </w:rPr>
              <w:t>접근법</w:t>
            </w:r>
          </w:p>
        </w:tc>
        <w:tc>
          <w:tcPr>
            <w:tcW w:type="dxa" w:w="2551"/>
            <w:shd w:fill="333333" w:val="clear"/>
          </w:tcPr>
          <w:p>
            <w:r/>
            <w:r>
              <w:rPr>
                <w:rFonts w:ascii="Asta Sans" w:hAnsi="Asta Sans" w:eastAsia="Asta Sans"/>
                <w:b/>
                <w:color w:val="FFFFFF"/>
                <w:sz w:val="18"/>
              </w:rPr>
              <w:t>집행력</w:t>
            </w:r>
          </w:p>
        </w:tc>
      </w:tr>
      <w:tr>
        <w:tc>
          <w:tcPr>
            <w:tcW w:type="dxa" w:w="1984"/>
          </w:tcPr>
          <w:p>
            <w:pPr>
              <w:spacing w:line="312" w:lineRule="auto"/>
            </w:pPr>
            <w:r/>
            <w:r>
              <w:rPr>
                <w:rFonts w:ascii="Asta Sans" w:hAnsi="Asta Sans" w:eastAsia="Asta Sans"/>
                <w:b/>
                <w:sz w:val="18"/>
              </w:rPr>
              <w:t>Anthropic RSP/ASL</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역량 기반 등급 (ASL-1~5+)</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OpenAI Preparedness</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Low/Medium/High/Critical</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EU AI Act</w:t>
            </w:r>
          </w:p>
        </w:tc>
        <w:tc>
          <w:tcPr>
            <w:tcW w:type="dxa" w:w="1984"/>
          </w:tcPr>
          <w:p>
            <w:pPr>
              <w:spacing w:line="312" w:lineRule="auto"/>
            </w:pPr>
            <w:r/>
            <w:r>
              <w:rPr>
                <w:rFonts w:ascii="Asta Sans" w:hAnsi="Asta Sans" w:eastAsia="Asta Sans"/>
                <w:b w:val="0"/>
                <w:sz w:val="18"/>
              </w:rPr>
              <w:t>법적 구속력 있는 규제</w:t>
            </w:r>
          </w:p>
        </w:tc>
        <w:tc>
          <w:tcPr>
            <w:tcW w:type="dxa" w:w="2835"/>
          </w:tcPr>
          <w:p>
            <w:pPr>
              <w:spacing w:line="312" w:lineRule="auto"/>
            </w:pPr>
            <w:r/>
            <w:r>
              <w:rPr>
                <w:rFonts w:ascii="Asta Sans" w:hAnsi="Asta Sans" w:eastAsia="Asta Sans"/>
                <w:b w:val="0"/>
                <w:sz w:val="18"/>
              </w:rPr>
              <w:t>사용 맥락 기반 4단계</w:t>
            </w:r>
          </w:p>
        </w:tc>
        <w:tc>
          <w:tcPr>
            <w:tcW w:type="dxa" w:w="2551"/>
          </w:tcPr>
          <w:p>
            <w:pPr>
              <w:spacing w:line="312" w:lineRule="auto"/>
            </w:pPr>
            <w:r/>
            <w:r>
              <w:rPr>
                <w:rFonts w:ascii="Asta Sans" w:hAnsi="Asta Sans" w:eastAsia="Asta Sans"/>
                <w:b w:val="0"/>
                <w:sz w:val="18"/>
              </w:rPr>
              <w:t>벌금 (매출의 최대 7%)</w:t>
            </w:r>
          </w:p>
        </w:tc>
      </w:tr>
      <w:tr>
        <w:tc>
          <w:tcPr>
            <w:tcW w:type="dxa" w:w="1984"/>
          </w:tcPr>
          <w:p>
            <w:pPr>
              <w:spacing w:line="312" w:lineRule="auto"/>
            </w:pPr>
            <w:r/>
            <w:r>
              <w:rPr>
                <w:rFonts w:ascii="Asta Sans" w:hAnsi="Asta Sans" w:eastAsia="Asta Sans"/>
                <w:b/>
                <w:sz w:val="18"/>
              </w:rPr>
              <w:t>NIST AI RMF</w:t>
            </w:r>
          </w:p>
        </w:tc>
        <w:tc>
          <w:tcPr>
            <w:tcW w:type="dxa" w:w="1984"/>
          </w:tcPr>
          <w:p>
            <w:pPr>
              <w:spacing w:line="312" w:lineRule="auto"/>
            </w:pPr>
            <w:r/>
            <w:r>
              <w:rPr>
                <w:rFonts w:ascii="Asta Sans" w:hAnsi="Asta Sans" w:eastAsia="Asta Sans"/>
                <w:b w:val="0"/>
                <w:sz w:val="18"/>
              </w:rPr>
              <w:t>정부 가이드라인</w:t>
            </w:r>
          </w:p>
        </w:tc>
        <w:tc>
          <w:tcPr>
            <w:tcW w:type="dxa" w:w="2835"/>
          </w:tcPr>
          <w:p>
            <w:pPr>
              <w:spacing w:line="312" w:lineRule="auto"/>
            </w:pPr>
            <w:r/>
            <w:r>
              <w:rPr>
                <w:rFonts w:ascii="Asta Sans" w:hAnsi="Asta Sans" w:eastAsia="Asta Sans"/>
                <w:b w:val="0"/>
                <w:sz w:val="18"/>
              </w:rPr>
              <w:t>거버넌스·매핑·측정·관리</w:t>
            </w:r>
          </w:p>
        </w:tc>
        <w:tc>
          <w:tcPr>
            <w:tcW w:type="dxa" w:w="2551"/>
          </w:tcPr>
          <w:p>
            <w:pPr>
              <w:spacing w:line="312" w:lineRule="auto"/>
            </w:pPr>
            <w:r/>
            <w:r>
              <w:rPr>
                <w:rFonts w:ascii="Asta Sans" w:hAnsi="Asta Sans" w:eastAsia="Asta Sans"/>
                <w:b w:val="0"/>
                <w:sz w:val="18"/>
              </w:rPr>
              <w:t>자발적</w:t>
            </w:r>
          </w:p>
        </w:tc>
      </w:tr>
    </w:tbl>
    <w:p>
      <w:pPr>
        <w:spacing w:before="280" w:after="160"/>
      </w:pPr>
      <w:r>
        <w:rPr>
          <w:rFonts w:ascii="Asta Sans" w:hAnsi="Asta Sans" w:eastAsia="Asta Sans"/>
          <w:b/>
          <w:color w:val="444444"/>
          <w:sz w:val="26"/>
        </w:rPr>
        <w:t>4. 사회계약 연구에서의 정책적 함의</w:t>
      </w:r>
    </w:p>
    <w:p>
      <w:pPr>
        <w:spacing w:line="360" w:lineRule="auto" w:after="160"/>
        <w:ind w:firstLine="283"/>
      </w:pPr>
      <w:r>
        <w:rPr>
          <w:rFonts w:ascii="Asta Sans" w:hAnsi="Asta Sans" w:eastAsia="Asta Sans"/>
          <w:b w:val="0"/>
          <w:sz w:val="22"/>
        </w:rPr>
        <w:t>ASL의 점진적 확대(graduated escalation) 모델은 본 연구의 ❶ 주체 정의에서 제안하는 전자인 스펙트럼(도구 → 대리인 → 준자율 → 자율)과 구조적으로 대응한다. 자율성 수준에 따라 법적 범주와 안전 조치가 함께 확대되는 구조다.</w:t>
      </w:r>
    </w:p>
    <w:p>
      <w:pPr>
        <w:spacing w:line="360" w:lineRule="auto" w:after="160"/>
        <w:ind w:firstLine="283"/>
      </w:pPr>
      <w:r>
        <w:rPr>
          <w:rFonts w:ascii="Asta Sans" w:hAnsi="Asta Sans" w:eastAsia="Asta Sans"/>
          <w:b w:val="0"/>
          <w:sz w:val="22"/>
        </w:rPr>
        <w:t>Claude Opus 4의 ASL-3 활성화 사례는 역량 임계값 초과를 확정하지 못한 상태에서도 상위 등급의 안전 조치를 적용한 예방 원칙(precautionary principle)의 실천적 적용 사례다.</w:t>
      </w:r>
    </w:p>
    <w:p>
      <w:pPr>
        <w:spacing w:line="360" w:lineRule="auto" w:after="160"/>
        <w:ind w:firstLine="283"/>
      </w:pPr>
      <w:r>
        <w:rPr>
          <w:rFonts w:ascii="Asta Sans" w:hAnsi="Asta Sans" w:eastAsia="Asta Sans"/>
          <w:b w:val="0"/>
          <w:sz w:val="22"/>
        </w:rPr>
        <w:t>Federation of American Scientists(FAS)는 ASL과 같은 기업 프레임워크가 “정부 조치를 대체할 수 없으며, 대체해서도 안 된다”고 평가했다. 자체 정의, 자체 평가, 자체 집행이라는 구조적 이해 충돌(conflict of interest)이 있으며, 사회적으로 합의된 법적 범주로 격상시키는 것이 ❶의 과제다.</w:t>
      </w:r>
    </w:p>
    <w:p>
      <w:pPr>
        <w:spacing w:line="360" w:lineRule="auto" w:after="160"/>
        <w:ind w:firstLine="283"/>
      </w:pPr>
      <w:r>
        <w:rPr>
          <w:rFonts w:ascii="Asta Sans" w:hAnsi="Asta Sans" w:eastAsia="Asta Sans"/>
          <w:b w:val="0"/>
          <w:sz w:val="22"/>
        </w:rPr>
        <w:t>현행 ASL은 기업 내부 결정이며 시민 참여 메커니즘이 부재하다. 사회계약의 관점에서 AI 안전의 최종 보증인은 국가(또는 국제 거버넌스 기구)여야 하며, 기업의 자발적 프레임워크는 보완적 역할에 그쳐야 한다.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Anthropic, Responsible Scaling Policy v2.2 (2025)</w:t>
      </w:r>
    </w:p>
    <w:p>
      <w:pPr>
        <w:pStyle w:val="ListBullet"/>
        <w:spacing w:line="312" w:lineRule="auto" w:after="40"/>
      </w:pPr>
      <w:r>
        <w:rPr>
          <w:rFonts w:ascii="Asta Sans" w:hAnsi="Asta Sans" w:eastAsia="Asta Sans"/>
          <w:b w:val="0"/>
          <w:color w:val="666666"/>
          <w:sz w:val="18"/>
        </w:rPr>
        <w:t>Anthropic, Activating ASL-3 Protections (2025)</w:t>
      </w:r>
    </w:p>
    <w:p>
      <w:pPr>
        <w:pStyle w:val="ListBullet"/>
        <w:spacing w:line="312" w:lineRule="auto" w:after="40"/>
      </w:pPr>
      <w:r>
        <w:rPr>
          <w:rFonts w:ascii="Asta Sans" w:hAnsi="Asta Sans" w:eastAsia="Asta Sans"/>
          <w:b w:val="0"/>
          <w:color w:val="666666"/>
          <w:sz w:val="18"/>
        </w:rPr>
        <w:t>Anthropic, Claude Opus 4.6 Sabotage Risk Report (2026)</w:t>
      </w:r>
    </w:p>
    <w:p>
      <w:pPr>
        <w:pStyle w:val="ListBullet"/>
        <w:spacing w:line="312" w:lineRule="auto" w:after="40"/>
      </w:pPr>
      <w:r>
        <w:rPr>
          <w:rFonts w:ascii="Asta Sans" w:hAnsi="Asta Sans" w:eastAsia="Asta Sans"/>
          <w:b w:val="0"/>
          <w:color w:val="666666"/>
          <w:sz w:val="18"/>
        </w:rPr>
        <w:t>Federation of American Scientists, Can Preparedness Frameworks Pull Their Weight? (2025)</w:t>
      </w:r>
    </w:p>
    <w:p>
      <w:pPr>
        <w:pStyle w:val="ListBullet"/>
        <w:spacing w:line="312" w:lineRule="auto" w:after="40"/>
      </w:pPr>
      <w:r>
        <w:rPr>
          <w:rFonts w:ascii="Asta Sans" w:hAnsi="Asta Sans" w:eastAsia="Asta Sans"/>
          <w:b w:val="0"/>
          <w:color w:val="666666"/>
          <w:sz w:val="18"/>
        </w:rPr>
        <w:t>EU AI Act (2024)</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Amodei, D. (2024, October 17). Machines of loving grace. https://darioamodei.com/machines-of-loving-grace</w:t>
      </w:r>
    </w:p>
    <w:p>
      <w:pPr>
        <w:spacing w:line="336" w:lineRule="auto" w:after="120"/>
        <w:ind w:hanging="720" w:left="720"/>
      </w:pPr>
      <w:r>
        <w:rPr>
          <w:rFonts w:ascii="Asta Sans" w:hAnsi="Asta Sans" w:eastAsia="Asta Sans"/>
          <w:b w:val="0"/>
          <w:sz w:val="20"/>
        </w:rPr>
        <w:t>Amodei, D. (2026, February 3). The adolescence of technology. https://darioamodei.com/essay/the-adolescence-of-technology</w:t>
      </w:r>
    </w:p>
    <w:p>
      <w:pPr>
        <w:spacing w:line="336" w:lineRule="auto" w:after="120"/>
        <w:ind w:hanging="720" w:left="720"/>
      </w:pPr>
      <w:r>
        <w:rPr>
          <w:rFonts w:ascii="Asta Sans" w:hAnsi="Asta Sans" w:eastAsia="Asta Sans"/>
          <w:b w:val="0"/>
          <w:sz w:val="20"/>
        </w:rPr>
        <w:t>Anthropic. (2025, May 22). Activating ASL-3 protections. https://www.anthropic.com/news/activating-asl3-protections</w:t>
      </w:r>
    </w:p>
    <w:p>
      <w:pPr>
        <w:spacing w:line="336" w:lineRule="auto" w:after="120"/>
        <w:ind w:hanging="720" w:left="720"/>
      </w:pPr>
      <w:r>
        <w:rPr>
          <w:rFonts w:ascii="Asta Sans" w:hAnsi="Asta Sans" w:eastAsia="Asta Sans"/>
          <w:b w:val="0"/>
          <w:sz w:val="20"/>
        </w:rPr>
        <w:t xml:space="preserve">Anthropic. (2025). </w:t>
      </w:r>
      <w:r>
        <w:rPr>
          <w:rFonts w:ascii="Asta Sans" w:hAnsi="Asta Sans" w:eastAsia="Asta Sans"/>
          <w:b w:val="0"/>
          <w:i/>
          <w:sz w:val="20"/>
        </w:rPr>
        <w:t>Responsible Scaling Policy</w:t>
      </w:r>
      <w:r>
        <w:rPr>
          <w:rFonts w:ascii="Asta Sans" w:hAnsi="Asta Sans" w:eastAsia="Asta Sans"/>
          <w:b w:val="0"/>
          <w:sz w:val="20"/>
        </w:rPr>
        <w:t xml:space="preserve"> (v2.2). https://www.anthropic.com/responsible-scaling-policy</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Anthropic. (2026, February). Claude Opus 4.6 sabotage risk report. https://anthropic.com/claude-opus-4-6-risk-report</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